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4BE79" w14:textId="7EE99283" w:rsidR="00033755" w:rsidRDefault="004C753C" w:rsidP="00033755">
      <w:pPr>
        <w:pStyle w:val="Titre"/>
        <w:jc w:val="center"/>
        <w:rPr>
          <w:lang w:val="fr-CA"/>
        </w:rPr>
      </w:pPr>
      <w:r>
        <w:rPr>
          <w:lang w:val="fr-CA"/>
        </w:rPr>
        <w:t>O</w:t>
      </w:r>
      <w:r w:rsidRPr="004C753C">
        <w:rPr>
          <w:lang w:val="fr-CA"/>
        </w:rPr>
        <w:t>ptions de stratégie de rétroaction</w:t>
      </w:r>
    </w:p>
    <w:p w14:paraId="4345F5AB" w14:textId="77777777" w:rsidR="004C753C" w:rsidRPr="004C753C" w:rsidRDefault="004C753C" w:rsidP="004C753C">
      <w:pPr>
        <w:rPr>
          <w:sz w:val="10"/>
          <w:lang w:val="fr-CA"/>
        </w:rPr>
      </w:pPr>
    </w:p>
    <w:tbl>
      <w:tblPr>
        <w:tblStyle w:val="Tableausimple1"/>
        <w:tblW w:w="11112" w:type="dxa"/>
        <w:tblLook w:val="04A0" w:firstRow="1" w:lastRow="0" w:firstColumn="1" w:lastColumn="0" w:noHBand="0" w:noVBand="1"/>
      </w:tblPr>
      <w:tblGrid>
        <w:gridCol w:w="1858"/>
        <w:gridCol w:w="1461"/>
        <w:gridCol w:w="4315"/>
        <w:gridCol w:w="3478"/>
      </w:tblGrid>
      <w:tr w:rsidR="004C753C" w14:paraId="4EEDD097" w14:textId="77777777" w:rsidTr="004C753C">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858" w:type="dxa"/>
          </w:tcPr>
          <w:p w14:paraId="1D4D7EB2" w14:textId="77777777" w:rsidR="004C753C" w:rsidRPr="00FB1FF1" w:rsidRDefault="004C753C" w:rsidP="00947CE2">
            <w:pPr>
              <w:jc w:val="center"/>
              <w:rPr>
                <w:sz w:val="20"/>
              </w:rPr>
            </w:pPr>
            <w:proofErr w:type="spellStart"/>
            <w:r>
              <w:rPr>
                <w:sz w:val="20"/>
              </w:rPr>
              <w:t>Mécanisme</w:t>
            </w:r>
            <w:proofErr w:type="spellEnd"/>
          </w:p>
        </w:tc>
        <w:tc>
          <w:tcPr>
            <w:tcW w:w="1461" w:type="dxa"/>
          </w:tcPr>
          <w:p w14:paraId="41022876" w14:textId="77777777" w:rsidR="004C753C" w:rsidRPr="00FB1FF1" w:rsidRDefault="004C753C" w:rsidP="00947CE2">
            <w:pPr>
              <w:jc w:val="center"/>
              <w:cnfStyle w:val="100000000000" w:firstRow="1" w:lastRow="0" w:firstColumn="0" w:lastColumn="0" w:oddVBand="0" w:evenVBand="0" w:oddHBand="0" w:evenHBand="0" w:firstRowFirstColumn="0" w:firstRowLastColumn="0" w:lastRowFirstColumn="0" w:lastRowLastColumn="0"/>
              <w:rPr>
                <w:sz w:val="20"/>
              </w:rPr>
            </w:pPr>
            <w:proofErr w:type="spellStart"/>
            <w:r>
              <w:rPr>
                <w:sz w:val="20"/>
              </w:rPr>
              <w:t>Responsable</w:t>
            </w:r>
            <w:proofErr w:type="spellEnd"/>
          </w:p>
        </w:tc>
        <w:tc>
          <w:tcPr>
            <w:tcW w:w="4315" w:type="dxa"/>
          </w:tcPr>
          <w:p w14:paraId="0AD720BF" w14:textId="77777777" w:rsidR="004C753C" w:rsidRPr="00FB1FF1" w:rsidRDefault="004C753C" w:rsidP="00947CE2">
            <w:pPr>
              <w:jc w:val="center"/>
              <w:cnfStyle w:val="100000000000" w:firstRow="1" w:lastRow="0" w:firstColumn="0" w:lastColumn="0" w:oddVBand="0" w:evenVBand="0" w:oddHBand="0" w:evenHBand="0" w:firstRowFirstColumn="0" w:firstRowLastColumn="0" w:lastRowFirstColumn="0" w:lastRowLastColumn="0"/>
              <w:rPr>
                <w:sz w:val="20"/>
              </w:rPr>
            </w:pPr>
            <w:r>
              <w:rPr>
                <w:sz w:val="20"/>
              </w:rPr>
              <w:t>Description</w:t>
            </w:r>
          </w:p>
        </w:tc>
        <w:tc>
          <w:tcPr>
            <w:tcW w:w="3478" w:type="dxa"/>
          </w:tcPr>
          <w:p w14:paraId="7A0FE5BF" w14:textId="77777777" w:rsidR="004C753C" w:rsidRPr="00FB1FF1" w:rsidRDefault="004C753C" w:rsidP="00947CE2">
            <w:pPr>
              <w:jc w:val="center"/>
              <w:cnfStyle w:val="100000000000" w:firstRow="1" w:lastRow="0" w:firstColumn="0" w:lastColumn="0" w:oddVBand="0" w:evenVBand="0" w:oddHBand="0" w:evenHBand="0" w:firstRowFirstColumn="0" w:firstRowLastColumn="0" w:lastRowFirstColumn="0" w:lastRowLastColumn="0"/>
              <w:rPr>
                <w:sz w:val="20"/>
              </w:rPr>
            </w:pPr>
            <w:proofErr w:type="spellStart"/>
            <w:r>
              <w:rPr>
                <w:sz w:val="20"/>
              </w:rPr>
              <w:t>Avantages</w:t>
            </w:r>
            <w:proofErr w:type="spellEnd"/>
          </w:p>
        </w:tc>
      </w:tr>
      <w:tr w:rsidR="004C753C" w14:paraId="714C0C9B" w14:textId="77777777" w:rsidTr="004C753C">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858" w:type="dxa"/>
          </w:tcPr>
          <w:p w14:paraId="1468029B" w14:textId="77777777" w:rsidR="004C753C" w:rsidRPr="004C753C" w:rsidRDefault="004C753C" w:rsidP="00947CE2">
            <w:pPr>
              <w:jc w:val="center"/>
              <w:rPr>
                <w:sz w:val="18"/>
                <w:lang w:val="fr-CA"/>
              </w:rPr>
            </w:pPr>
            <w:r w:rsidRPr="004C753C">
              <w:rPr>
                <w:sz w:val="18"/>
                <w:lang w:val="fr-CA"/>
              </w:rPr>
              <w:t>Enquêtes et sondages auprès des utilisateurs</w:t>
            </w:r>
          </w:p>
          <w:p w14:paraId="7538AE4D" w14:textId="77777777" w:rsidR="004C753C" w:rsidRPr="004C753C" w:rsidRDefault="004C753C" w:rsidP="00947CE2">
            <w:pPr>
              <w:jc w:val="center"/>
              <w:rPr>
                <w:sz w:val="16"/>
                <w:lang w:val="fr-CA"/>
              </w:rPr>
            </w:pPr>
          </w:p>
          <w:p w14:paraId="1A83B071" w14:textId="77777777" w:rsidR="004C753C" w:rsidRPr="00FB1FF1" w:rsidRDefault="004C753C" w:rsidP="00947CE2">
            <w:pPr>
              <w:jc w:val="center"/>
              <w:rPr>
                <w:b w:val="0"/>
                <w:i/>
                <w:sz w:val="16"/>
              </w:rPr>
            </w:pPr>
            <w:r>
              <w:rPr>
                <w:b w:val="0"/>
                <w:i/>
                <w:sz w:val="16"/>
              </w:rPr>
              <w:t>(</w:t>
            </w:r>
            <w:proofErr w:type="spellStart"/>
            <w:r>
              <w:rPr>
                <w:b w:val="0"/>
                <w:i/>
                <w:sz w:val="16"/>
              </w:rPr>
              <w:t>Qualtrics</w:t>
            </w:r>
            <w:proofErr w:type="spellEnd"/>
            <w:r>
              <w:rPr>
                <w:b w:val="0"/>
                <w:i/>
                <w:sz w:val="16"/>
              </w:rPr>
              <w:t>, Survey Monkey, etc.)</w:t>
            </w:r>
          </w:p>
          <w:p w14:paraId="4914AB41" w14:textId="77777777" w:rsidR="004C753C" w:rsidRPr="00FB1FF1" w:rsidRDefault="004C753C" w:rsidP="00947CE2">
            <w:pPr>
              <w:jc w:val="center"/>
              <w:rPr>
                <w:sz w:val="18"/>
              </w:rPr>
            </w:pPr>
          </w:p>
        </w:tc>
        <w:tc>
          <w:tcPr>
            <w:tcW w:w="1461" w:type="dxa"/>
          </w:tcPr>
          <w:p w14:paraId="38FAAC0A" w14:textId="77777777" w:rsidR="004C753C" w:rsidRPr="00FB1FF1" w:rsidRDefault="004C753C" w:rsidP="00947CE2">
            <w:pPr>
              <w:jc w:val="center"/>
              <w:cnfStyle w:val="000000100000" w:firstRow="0" w:lastRow="0" w:firstColumn="0" w:lastColumn="0" w:oddVBand="0" w:evenVBand="0" w:oddHBand="1" w:evenHBand="0" w:firstRowFirstColumn="0" w:firstRowLastColumn="0" w:lastRowFirstColumn="0" w:lastRowLastColumn="0"/>
              <w:rPr>
                <w:sz w:val="18"/>
              </w:rPr>
            </w:pPr>
            <w:r>
              <w:rPr>
                <w:sz w:val="18"/>
              </w:rPr>
              <w:t xml:space="preserve">Chef de </w:t>
            </w:r>
            <w:proofErr w:type="spellStart"/>
            <w:r>
              <w:rPr>
                <w:sz w:val="18"/>
              </w:rPr>
              <w:t>projet</w:t>
            </w:r>
            <w:proofErr w:type="spellEnd"/>
            <w:r>
              <w:rPr>
                <w:sz w:val="18"/>
              </w:rPr>
              <w:t xml:space="preserve">, </w:t>
            </w:r>
            <w:proofErr w:type="spellStart"/>
            <w:r>
              <w:rPr>
                <w:sz w:val="18"/>
              </w:rPr>
              <w:t>gestionnaires</w:t>
            </w:r>
            <w:proofErr w:type="spellEnd"/>
          </w:p>
        </w:tc>
        <w:tc>
          <w:tcPr>
            <w:tcW w:w="4315" w:type="dxa"/>
          </w:tcPr>
          <w:p w14:paraId="03A6C3CB" w14:textId="77777777" w:rsidR="004C753C" w:rsidRPr="004C753C" w:rsidRDefault="004C753C" w:rsidP="00947CE2">
            <w:pPr>
              <w:cnfStyle w:val="000000100000" w:firstRow="0" w:lastRow="0" w:firstColumn="0" w:lastColumn="0" w:oddVBand="0" w:evenVBand="0" w:oddHBand="1" w:evenHBand="0" w:firstRowFirstColumn="0" w:firstRowLastColumn="0" w:lastRowFirstColumn="0" w:lastRowLastColumn="0"/>
              <w:rPr>
                <w:sz w:val="18"/>
                <w:lang w:val="fr-CA"/>
              </w:rPr>
            </w:pPr>
            <w:r w:rsidRPr="004C753C">
              <w:rPr>
                <w:sz w:val="18"/>
                <w:lang w:val="fr-CA"/>
              </w:rPr>
              <w:t>L’opinion des employés compte! Mener des enquêtes et des sondages auprès des utilisateurs pour obtenir le pouls global du changement. Bien que la rétroaction des utilisateurs soit importante, il ne faut pas en faire trop. Être attentif au nombre d’enquêtes et de sondages envoyés tout au long du projet de modernisation. Évidemment, cela variera en fonction de la taille et de la durée du projet.</w:t>
            </w:r>
          </w:p>
          <w:p w14:paraId="2FB1F327" w14:textId="77777777" w:rsidR="004C753C" w:rsidRPr="004C753C" w:rsidRDefault="004C753C" w:rsidP="00947CE2">
            <w:pPr>
              <w:jc w:val="left"/>
              <w:cnfStyle w:val="000000100000" w:firstRow="0" w:lastRow="0" w:firstColumn="0" w:lastColumn="0" w:oddVBand="0" w:evenVBand="0" w:oddHBand="1" w:evenHBand="0" w:firstRowFirstColumn="0" w:firstRowLastColumn="0" w:lastRowFirstColumn="0" w:lastRowLastColumn="0"/>
              <w:rPr>
                <w:sz w:val="18"/>
                <w:lang w:val="fr-CA"/>
              </w:rPr>
            </w:pPr>
          </w:p>
          <w:p w14:paraId="58C9DFAE" w14:textId="77777777" w:rsidR="004C753C" w:rsidRPr="004C753C" w:rsidRDefault="004C753C" w:rsidP="00947CE2">
            <w:pPr>
              <w:jc w:val="center"/>
              <w:cnfStyle w:val="000000100000" w:firstRow="0" w:lastRow="0" w:firstColumn="0" w:lastColumn="0" w:oddVBand="0" w:evenVBand="0" w:oddHBand="1" w:evenHBand="0" w:firstRowFirstColumn="0" w:firstRowLastColumn="0" w:lastRowFirstColumn="0" w:lastRowLastColumn="0"/>
              <w:rPr>
                <w:i/>
                <w:sz w:val="18"/>
                <w:lang w:val="fr-CA"/>
              </w:rPr>
            </w:pPr>
            <w:r w:rsidRPr="004C753C">
              <w:rPr>
                <w:b/>
                <w:i/>
                <w:sz w:val="16"/>
                <w:lang w:val="fr-CA"/>
              </w:rPr>
              <w:t xml:space="preserve">Gardez à l’esprit que </w:t>
            </w:r>
            <w:r w:rsidRPr="004C753C">
              <w:rPr>
                <w:i/>
                <w:sz w:val="16"/>
                <w:lang w:val="fr-CA"/>
              </w:rPr>
              <w:t>vous devrez vérifier les questions et tester l’outil sélectionné avant de l’envoyer.</w:t>
            </w:r>
          </w:p>
        </w:tc>
        <w:tc>
          <w:tcPr>
            <w:tcW w:w="3478" w:type="dxa"/>
          </w:tcPr>
          <w:p w14:paraId="5396FF1C" w14:textId="77777777" w:rsidR="004C753C" w:rsidRPr="004C753C" w:rsidRDefault="004C753C" w:rsidP="004C753C">
            <w:pPr>
              <w:pStyle w:val="Paragraphedeliste"/>
              <w:numPr>
                <w:ilvl w:val="0"/>
                <w:numId w:val="15"/>
              </w:numPr>
              <w:jc w:val="left"/>
              <w:cnfStyle w:val="000000100000" w:firstRow="0" w:lastRow="0" w:firstColumn="0" w:lastColumn="0" w:oddVBand="0" w:evenVBand="0" w:oddHBand="1" w:evenHBand="0" w:firstRowFirstColumn="0" w:firstRowLastColumn="0" w:lastRowFirstColumn="0" w:lastRowLastColumn="0"/>
              <w:rPr>
                <w:sz w:val="18"/>
                <w:lang w:val="fr-CA"/>
              </w:rPr>
            </w:pPr>
            <w:r w:rsidRPr="004C753C">
              <w:rPr>
                <w:sz w:val="18"/>
                <w:lang w:val="fr-CA"/>
              </w:rPr>
              <w:t>Une façon rapide et facile d’obtenir de la rétroaction</w:t>
            </w:r>
          </w:p>
          <w:p w14:paraId="62C5BA66" w14:textId="77777777" w:rsidR="004C753C" w:rsidRPr="00FB1FF1" w:rsidRDefault="004C753C" w:rsidP="004C753C">
            <w:pPr>
              <w:pStyle w:val="Paragraphedeliste"/>
              <w:numPr>
                <w:ilvl w:val="0"/>
                <w:numId w:val="15"/>
              </w:numPr>
              <w:jc w:val="left"/>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Atteint</w:t>
            </w:r>
            <w:proofErr w:type="spellEnd"/>
            <w:r>
              <w:rPr>
                <w:sz w:val="18"/>
              </w:rPr>
              <w:t xml:space="preserve"> un grand </w:t>
            </w:r>
            <w:proofErr w:type="spellStart"/>
            <w:r>
              <w:rPr>
                <w:sz w:val="18"/>
              </w:rPr>
              <w:t>nombre</w:t>
            </w:r>
            <w:proofErr w:type="spellEnd"/>
            <w:r>
              <w:rPr>
                <w:sz w:val="18"/>
              </w:rPr>
              <w:t xml:space="preserve"> </w:t>
            </w:r>
            <w:proofErr w:type="spellStart"/>
            <w:r>
              <w:rPr>
                <w:sz w:val="18"/>
              </w:rPr>
              <w:t>d’employés</w:t>
            </w:r>
            <w:proofErr w:type="spellEnd"/>
          </w:p>
          <w:p w14:paraId="568CC41A" w14:textId="77777777" w:rsidR="004C753C" w:rsidRPr="00FB1FF1" w:rsidRDefault="004C753C" w:rsidP="004C753C">
            <w:pPr>
              <w:pStyle w:val="Paragraphedeliste"/>
              <w:numPr>
                <w:ilvl w:val="0"/>
                <w:numId w:val="15"/>
              </w:numPr>
              <w:jc w:val="left"/>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Peut</w:t>
            </w:r>
            <w:proofErr w:type="spellEnd"/>
            <w:r>
              <w:rPr>
                <w:sz w:val="18"/>
              </w:rPr>
              <w:t xml:space="preserve"> </w:t>
            </w:r>
            <w:proofErr w:type="spellStart"/>
            <w:r>
              <w:rPr>
                <w:sz w:val="18"/>
              </w:rPr>
              <w:t>être</w:t>
            </w:r>
            <w:proofErr w:type="spellEnd"/>
            <w:r>
              <w:rPr>
                <w:sz w:val="18"/>
              </w:rPr>
              <w:t xml:space="preserve"> </w:t>
            </w:r>
            <w:proofErr w:type="spellStart"/>
            <w:r>
              <w:rPr>
                <w:sz w:val="18"/>
              </w:rPr>
              <w:t>anonyme</w:t>
            </w:r>
            <w:proofErr w:type="spellEnd"/>
            <w:r>
              <w:rPr>
                <w:sz w:val="18"/>
              </w:rPr>
              <w:t xml:space="preserve"> (</w:t>
            </w:r>
            <w:proofErr w:type="spellStart"/>
            <w:r>
              <w:rPr>
                <w:sz w:val="18"/>
              </w:rPr>
              <w:t>facultatif</w:t>
            </w:r>
            <w:proofErr w:type="spellEnd"/>
            <w:r>
              <w:rPr>
                <w:sz w:val="18"/>
              </w:rPr>
              <w:t>)</w:t>
            </w:r>
          </w:p>
        </w:tc>
      </w:tr>
      <w:tr w:rsidR="004C753C" w:rsidRPr="00A224E6" w14:paraId="20308C53" w14:textId="77777777" w:rsidTr="004C753C">
        <w:trPr>
          <w:trHeight w:val="43"/>
        </w:trPr>
        <w:tc>
          <w:tcPr>
            <w:cnfStyle w:val="001000000000" w:firstRow="0" w:lastRow="0" w:firstColumn="1" w:lastColumn="0" w:oddVBand="0" w:evenVBand="0" w:oddHBand="0" w:evenHBand="0" w:firstRowFirstColumn="0" w:firstRowLastColumn="0" w:lastRowFirstColumn="0" w:lastRowLastColumn="0"/>
            <w:tcW w:w="1858" w:type="dxa"/>
          </w:tcPr>
          <w:p w14:paraId="0D8C9D7C" w14:textId="77777777" w:rsidR="004C753C" w:rsidRPr="004C753C" w:rsidRDefault="004C753C" w:rsidP="00947CE2">
            <w:pPr>
              <w:jc w:val="center"/>
              <w:rPr>
                <w:sz w:val="18"/>
                <w:lang w:val="fr-CA"/>
              </w:rPr>
            </w:pPr>
            <w:r w:rsidRPr="004C753C">
              <w:rPr>
                <w:sz w:val="18"/>
                <w:lang w:val="fr-CA"/>
              </w:rPr>
              <w:t>Zone de suggestions et de commentaires</w:t>
            </w:r>
          </w:p>
        </w:tc>
        <w:tc>
          <w:tcPr>
            <w:tcW w:w="1461" w:type="dxa"/>
          </w:tcPr>
          <w:p w14:paraId="6682453B" w14:textId="77777777" w:rsidR="004C753C" w:rsidRPr="004C753C" w:rsidRDefault="004C753C" w:rsidP="00947CE2">
            <w:pPr>
              <w:jc w:val="center"/>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Chef de projet et équipe de projet</w:t>
            </w:r>
          </w:p>
        </w:tc>
        <w:tc>
          <w:tcPr>
            <w:tcW w:w="4315" w:type="dxa"/>
          </w:tcPr>
          <w:p w14:paraId="2EA6E890" w14:textId="77777777" w:rsidR="004C753C" w:rsidRPr="004C753C" w:rsidRDefault="004C753C" w:rsidP="00947CE2">
            <w:pPr>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Une option de discussion ouverte ou de courrier électronique privé dans l’intranet ou sur la page GCconnex. Cette option est bénéfique après la mise en œuvre, car la rétroaction est acheminée directement au responsable du processus aux fins d’amélioration continue.</w:t>
            </w:r>
          </w:p>
          <w:p w14:paraId="5434A704" w14:textId="77777777" w:rsidR="004C753C" w:rsidRPr="004C753C" w:rsidRDefault="004C753C" w:rsidP="00947CE2">
            <w:pPr>
              <w:jc w:val="left"/>
              <w:cnfStyle w:val="000000000000" w:firstRow="0" w:lastRow="0" w:firstColumn="0" w:lastColumn="0" w:oddVBand="0" w:evenVBand="0" w:oddHBand="0" w:evenHBand="0" w:firstRowFirstColumn="0" w:firstRowLastColumn="0" w:lastRowFirstColumn="0" w:lastRowLastColumn="0"/>
              <w:rPr>
                <w:sz w:val="18"/>
                <w:lang w:val="fr-CA"/>
              </w:rPr>
            </w:pPr>
          </w:p>
          <w:p w14:paraId="02F821F8" w14:textId="77777777" w:rsidR="004C753C" w:rsidRPr="004C753C" w:rsidRDefault="004C753C" w:rsidP="00947CE2">
            <w:pPr>
              <w:jc w:val="center"/>
              <w:cnfStyle w:val="000000000000" w:firstRow="0" w:lastRow="0" w:firstColumn="0" w:lastColumn="0" w:oddVBand="0" w:evenVBand="0" w:oddHBand="0" w:evenHBand="0" w:firstRowFirstColumn="0" w:firstRowLastColumn="0" w:lastRowFirstColumn="0" w:lastRowLastColumn="0"/>
              <w:rPr>
                <w:i/>
                <w:sz w:val="18"/>
                <w:lang w:val="fr-CA"/>
              </w:rPr>
            </w:pPr>
            <w:r w:rsidRPr="004C753C">
              <w:rPr>
                <w:b/>
                <w:i/>
                <w:sz w:val="16"/>
                <w:lang w:val="fr-CA"/>
              </w:rPr>
              <w:t>Gardez à l’esprit que</w:t>
            </w:r>
            <w:r w:rsidRPr="004C753C">
              <w:rPr>
                <w:i/>
                <w:sz w:val="16"/>
                <w:lang w:val="fr-CA"/>
              </w:rPr>
              <w:t xml:space="preserve"> cette option nécessite une personne ou une équipe qui suivra la rétroaction.</w:t>
            </w:r>
          </w:p>
        </w:tc>
        <w:tc>
          <w:tcPr>
            <w:tcW w:w="3478" w:type="dxa"/>
          </w:tcPr>
          <w:p w14:paraId="043BCE96" w14:textId="77777777" w:rsidR="004C753C" w:rsidRPr="004C753C" w:rsidRDefault="004C753C" w:rsidP="004C753C">
            <w:pPr>
              <w:pStyle w:val="Paragraphedeliste"/>
              <w:numPr>
                <w:ilvl w:val="0"/>
                <w:numId w:val="16"/>
              </w:numPr>
              <w:jc w:val="left"/>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URL en direct disponible 24 heures sur 24, 7 jours sur 7</w:t>
            </w:r>
          </w:p>
          <w:p w14:paraId="0570F969" w14:textId="77777777" w:rsidR="004C753C" w:rsidRPr="00FB1FF1" w:rsidRDefault="004C753C" w:rsidP="004C753C">
            <w:pPr>
              <w:pStyle w:val="Paragraphedeliste"/>
              <w:numPr>
                <w:ilvl w:val="0"/>
                <w:numId w:val="16"/>
              </w:numPr>
              <w:jc w:val="left"/>
              <w:cnfStyle w:val="000000000000" w:firstRow="0" w:lastRow="0" w:firstColumn="0" w:lastColumn="0" w:oddVBand="0" w:evenVBand="0" w:oddHBand="0" w:evenHBand="0" w:firstRowFirstColumn="0" w:firstRowLastColumn="0" w:lastRowFirstColumn="0" w:lastRowLastColumn="0"/>
              <w:rPr>
                <w:sz w:val="18"/>
              </w:rPr>
            </w:pPr>
            <w:proofErr w:type="spellStart"/>
            <w:r>
              <w:rPr>
                <w:sz w:val="18"/>
              </w:rPr>
              <w:t>Peut</w:t>
            </w:r>
            <w:proofErr w:type="spellEnd"/>
            <w:r>
              <w:rPr>
                <w:sz w:val="18"/>
              </w:rPr>
              <w:t xml:space="preserve"> </w:t>
            </w:r>
            <w:proofErr w:type="spellStart"/>
            <w:r>
              <w:rPr>
                <w:sz w:val="18"/>
              </w:rPr>
              <w:t>être</w:t>
            </w:r>
            <w:proofErr w:type="spellEnd"/>
            <w:r>
              <w:rPr>
                <w:sz w:val="18"/>
              </w:rPr>
              <w:t xml:space="preserve"> </w:t>
            </w:r>
            <w:proofErr w:type="spellStart"/>
            <w:r>
              <w:rPr>
                <w:sz w:val="18"/>
              </w:rPr>
              <w:t>anonyme</w:t>
            </w:r>
            <w:proofErr w:type="spellEnd"/>
            <w:r>
              <w:rPr>
                <w:sz w:val="18"/>
              </w:rPr>
              <w:t xml:space="preserve"> (</w:t>
            </w:r>
            <w:proofErr w:type="spellStart"/>
            <w:r>
              <w:rPr>
                <w:sz w:val="18"/>
              </w:rPr>
              <w:t>facultatif</w:t>
            </w:r>
            <w:proofErr w:type="spellEnd"/>
            <w:r>
              <w:rPr>
                <w:sz w:val="18"/>
              </w:rPr>
              <w:t>)</w:t>
            </w:r>
          </w:p>
          <w:p w14:paraId="5A1CDBFE" w14:textId="77777777" w:rsidR="004C753C" w:rsidRPr="004C753C" w:rsidRDefault="004C753C" w:rsidP="004C753C">
            <w:pPr>
              <w:pStyle w:val="Paragraphedeliste"/>
              <w:numPr>
                <w:ilvl w:val="0"/>
                <w:numId w:val="16"/>
              </w:numPr>
              <w:jc w:val="left"/>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Peut rester ouvert indéfiniment afin de recueillir les commentaires de façon continue</w:t>
            </w:r>
          </w:p>
        </w:tc>
      </w:tr>
      <w:tr w:rsidR="004C753C" w:rsidRPr="00A224E6" w14:paraId="6657B727" w14:textId="77777777" w:rsidTr="004C753C">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858" w:type="dxa"/>
          </w:tcPr>
          <w:p w14:paraId="01841211" w14:textId="77777777" w:rsidR="004C753C" w:rsidRPr="00FB1FF1" w:rsidRDefault="004C753C" w:rsidP="00947CE2">
            <w:pPr>
              <w:jc w:val="center"/>
              <w:rPr>
                <w:sz w:val="18"/>
              </w:rPr>
            </w:pPr>
            <w:r>
              <w:rPr>
                <w:sz w:val="18"/>
              </w:rPr>
              <w:t xml:space="preserve">Rencontres </w:t>
            </w:r>
            <w:proofErr w:type="spellStart"/>
            <w:r>
              <w:rPr>
                <w:sz w:val="18"/>
              </w:rPr>
              <w:t>individuelles</w:t>
            </w:r>
            <w:proofErr w:type="spellEnd"/>
          </w:p>
        </w:tc>
        <w:tc>
          <w:tcPr>
            <w:tcW w:w="1461" w:type="dxa"/>
          </w:tcPr>
          <w:p w14:paraId="42B5B559" w14:textId="77777777" w:rsidR="004C753C" w:rsidRPr="00FB1FF1" w:rsidRDefault="004C753C" w:rsidP="00947CE2">
            <w:pPr>
              <w:jc w:val="center"/>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Gestionnaires</w:t>
            </w:r>
            <w:proofErr w:type="spellEnd"/>
            <w:r>
              <w:rPr>
                <w:sz w:val="18"/>
              </w:rPr>
              <w:t xml:space="preserve"> et </w:t>
            </w:r>
            <w:proofErr w:type="spellStart"/>
            <w:r>
              <w:rPr>
                <w:sz w:val="18"/>
              </w:rPr>
              <w:t>superviseurs</w:t>
            </w:r>
            <w:proofErr w:type="spellEnd"/>
          </w:p>
        </w:tc>
        <w:tc>
          <w:tcPr>
            <w:tcW w:w="4315" w:type="dxa"/>
          </w:tcPr>
          <w:p w14:paraId="4FFAE063" w14:textId="77777777" w:rsidR="004C753C" w:rsidRPr="004C753C" w:rsidRDefault="004C753C" w:rsidP="00947CE2">
            <w:pPr>
              <w:cnfStyle w:val="000000100000" w:firstRow="0" w:lastRow="0" w:firstColumn="0" w:lastColumn="0" w:oddVBand="0" w:evenVBand="0" w:oddHBand="1" w:evenHBand="0" w:firstRowFirstColumn="0" w:firstRowLastColumn="0" w:lastRowFirstColumn="0" w:lastRowLastColumn="0"/>
              <w:rPr>
                <w:sz w:val="18"/>
                <w:lang w:val="fr-CA"/>
              </w:rPr>
            </w:pPr>
            <w:r w:rsidRPr="004C753C">
              <w:rPr>
                <w:sz w:val="18"/>
                <w:lang w:val="fr-CA"/>
              </w:rPr>
              <w:t>Mener des rencontres individuelles pour comprendre comment le changement est accueilli. Les responsables directs et les superviseurs sont les meilleures ressources à cet égard, car ils doivent déjà avoir une relation de confiance et des relations solides avec leurs employés.</w:t>
            </w:r>
          </w:p>
          <w:p w14:paraId="667F1F16" w14:textId="77777777" w:rsidR="004C753C" w:rsidRPr="004C753C" w:rsidRDefault="004C753C" w:rsidP="00947CE2">
            <w:pPr>
              <w:jc w:val="left"/>
              <w:cnfStyle w:val="000000100000" w:firstRow="0" w:lastRow="0" w:firstColumn="0" w:lastColumn="0" w:oddVBand="0" w:evenVBand="0" w:oddHBand="1" w:evenHBand="0" w:firstRowFirstColumn="0" w:firstRowLastColumn="0" w:lastRowFirstColumn="0" w:lastRowLastColumn="0"/>
              <w:rPr>
                <w:sz w:val="18"/>
                <w:lang w:val="fr-CA"/>
              </w:rPr>
            </w:pPr>
          </w:p>
          <w:p w14:paraId="35D88920" w14:textId="77777777" w:rsidR="004C753C" w:rsidRPr="004C753C" w:rsidRDefault="004C753C" w:rsidP="00947CE2">
            <w:pPr>
              <w:jc w:val="center"/>
              <w:cnfStyle w:val="000000100000" w:firstRow="0" w:lastRow="0" w:firstColumn="0" w:lastColumn="0" w:oddVBand="0" w:evenVBand="0" w:oddHBand="1" w:evenHBand="0" w:firstRowFirstColumn="0" w:firstRowLastColumn="0" w:lastRowFirstColumn="0" w:lastRowLastColumn="0"/>
              <w:rPr>
                <w:i/>
                <w:sz w:val="18"/>
                <w:lang w:val="fr-CA"/>
              </w:rPr>
            </w:pPr>
            <w:r w:rsidRPr="004C753C">
              <w:rPr>
                <w:b/>
                <w:i/>
                <w:sz w:val="16"/>
                <w:lang w:val="fr-CA"/>
              </w:rPr>
              <w:t>Gardez à l’esprit que</w:t>
            </w:r>
            <w:r w:rsidRPr="004C753C">
              <w:rPr>
                <w:i/>
                <w:sz w:val="16"/>
                <w:lang w:val="fr-CA"/>
              </w:rPr>
              <w:t xml:space="preserve"> cette option exige la sécurité, la confiance et la transparence des gestionnaires/superviseurs et de leurs employés.</w:t>
            </w:r>
          </w:p>
        </w:tc>
        <w:tc>
          <w:tcPr>
            <w:tcW w:w="3478" w:type="dxa"/>
          </w:tcPr>
          <w:p w14:paraId="4F116D50" w14:textId="77777777" w:rsidR="004C753C" w:rsidRPr="004C753C" w:rsidRDefault="004C753C" w:rsidP="004C753C">
            <w:pPr>
              <w:pStyle w:val="Paragraphedeliste"/>
              <w:numPr>
                <w:ilvl w:val="0"/>
                <w:numId w:val="17"/>
              </w:numPr>
              <w:jc w:val="left"/>
              <w:cnfStyle w:val="000000100000" w:firstRow="0" w:lastRow="0" w:firstColumn="0" w:lastColumn="0" w:oddVBand="0" w:evenVBand="0" w:oddHBand="1" w:evenHBand="0" w:firstRowFirstColumn="0" w:firstRowLastColumn="0" w:lastRowFirstColumn="0" w:lastRowLastColumn="0"/>
              <w:rPr>
                <w:sz w:val="18"/>
                <w:lang w:val="fr-CA"/>
              </w:rPr>
            </w:pPr>
            <w:r w:rsidRPr="004C753C">
              <w:rPr>
                <w:sz w:val="18"/>
                <w:lang w:val="fr-CA"/>
              </w:rPr>
              <w:t>Un cadre confortable qui peut permettre la vulnérabilité.</w:t>
            </w:r>
          </w:p>
          <w:p w14:paraId="6A9B63FC" w14:textId="77777777" w:rsidR="004C753C" w:rsidRPr="004C753C" w:rsidRDefault="004C753C" w:rsidP="004C753C">
            <w:pPr>
              <w:pStyle w:val="Paragraphedeliste"/>
              <w:numPr>
                <w:ilvl w:val="0"/>
                <w:numId w:val="17"/>
              </w:numPr>
              <w:jc w:val="left"/>
              <w:cnfStyle w:val="000000100000" w:firstRow="0" w:lastRow="0" w:firstColumn="0" w:lastColumn="0" w:oddVBand="0" w:evenVBand="0" w:oddHBand="1" w:evenHBand="0" w:firstRowFirstColumn="0" w:firstRowLastColumn="0" w:lastRowFirstColumn="0" w:lastRowLastColumn="0"/>
              <w:rPr>
                <w:sz w:val="18"/>
                <w:lang w:val="fr-CA"/>
              </w:rPr>
            </w:pPr>
            <w:r w:rsidRPr="004C753C">
              <w:rPr>
                <w:sz w:val="18"/>
                <w:lang w:val="fr-CA"/>
              </w:rPr>
              <w:t>Recueil de réactions individuelles et approfondies</w:t>
            </w:r>
          </w:p>
        </w:tc>
      </w:tr>
      <w:tr w:rsidR="004C753C" w:rsidRPr="00A224E6" w14:paraId="48AAF4A9" w14:textId="77777777" w:rsidTr="004C753C">
        <w:trPr>
          <w:trHeight w:val="289"/>
        </w:trPr>
        <w:tc>
          <w:tcPr>
            <w:cnfStyle w:val="001000000000" w:firstRow="0" w:lastRow="0" w:firstColumn="1" w:lastColumn="0" w:oddVBand="0" w:evenVBand="0" w:oddHBand="0" w:evenHBand="0" w:firstRowFirstColumn="0" w:firstRowLastColumn="0" w:lastRowFirstColumn="0" w:lastRowLastColumn="0"/>
            <w:tcW w:w="1858" w:type="dxa"/>
          </w:tcPr>
          <w:p w14:paraId="4E1A2FA1" w14:textId="77777777" w:rsidR="004C753C" w:rsidRPr="00FB1FF1" w:rsidRDefault="004C753C" w:rsidP="00947CE2">
            <w:pPr>
              <w:jc w:val="center"/>
              <w:rPr>
                <w:sz w:val="18"/>
              </w:rPr>
            </w:pPr>
            <w:proofErr w:type="spellStart"/>
            <w:r>
              <w:rPr>
                <w:sz w:val="18"/>
              </w:rPr>
              <w:t>Réunions</w:t>
            </w:r>
            <w:proofErr w:type="spellEnd"/>
            <w:r>
              <w:rPr>
                <w:sz w:val="18"/>
              </w:rPr>
              <w:t xml:space="preserve"> </w:t>
            </w:r>
            <w:proofErr w:type="spellStart"/>
            <w:r>
              <w:rPr>
                <w:sz w:val="18"/>
              </w:rPr>
              <w:t>d’équipe</w:t>
            </w:r>
            <w:proofErr w:type="spellEnd"/>
          </w:p>
        </w:tc>
        <w:tc>
          <w:tcPr>
            <w:tcW w:w="1461" w:type="dxa"/>
          </w:tcPr>
          <w:p w14:paraId="5DA212DF" w14:textId="77777777" w:rsidR="004C753C" w:rsidRPr="00FB1FF1" w:rsidRDefault="004C753C" w:rsidP="00947CE2">
            <w:pPr>
              <w:jc w:val="center"/>
              <w:cnfStyle w:val="000000000000" w:firstRow="0" w:lastRow="0" w:firstColumn="0" w:lastColumn="0" w:oddVBand="0" w:evenVBand="0" w:oddHBand="0" w:evenHBand="0" w:firstRowFirstColumn="0" w:firstRowLastColumn="0" w:lastRowFirstColumn="0" w:lastRowLastColumn="0"/>
              <w:rPr>
                <w:sz w:val="18"/>
              </w:rPr>
            </w:pPr>
            <w:proofErr w:type="spellStart"/>
            <w:r>
              <w:rPr>
                <w:sz w:val="18"/>
              </w:rPr>
              <w:t>Gestionnaires</w:t>
            </w:r>
            <w:proofErr w:type="spellEnd"/>
            <w:r>
              <w:rPr>
                <w:sz w:val="18"/>
              </w:rPr>
              <w:t xml:space="preserve"> </w:t>
            </w:r>
          </w:p>
        </w:tc>
        <w:tc>
          <w:tcPr>
            <w:tcW w:w="4315" w:type="dxa"/>
          </w:tcPr>
          <w:p w14:paraId="2DBAD79E" w14:textId="77777777" w:rsidR="004C753C" w:rsidRPr="004C753C" w:rsidRDefault="004C753C" w:rsidP="00947CE2">
            <w:pPr>
              <w:jc w:val="left"/>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Permet aux employés de faire part de leurs commentaires sur le changement dans leur contexte d’équipe actuel.</w:t>
            </w:r>
          </w:p>
          <w:p w14:paraId="73EEA3BC" w14:textId="77777777" w:rsidR="004C753C" w:rsidRPr="004C753C" w:rsidRDefault="004C753C" w:rsidP="00947CE2">
            <w:pPr>
              <w:jc w:val="left"/>
              <w:cnfStyle w:val="000000000000" w:firstRow="0" w:lastRow="0" w:firstColumn="0" w:lastColumn="0" w:oddVBand="0" w:evenVBand="0" w:oddHBand="0" w:evenHBand="0" w:firstRowFirstColumn="0" w:firstRowLastColumn="0" w:lastRowFirstColumn="0" w:lastRowLastColumn="0"/>
              <w:rPr>
                <w:sz w:val="18"/>
                <w:lang w:val="fr-CA"/>
              </w:rPr>
            </w:pPr>
          </w:p>
          <w:p w14:paraId="250C4D3F" w14:textId="77777777" w:rsidR="004C753C" w:rsidRPr="004C753C" w:rsidRDefault="004C753C" w:rsidP="00947CE2">
            <w:pPr>
              <w:jc w:val="center"/>
              <w:cnfStyle w:val="000000000000" w:firstRow="0" w:lastRow="0" w:firstColumn="0" w:lastColumn="0" w:oddVBand="0" w:evenVBand="0" w:oddHBand="0" w:evenHBand="0" w:firstRowFirstColumn="0" w:firstRowLastColumn="0" w:lastRowFirstColumn="0" w:lastRowLastColumn="0"/>
              <w:rPr>
                <w:i/>
                <w:sz w:val="18"/>
                <w:lang w:val="fr-CA"/>
              </w:rPr>
            </w:pPr>
            <w:r w:rsidRPr="004C753C">
              <w:rPr>
                <w:b/>
                <w:i/>
                <w:sz w:val="16"/>
                <w:lang w:val="fr-CA"/>
              </w:rPr>
              <w:t>Gardez à l’esprit qu’</w:t>
            </w:r>
            <w:r w:rsidRPr="004C753C">
              <w:rPr>
                <w:i/>
                <w:sz w:val="16"/>
                <w:lang w:val="fr-CA"/>
              </w:rPr>
              <w:t>un animateur fiable sera nécessaire.</w:t>
            </w:r>
          </w:p>
        </w:tc>
        <w:tc>
          <w:tcPr>
            <w:tcW w:w="3478" w:type="dxa"/>
          </w:tcPr>
          <w:p w14:paraId="63FC3DBB" w14:textId="77777777" w:rsidR="004C753C" w:rsidRPr="00FB1FF1" w:rsidRDefault="004C753C" w:rsidP="004C753C">
            <w:pPr>
              <w:pStyle w:val="Paragraphedeliste"/>
              <w:numPr>
                <w:ilvl w:val="0"/>
                <w:numId w:val="18"/>
              </w:numPr>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Fait </w:t>
            </w:r>
            <w:proofErr w:type="spellStart"/>
            <w:r>
              <w:rPr>
                <w:sz w:val="18"/>
              </w:rPr>
              <w:t>preuve</w:t>
            </w:r>
            <w:proofErr w:type="spellEnd"/>
            <w:r>
              <w:rPr>
                <w:sz w:val="18"/>
              </w:rPr>
              <w:t xml:space="preserve"> de transparence</w:t>
            </w:r>
          </w:p>
          <w:p w14:paraId="5ED91296" w14:textId="77777777" w:rsidR="004C753C" w:rsidRPr="004C753C" w:rsidRDefault="004C753C" w:rsidP="004C753C">
            <w:pPr>
              <w:pStyle w:val="Paragraphedeliste"/>
              <w:numPr>
                <w:ilvl w:val="0"/>
                <w:numId w:val="18"/>
              </w:numPr>
              <w:jc w:val="left"/>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Soulève des questions de groupe</w:t>
            </w:r>
          </w:p>
        </w:tc>
      </w:tr>
      <w:tr w:rsidR="004C753C" w:rsidRPr="00A224E6" w14:paraId="269EE7AB" w14:textId="77777777" w:rsidTr="004C75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58" w:type="dxa"/>
          </w:tcPr>
          <w:p w14:paraId="6178CE03" w14:textId="77777777" w:rsidR="004C753C" w:rsidRPr="004C753C" w:rsidRDefault="004C753C" w:rsidP="00947CE2">
            <w:pPr>
              <w:jc w:val="center"/>
              <w:rPr>
                <w:sz w:val="18"/>
                <w:lang w:val="fr-CA"/>
              </w:rPr>
            </w:pPr>
            <w:r w:rsidRPr="004C753C">
              <w:rPr>
                <w:sz w:val="18"/>
                <w:lang w:val="fr-CA"/>
              </w:rPr>
              <w:t>Groupes de discussion (de 5 à 12 participants)</w:t>
            </w:r>
          </w:p>
        </w:tc>
        <w:tc>
          <w:tcPr>
            <w:tcW w:w="1461" w:type="dxa"/>
          </w:tcPr>
          <w:p w14:paraId="72842207" w14:textId="77777777" w:rsidR="004C753C" w:rsidRPr="00FB1FF1" w:rsidRDefault="004C753C" w:rsidP="00947CE2">
            <w:pPr>
              <w:jc w:val="center"/>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Équipe</w:t>
            </w:r>
            <w:proofErr w:type="spellEnd"/>
            <w:r>
              <w:rPr>
                <w:sz w:val="18"/>
              </w:rPr>
              <w:t xml:space="preserve"> de </w:t>
            </w:r>
            <w:proofErr w:type="spellStart"/>
            <w:r>
              <w:rPr>
                <w:sz w:val="18"/>
              </w:rPr>
              <w:t>projet</w:t>
            </w:r>
            <w:proofErr w:type="spellEnd"/>
            <w:r>
              <w:rPr>
                <w:sz w:val="18"/>
              </w:rPr>
              <w:t xml:space="preserve"> </w:t>
            </w:r>
            <w:proofErr w:type="spellStart"/>
            <w:r>
              <w:rPr>
                <w:sz w:val="18"/>
              </w:rPr>
              <w:t>intégrée</w:t>
            </w:r>
            <w:proofErr w:type="spellEnd"/>
          </w:p>
        </w:tc>
        <w:tc>
          <w:tcPr>
            <w:tcW w:w="4315" w:type="dxa"/>
          </w:tcPr>
          <w:p w14:paraId="521A57AF" w14:textId="77777777" w:rsidR="004C753C" w:rsidRPr="004C753C" w:rsidRDefault="004C753C" w:rsidP="00947CE2">
            <w:pPr>
              <w:cnfStyle w:val="000000100000" w:firstRow="0" w:lastRow="0" w:firstColumn="0" w:lastColumn="0" w:oddVBand="0" w:evenVBand="0" w:oddHBand="1" w:evenHBand="0" w:firstRowFirstColumn="0" w:firstRowLastColumn="0" w:lastRowFirstColumn="0" w:lastRowLastColumn="0"/>
              <w:rPr>
                <w:sz w:val="18"/>
                <w:lang w:val="fr-CA"/>
              </w:rPr>
            </w:pPr>
            <w:r w:rsidRPr="004C753C">
              <w:rPr>
                <w:sz w:val="18"/>
                <w:lang w:val="fr-CA"/>
              </w:rPr>
              <w:t>Permet à l’équipe de projet de solliciter des commentaires en particulier de la part des principaux contributeurs sur des sujets précis.</w:t>
            </w:r>
          </w:p>
          <w:p w14:paraId="57A2B934" w14:textId="77777777" w:rsidR="004C753C" w:rsidRPr="004C753C" w:rsidRDefault="004C753C" w:rsidP="00947CE2">
            <w:pPr>
              <w:jc w:val="left"/>
              <w:cnfStyle w:val="000000100000" w:firstRow="0" w:lastRow="0" w:firstColumn="0" w:lastColumn="0" w:oddVBand="0" w:evenVBand="0" w:oddHBand="1" w:evenHBand="0" w:firstRowFirstColumn="0" w:firstRowLastColumn="0" w:lastRowFirstColumn="0" w:lastRowLastColumn="0"/>
              <w:rPr>
                <w:sz w:val="18"/>
                <w:lang w:val="fr-CA"/>
              </w:rPr>
            </w:pPr>
          </w:p>
          <w:p w14:paraId="18A7D78F" w14:textId="77777777" w:rsidR="004C753C" w:rsidRPr="004C753C" w:rsidRDefault="004C753C" w:rsidP="00947CE2">
            <w:pPr>
              <w:jc w:val="center"/>
              <w:cnfStyle w:val="000000100000" w:firstRow="0" w:lastRow="0" w:firstColumn="0" w:lastColumn="0" w:oddVBand="0" w:evenVBand="0" w:oddHBand="1" w:evenHBand="0" w:firstRowFirstColumn="0" w:firstRowLastColumn="0" w:lastRowFirstColumn="0" w:lastRowLastColumn="0"/>
              <w:rPr>
                <w:i/>
                <w:sz w:val="18"/>
                <w:lang w:val="fr-CA"/>
              </w:rPr>
            </w:pPr>
            <w:r w:rsidRPr="004C753C">
              <w:rPr>
                <w:b/>
                <w:i/>
                <w:sz w:val="16"/>
                <w:lang w:val="fr-CA"/>
              </w:rPr>
              <w:t>Gardez à l’esprit qu’</w:t>
            </w:r>
            <w:r w:rsidRPr="004C753C">
              <w:rPr>
                <w:i/>
                <w:sz w:val="16"/>
                <w:lang w:val="fr-CA"/>
              </w:rPr>
              <w:t>il faudra un animateur fiable et une transparence en temps réel des renseignements saisis.</w:t>
            </w:r>
          </w:p>
        </w:tc>
        <w:tc>
          <w:tcPr>
            <w:tcW w:w="3478" w:type="dxa"/>
          </w:tcPr>
          <w:p w14:paraId="7A05505A" w14:textId="77777777" w:rsidR="004C753C" w:rsidRPr="00FB1FF1" w:rsidRDefault="004C753C" w:rsidP="004C753C">
            <w:pPr>
              <w:pStyle w:val="Paragraphedeliste"/>
              <w:numPr>
                <w:ilvl w:val="0"/>
                <w:numId w:val="19"/>
              </w:numPr>
              <w:jc w:val="left"/>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Expérience</w:t>
            </w:r>
            <w:proofErr w:type="spellEnd"/>
            <w:r>
              <w:rPr>
                <w:sz w:val="18"/>
              </w:rPr>
              <w:t xml:space="preserve"> </w:t>
            </w:r>
            <w:proofErr w:type="spellStart"/>
            <w:r>
              <w:rPr>
                <w:sz w:val="18"/>
              </w:rPr>
              <w:t>partagée</w:t>
            </w:r>
            <w:proofErr w:type="spellEnd"/>
          </w:p>
          <w:p w14:paraId="38E890DF" w14:textId="77777777" w:rsidR="004C753C" w:rsidRPr="004C753C" w:rsidRDefault="004C753C" w:rsidP="004C753C">
            <w:pPr>
              <w:pStyle w:val="Paragraphedeliste"/>
              <w:numPr>
                <w:ilvl w:val="0"/>
                <w:numId w:val="19"/>
              </w:numPr>
              <w:jc w:val="left"/>
              <w:cnfStyle w:val="000000100000" w:firstRow="0" w:lastRow="0" w:firstColumn="0" w:lastColumn="0" w:oddVBand="0" w:evenVBand="0" w:oddHBand="1" w:evenHBand="0" w:firstRowFirstColumn="0" w:firstRowLastColumn="0" w:lastRowFirstColumn="0" w:lastRowLastColumn="0"/>
              <w:rPr>
                <w:sz w:val="18"/>
                <w:lang w:val="fr-CA"/>
              </w:rPr>
            </w:pPr>
            <w:r w:rsidRPr="004C753C">
              <w:rPr>
                <w:sz w:val="18"/>
                <w:lang w:val="fr-CA"/>
              </w:rPr>
              <w:t>Les participants réagissent ensemble et s’appuient sur les commentaires des autres.</w:t>
            </w:r>
          </w:p>
          <w:p w14:paraId="4D0A7E5F" w14:textId="77777777" w:rsidR="004C753C" w:rsidRPr="004C753C" w:rsidRDefault="004C753C" w:rsidP="004C753C">
            <w:pPr>
              <w:pStyle w:val="Paragraphedeliste"/>
              <w:numPr>
                <w:ilvl w:val="0"/>
                <w:numId w:val="19"/>
              </w:numPr>
              <w:jc w:val="left"/>
              <w:cnfStyle w:val="000000100000" w:firstRow="0" w:lastRow="0" w:firstColumn="0" w:lastColumn="0" w:oddVBand="0" w:evenVBand="0" w:oddHBand="1" w:evenHBand="0" w:firstRowFirstColumn="0" w:firstRowLastColumn="0" w:lastRowFirstColumn="0" w:lastRowLastColumn="0"/>
              <w:rPr>
                <w:sz w:val="18"/>
                <w:lang w:val="fr-CA"/>
              </w:rPr>
            </w:pPr>
            <w:r w:rsidRPr="004C753C">
              <w:rPr>
                <w:sz w:val="18"/>
                <w:lang w:val="fr-CA"/>
              </w:rPr>
              <w:t>Possibilité d’organiser le public en fonction des sujets</w:t>
            </w:r>
          </w:p>
        </w:tc>
      </w:tr>
      <w:tr w:rsidR="004C753C" w:rsidRPr="00A224E6" w14:paraId="55CAA725" w14:textId="77777777" w:rsidTr="004C753C">
        <w:trPr>
          <w:trHeight w:val="1162"/>
        </w:trPr>
        <w:tc>
          <w:tcPr>
            <w:cnfStyle w:val="001000000000" w:firstRow="0" w:lastRow="0" w:firstColumn="1" w:lastColumn="0" w:oddVBand="0" w:evenVBand="0" w:oddHBand="0" w:evenHBand="0" w:firstRowFirstColumn="0" w:firstRowLastColumn="0" w:lastRowFirstColumn="0" w:lastRowLastColumn="0"/>
            <w:tcW w:w="1858" w:type="dxa"/>
          </w:tcPr>
          <w:p w14:paraId="392A46D7" w14:textId="77777777" w:rsidR="004C753C" w:rsidRPr="00FB1FF1" w:rsidRDefault="004C753C" w:rsidP="00947CE2">
            <w:pPr>
              <w:jc w:val="center"/>
              <w:rPr>
                <w:sz w:val="18"/>
              </w:rPr>
            </w:pPr>
            <w:r>
              <w:rPr>
                <w:sz w:val="18"/>
              </w:rPr>
              <w:t xml:space="preserve">Séances de discussion </w:t>
            </w:r>
            <w:proofErr w:type="spellStart"/>
            <w:r>
              <w:rPr>
                <w:sz w:val="18"/>
              </w:rPr>
              <w:t>ouverte</w:t>
            </w:r>
            <w:proofErr w:type="spellEnd"/>
          </w:p>
        </w:tc>
        <w:tc>
          <w:tcPr>
            <w:tcW w:w="1461" w:type="dxa"/>
          </w:tcPr>
          <w:p w14:paraId="25EC7708" w14:textId="77777777" w:rsidR="004C753C" w:rsidRPr="004C753C" w:rsidRDefault="004C753C" w:rsidP="00947CE2">
            <w:pPr>
              <w:jc w:val="center"/>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Parrain ou champion du projet</w:t>
            </w:r>
          </w:p>
        </w:tc>
        <w:tc>
          <w:tcPr>
            <w:tcW w:w="4315" w:type="dxa"/>
          </w:tcPr>
          <w:p w14:paraId="7B9F27F9" w14:textId="77777777" w:rsidR="004C753C" w:rsidRPr="004C753C" w:rsidRDefault="004C753C" w:rsidP="00947CE2">
            <w:pPr>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Utiliser pour résumer les résultats, célébrer les réussites et aborder les possibilités liées au changement dans tous les publics clés. Un excellent moyen de communiquer les objectifs et la vision du projet et la façon dont ils sont atteints.</w:t>
            </w:r>
          </w:p>
          <w:p w14:paraId="23CD72E5" w14:textId="77777777" w:rsidR="004C753C" w:rsidRPr="004C753C" w:rsidRDefault="004C753C" w:rsidP="00947CE2">
            <w:pPr>
              <w:jc w:val="left"/>
              <w:cnfStyle w:val="000000000000" w:firstRow="0" w:lastRow="0" w:firstColumn="0" w:lastColumn="0" w:oddVBand="0" w:evenVBand="0" w:oddHBand="0" w:evenHBand="0" w:firstRowFirstColumn="0" w:firstRowLastColumn="0" w:lastRowFirstColumn="0" w:lastRowLastColumn="0"/>
              <w:rPr>
                <w:sz w:val="18"/>
                <w:lang w:val="fr-CA"/>
              </w:rPr>
            </w:pPr>
          </w:p>
          <w:p w14:paraId="1BBD835A" w14:textId="77777777" w:rsidR="004C753C" w:rsidRPr="004C753C" w:rsidRDefault="004C753C" w:rsidP="00947CE2">
            <w:pPr>
              <w:jc w:val="center"/>
              <w:cnfStyle w:val="000000000000" w:firstRow="0" w:lastRow="0" w:firstColumn="0" w:lastColumn="0" w:oddVBand="0" w:evenVBand="0" w:oddHBand="0" w:evenHBand="0" w:firstRowFirstColumn="0" w:firstRowLastColumn="0" w:lastRowFirstColumn="0" w:lastRowLastColumn="0"/>
              <w:rPr>
                <w:i/>
                <w:sz w:val="18"/>
                <w:lang w:val="fr-CA"/>
              </w:rPr>
            </w:pPr>
            <w:r w:rsidRPr="004C753C">
              <w:rPr>
                <w:b/>
                <w:i/>
                <w:sz w:val="16"/>
                <w:lang w:val="fr-CA"/>
              </w:rPr>
              <w:t>Gardez à l’esprit qu’il faut</w:t>
            </w:r>
            <w:r w:rsidRPr="004C753C">
              <w:rPr>
                <w:i/>
                <w:sz w:val="16"/>
                <w:lang w:val="fr-CA"/>
              </w:rPr>
              <w:t xml:space="preserve"> un animateur fiable et un programme bien préparé.</w:t>
            </w:r>
          </w:p>
        </w:tc>
        <w:tc>
          <w:tcPr>
            <w:tcW w:w="3478" w:type="dxa"/>
          </w:tcPr>
          <w:p w14:paraId="5064C419" w14:textId="77777777" w:rsidR="004C753C" w:rsidRPr="00FB1FF1" w:rsidRDefault="004C753C" w:rsidP="004C753C">
            <w:pPr>
              <w:pStyle w:val="Paragraphedeliste"/>
              <w:numPr>
                <w:ilvl w:val="0"/>
                <w:numId w:val="20"/>
              </w:numPr>
              <w:jc w:val="left"/>
              <w:cnfStyle w:val="000000000000" w:firstRow="0" w:lastRow="0" w:firstColumn="0" w:lastColumn="0" w:oddVBand="0" w:evenVBand="0" w:oddHBand="0" w:evenHBand="0" w:firstRowFirstColumn="0" w:firstRowLastColumn="0" w:lastRowFirstColumn="0" w:lastRowLastColumn="0"/>
              <w:rPr>
                <w:sz w:val="18"/>
              </w:rPr>
            </w:pPr>
            <w:proofErr w:type="spellStart"/>
            <w:r>
              <w:rPr>
                <w:sz w:val="18"/>
              </w:rPr>
              <w:t>Atteint</w:t>
            </w:r>
            <w:proofErr w:type="spellEnd"/>
            <w:r>
              <w:rPr>
                <w:sz w:val="18"/>
              </w:rPr>
              <w:t xml:space="preserve"> un grand </w:t>
            </w:r>
            <w:proofErr w:type="spellStart"/>
            <w:r>
              <w:rPr>
                <w:sz w:val="18"/>
              </w:rPr>
              <w:t>nombre</w:t>
            </w:r>
            <w:proofErr w:type="spellEnd"/>
            <w:r>
              <w:rPr>
                <w:sz w:val="18"/>
              </w:rPr>
              <w:t xml:space="preserve"> </w:t>
            </w:r>
            <w:proofErr w:type="spellStart"/>
            <w:r>
              <w:rPr>
                <w:sz w:val="18"/>
              </w:rPr>
              <w:t>d’employés</w:t>
            </w:r>
            <w:proofErr w:type="spellEnd"/>
          </w:p>
          <w:p w14:paraId="44C3D9F5" w14:textId="77777777" w:rsidR="004C753C" w:rsidRPr="004C753C" w:rsidRDefault="004C753C" w:rsidP="004C753C">
            <w:pPr>
              <w:pStyle w:val="Paragraphedeliste"/>
              <w:numPr>
                <w:ilvl w:val="0"/>
                <w:numId w:val="20"/>
              </w:numPr>
              <w:jc w:val="left"/>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Crée la transparence entre la haute direction et les employés</w:t>
            </w:r>
          </w:p>
          <w:p w14:paraId="288D74E8" w14:textId="77777777" w:rsidR="004C753C" w:rsidRPr="004C753C" w:rsidRDefault="004C753C" w:rsidP="004C753C">
            <w:pPr>
              <w:pStyle w:val="Paragraphedeliste"/>
              <w:numPr>
                <w:ilvl w:val="0"/>
                <w:numId w:val="20"/>
              </w:numPr>
              <w:jc w:val="left"/>
              <w:cnfStyle w:val="000000000000" w:firstRow="0" w:lastRow="0" w:firstColumn="0" w:lastColumn="0" w:oddVBand="0" w:evenVBand="0" w:oddHBand="0" w:evenHBand="0" w:firstRowFirstColumn="0" w:firstRowLastColumn="0" w:lastRowFirstColumn="0" w:lastRowLastColumn="0"/>
              <w:rPr>
                <w:sz w:val="18"/>
                <w:lang w:val="fr-CA"/>
              </w:rPr>
            </w:pPr>
            <w:r w:rsidRPr="004C753C">
              <w:rPr>
                <w:sz w:val="18"/>
                <w:lang w:val="fr-CA"/>
              </w:rPr>
              <w:t>Sollicite l’avis de la collectivité</w:t>
            </w:r>
          </w:p>
        </w:tc>
      </w:tr>
    </w:tbl>
    <w:p w14:paraId="3B077536" w14:textId="77777777" w:rsidR="004C753C" w:rsidRPr="00A224E6" w:rsidRDefault="004C753C" w:rsidP="004C753C">
      <w:pPr>
        <w:jc w:val="center"/>
        <w:rPr>
          <w:b/>
          <w:i/>
          <w:sz w:val="20"/>
          <w:lang w:val="fr-CA"/>
        </w:rPr>
      </w:pPr>
    </w:p>
    <w:p w14:paraId="27D02A6D" w14:textId="30E45963" w:rsidR="00033755" w:rsidRPr="004C753C" w:rsidRDefault="004C753C" w:rsidP="004C753C">
      <w:pPr>
        <w:jc w:val="center"/>
        <w:rPr>
          <w:i/>
          <w:sz w:val="20"/>
          <w:lang w:val="fr-CA"/>
        </w:rPr>
      </w:pPr>
      <w:r w:rsidRPr="004C753C">
        <w:rPr>
          <w:b/>
          <w:i/>
          <w:sz w:val="20"/>
          <w:lang w:val="fr-CA"/>
        </w:rPr>
        <w:t>Source :</w:t>
      </w:r>
      <w:r w:rsidRPr="004C753C">
        <w:rPr>
          <w:i/>
          <w:sz w:val="20"/>
          <w:lang w:val="fr-CA"/>
        </w:rPr>
        <w:t xml:space="preserve"> Ce tableau a été adapté des </w:t>
      </w:r>
      <w:hyperlink r:id="rId7" w:history="1">
        <w:r w:rsidRPr="004C753C">
          <w:rPr>
            <w:rStyle w:val="Lienhypertexte"/>
            <w:i/>
            <w:sz w:val="20"/>
            <w:lang w:val="fr-CA"/>
          </w:rPr>
          <w:t>options de rétroaction en libre-service dans la boîte à outils de la gestion du changement (pages 38 et 39) par Berkeley, Université de Californie</w:t>
        </w:r>
      </w:hyperlink>
      <w:r w:rsidRPr="004C753C">
        <w:rPr>
          <w:i/>
          <w:sz w:val="20"/>
          <w:lang w:val="fr-CA"/>
        </w:rPr>
        <w:t>.</w:t>
      </w:r>
    </w:p>
    <w:sectPr w:rsidR="00033755" w:rsidRPr="004C753C" w:rsidSect="00BD4DB8">
      <w:headerReference w:type="even" r:id="rId8"/>
      <w:headerReference w:type="default" r:id="rId9"/>
      <w:footerReference w:type="even" r:id="rId10"/>
      <w:footerReference w:type="default" r:id="rId11"/>
      <w:headerReference w:type="first" r:id="rId12"/>
      <w:footerReference w:type="first" r:id="rId13"/>
      <w:pgSz w:w="12240" w:h="15840"/>
      <w:pgMar w:top="510" w:right="510" w:bottom="510" w:left="510" w:header="567"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5BBC2" w14:textId="77777777" w:rsidR="00CC1D0C" w:rsidRDefault="00CC1D0C" w:rsidP="002350C2">
      <w:pPr>
        <w:spacing w:after="0" w:line="240" w:lineRule="auto"/>
      </w:pPr>
      <w:r>
        <w:separator/>
      </w:r>
    </w:p>
  </w:endnote>
  <w:endnote w:type="continuationSeparator" w:id="0">
    <w:p w14:paraId="319A5A7D" w14:textId="77777777" w:rsidR="00CC1D0C" w:rsidRDefault="00CC1D0C" w:rsidP="002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3B7C" w14:textId="77777777" w:rsidR="00A224E6" w:rsidRDefault="00A224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4C753C" w14:paraId="4ECEB4F9" w14:textId="77777777" w:rsidTr="00947CE2">
      <w:trPr>
        <w:jc w:val="right"/>
      </w:trPr>
      <w:tc>
        <w:tcPr>
          <w:tcW w:w="4795" w:type="dxa"/>
          <w:tcBorders>
            <w:top w:val="nil"/>
            <w:left w:val="nil"/>
            <w:bottom w:val="nil"/>
            <w:right w:val="single" w:sz="6" w:space="0" w:color="auto"/>
          </w:tcBorders>
          <w:vAlign w:val="center"/>
          <w:hideMark/>
        </w:tcPr>
        <w:p w14:paraId="2E76D05D" w14:textId="5A75C730" w:rsidR="004C753C" w:rsidRPr="00A224E6" w:rsidRDefault="00A224E6" w:rsidP="00A224E6">
          <w:pPr>
            <w:rPr>
              <w:caps/>
              <w:color w:val="595959" w:themeColor="text1" w:themeTint="A6"/>
              <w:sz w:val="14"/>
              <w:szCs w:val="14"/>
              <w:lang w:val="fr-CA"/>
            </w:rPr>
          </w:pPr>
          <w:r w:rsidRPr="00FB4E67">
            <w:rPr>
              <w:noProof/>
              <w:color w:val="595959" w:themeColor="text1" w:themeTint="A6"/>
              <w:sz w:val="14"/>
              <w:szCs w:val="14"/>
              <w:lang w:val="fr-CA" w:eastAsia="en-CA"/>
            </w:rPr>
            <w:t xml:space="preserve">IRCC </w:t>
          </w:r>
          <w:r w:rsidRPr="00FB4E67">
            <w:rPr>
              <w:color w:val="595959" w:themeColor="text1" w:themeTint="A6"/>
              <w:sz w:val="14"/>
              <w:szCs w:val="14"/>
              <w:lang w:val="fr-CA"/>
            </w:rPr>
            <w:t xml:space="preserve">changement organisationnel et de l’Académie de l’apprentissage (COAA) </w:t>
          </w:r>
          <w:hyperlink r:id="rId1" w:history="1">
            <w:r w:rsidRPr="00FB4E67">
              <w:rPr>
                <w:rStyle w:val="Lienhypertexte"/>
                <w:color w:val="3898F9" w:themeColor="hyperlink" w:themeTint="A6"/>
                <w:sz w:val="14"/>
                <w:szCs w:val="14"/>
                <w:shd w:val="clear" w:color="auto" w:fill="FFFFFF"/>
                <w:lang w:val="fr-CA"/>
              </w:rPr>
              <w:t>IRCC.Change-Changement.IRCC@cic.gc.ca</w:t>
            </w:r>
          </w:hyperlink>
          <w:r w:rsidRPr="00FB4E67">
            <w:rPr>
              <w:caps/>
              <w:color w:val="595959" w:themeColor="text1" w:themeTint="A6"/>
              <w:sz w:val="14"/>
              <w:szCs w:val="14"/>
              <w:lang w:val="fr-CA"/>
            </w:rPr>
            <w:t xml:space="preserve"> October </w:t>
          </w:r>
          <w:r w:rsidRPr="00FB4E67">
            <w:rPr>
              <w:caps/>
              <w:color w:val="595959" w:themeColor="text1" w:themeTint="A6"/>
              <w:sz w:val="14"/>
              <w:szCs w:val="14"/>
              <w:lang w:val="fr-CA"/>
            </w:rPr>
            <w:t>2021</w:t>
          </w:r>
          <w:bookmarkStart w:id="0" w:name="_GoBack"/>
          <w:bookmarkEnd w:id="0"/>
        </w:p>
      </w:tc>
      <w:tc>
        <w:tcPr>
          <w:tcW w:w="250" w:type="pct"/>
          <w:tcBorders>
            <w:top w:val="nil"/>
            <w:left w:val="single" w:sz="6" w:space="0" w:color="auto"/>
            <w:bottom w:val="nil"/>
            <w:right w:val="nil"/>
          </w:tcBorders>
          <w:vAlign w:val="center"/>
          <w:hideMark/>
        </w:tcPr>
        <w:p w14:paraId="1F244DF0" w14:textId="5721BA3B" w:rsidR="004C753C" w:rsidRDefault="004C753C" w:rsidP="004C753C">
          <w:pPr>
            <w:pStyle w:val="Pieddepage"/>
            <w:tabs>
              <w:tab w:val="left" w:pos="720"/>
            </w:tabs>
            <w:spacing w:line="256" w:lineRule="auto"/>
            <w:jc w:val="center"/>
            <w:rPr>
              <w:color w:val="FFFFFF" w:themeColor="background1"/>
            </w:rPr>
          </w:pP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A224E6">
            <w:rPr>
              <w:noProof/>
              <w:color w:val="000000" w:themeColor="text1"/>
            </w:rPr>
            <w:t>1</w:t>
          </w:r>
          <w:r>
            <w:rPr>
              <w:noProof/>
              <w:color w:val="000000" w:themeColor="text1"/>
            </w:rPr>
            <w:fldChar w:fldCharType="end"/>
          </w:r>
        </w:p>
      </w:tc>
    </w:tr>
  </w:tbl>
  <w:p w14:paraId="0D258C48" w14:textId="77777777" w:rsidR="00C12CEC" w:rsidRPr="004C753C" w:rsidRDefault="00C12CEC" w:rsidP="004C753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808C4" w14:textId="77777777" w:rsidR="00A224E6" w:rsidRDefault="00A224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EFA77" w14:textId="77777777" w:rsidR="00CC1D0C" w:rsidRDefault="00CC1D0C" w:rsidP="002350C2">
      <w:pPr>
        <w:spacing w:after="0" w:line="240" w:lineRule="auto"/>
      </w:pPr>
      <w:r>
        <w:separator/>
      </w:r>
    </w:p>
  </w:footnote>
  <w:footnote w:type="continuationSeparator" w:id="0">
    <w:p w14:paraId="0455EBF7" w14:textId="77777777" w:rsidR="00CC1D0C" w:rsidRDefault="00CC1D0C" w:rsidP="0023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4A27" w14:textId="77777777" w:rsidR="00A224E6" w:rsidRDefault="00A224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6830" w14:textId="2D804210" w:rsidR="00C12CEC" w:rsidRDefault="004C753C" w:rsidP="00BD4DB8">
    <w:pPr>
      <w:pStyle w:val="Sous-titre"/>
      <w:spacing w:after="0"/>
      <w:jc w:val="right"/>
      <w:rPr>
        <w:lang w:val="en-US"/>
      </w:rPr>
    </w:pPr>
    <w:r>
      <w:rPr>
        <w:noProof/>
        <w:lang w:val="en-US"/>
      </w:rPr>
      <w:drawing>
        <wp:anchor distT="0" distB="0" distL="114300" distR="114300" simplePos="0" relativeHeight="251658240" behindDoc="1" locked="0" layoutInCell="1" allowOverlap="1" wp14:anchorId="33CC0A8E" wp14:editId="1A4747EB">
          <wp:simplePos x="0" y="0"/>
          <wp:positionH relativeFrom="page">
            <wp:align>left</wp:align>
          </wp:positionH>
          <wp:positionV relativeFrom="paragraph">
            <wp:posOffset>-360045</wp:posOffset>
          </wp:positionV>
          <wp:extent cx="7827758" cy="644056"/>
          <wp:effectExtent l="0" t="0" r="1905" b="381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descr="C:\Users\tabakovi\AppData\Local\Microsoft\Windows\INetCache\Content.Word\Change Management Banner - French.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8059567" cy="6631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2912A" w14:textId="77777777" w:rsidR="00C12CEC" w:rsidRPr="00C12CEC" w:rsidRDefault="00C12CEC" w:rsidP="00C12CEC">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E861" w14:textId="77777777" w:rsidR="00A224E6" w:rsidRDefault="00A224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7B5"/>
    <w:multiLevelType w:val="multilevel"/>
    <w:tmpl w:val="4BD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302A4"/>
    <w:multiLevelType w:val="hybridMultilevel"/>
    <w:tmpl w:val="0B6C739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B0002CF"/>
    <w:multiLevelType w:val="hybridMultilevel"/>
    <w:tmpl w:val="E8E0728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50C7104"/>
    <w:multiLevelType w:val="hybridMultilevel"/>
    <w:tmpl w:val="ECC0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85224"/>
    <w:multiLevelType w:val="hybridMultilevel"/>
    <w:tmpl w:val="CC52E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AD7487"/>
    <w:multiLevelType w:val="hybridMultilevel"/>
    <w:tmpl w:val="6FA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3556D0"/>
    <w:multiLevelType w:val="hybridMultilevel"/>
    <w:tmpl w:val="3EA4A2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F9F006E"/>
    <w:multiLevelType w:val="hybridMultilevel"/>
    <w:tmpl w:val="58763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D163E0"/>
    <w:multiLevelType w:val="hybridMultilevel"/>
    <w:tmpl w:val="BF6C3FA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02A451C"/>
    <w:multiLevelType w:val="hybridMultilevel"/>
    <w:tmpl w:val="1B0C1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FA71DD"/>
    <w:multiLevelType w:val="hybridMultilevel"/>
    <w:tmpl w:val="F21A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907E72"/>
    <w:multiLevelType w:val="hybridMultilevel"/>
    <w:tmpl w:val="3D2A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E8263C"/>
    <w:multiLevelType w:val="hybridMultilevel"/>
    <w:tmpl w:val="05D8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CE6885"/>
    <w:multiLevelType w:val="hybridMultilevel"/>
    <w:tmpl w:val="07F251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9CF04D4"/>
    <w:multiLevelType w:val="hybridMultilevel"/>
    <w:tmpl w:val="CE7850A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5"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7AC649B6"/>
    <w:multiLevelType w:val="hybridMultilevel"/>
    <w:tmpl w:val="2BC8F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AEE474C"/>
    <w:multiLevelType w:val="hybridMultilevel"/>
    <w:tmpl w:val="069A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B6E7AA7"/>
    <w:multiLevelType w:val="hybridMultilevel"/>
    <w:tmpl w:val="4B8EEA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E72361F"/>
    <w:multiLevelType w:val="hybridMultilevel"/>
    <w:tmpl w:val="1E2492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7"/>
  </w:num>
  <w:num w:numId="4">
    <w:abstractNumId w:val="17"/>
  </w:num>
  <w:num w:numId="5">
    <w:abstractNumId w:val="16"/>
  </w:num>
  <w:num w:numId="6">
    <w:abstractNumId w:val="12"/>
  </w:num>
  <w:num w:numId="7">
    <w:abstractNumId w:val="5"/>
  </w:num>
  <w:num w:numId="8">
    <w:abstractNumId w:val="10"/>
  </w:num>
  <w:num w:numId="9">
    <w:abstractNumId w:val="3"/>
  </w:num>
  <w:num w:numId="10">
    <w:abstractNumId w:val="4"/>
  </w:num>
  <w:num w:numId="11">
    <w:abstractNumId w:val="2"/>
  </w:num>
  <w:num w:numId="12">
    <w:abstractNumId w:val="14"/>
  </w:num>
  <w:num w:numId="13">
    <w:abstractNumId w:val="15"/>
  </w:num>
  <w:num w:numId="14">
    <w:abstractNumId w:val="0"/>
  </w:num>
  <w:num w:numId="15">
    <w:abstractNumId w:val="19"/>
  </w:num>
  <w:num w:numId="16">
    <w:abstractNumId w:val="6"/>
  </w:num>
  <w:num w:numId="17">
    <w:abstractNumId w:val="8"/>
  </w:num>
  <w:num w:numId="18">
    <w:abstractNumId w:val="1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52"/>
    <w:rsid w:val="00004655"/>
    <w:rsid w:val="000077F6"/>
    <w:rsid w:val="00017950"/>
    <w:rsid w:val="00033755"/>
    <w:rsid w:val="000358F7"/>
    <w:rsid w:val="00036324"/>
    <w:rsid w:val="00062F53"/>
    <w:rsid w:val="0008206D"/>
    <w:rsid w:val="00096BE7"/>
    <w:rsid w:val="000A021A"/>
    <w:rsid w:val="000C08F0"/>
    <w:rsid w:val="000E1B97"/>
    <w:rsid w:val="000E3A66"/>
    <w:rsid w:val="000F0AA8"/>
    <w:rsid w:val="000F22A6"/>
    <w:rsid w:val="0010751C"/>
    <w:rsid w:val="00114B16"/>
    <w:rsid w:val="00121D4D"/>
    <w:rsid w:val="00156CC7"/>
    <w:rsid w:val="00161DAD"/>
    <w:rsid w:val="001757DD"/>
    <w:rsid w:val="00180B6B"/>
    <w:rsid w:val="00181516"/>
    <w:rsid w:val="001C125A"/>
    <w:rsid w:val="001F0CBD"/>
    <w:rsid w:val="0021236C"/>
    <w:rsid w:val="00233E21"/>
    <w:rsid w:val="002350C2"/>
    <w:rsid w:val="00247929"/>
    <w:rsid w:val="00252CEF"/>
    <w:rsid w:val="00254A98"/>
    <w:rsid w:val="002609F1"/>
    <w:rsid w:val="00265BBE"/>
    <w:rsid w:val="002736AE"/>
    <w:rsid w:val="002755D7"/>
    <w:rsid w:val="002862BC"/>
    <w:rsid w:val="002B2E6F"/>
    <w:rsid w:val="002B5D8E"/>
    <w:rsid w:val="002B6D65"/>
    <w:rsid w:val="002B7D5E"/>
    <w:rsid w:val="002E23F2"/>
    <w:rsid w:val="002E6A28"/>
    <w:rsid w:val="00302C6A"/>
    <w:rsid w:val="00305AAF"/>
    <w:rsid w:val="00305BF3"/>
    <w:rsid w:val="00311F05"/>
    <w:rsid w:val="00317B4B"/>
    <w:rsid w:val="00317E9F"/>
    <w:rsid w:val="00347B52"/>
    <w:rsid w:val="0035312B"/>
    <w:rsid w:val="00370865"/>
    <w:rsid w:val="00382DD0"/>
    <w:rsid w:val="00383A3C"/>
    <w:rsid w:val="0038629D"/>
    <w:rsid w:val="00395821"/>
    <w:rsid w:val="003C18FE"/>
    <w:rsid w:val="003F6584"/>
    <w:rsid w:val="0040427D"/>
    <w:rsid w:val="00405BA0"/>
    <w:rsid w:val="00405DCA"/>
    <w:rsid w:val="0041561A"/>
    <w:rsid w:val="004256FA"/>
    <w:rsid w:val="0043325C"/>
    <w:rsid w:val="004551A8"/>
    <w:rsid w:val="004724E1"/>
    <w:rsid w:val="00477C9A"/>
    <w:rsid w:val="00483800"/>
    <w:rsid w:val="004868F7"/>
    <w:rsid w:val="00492B1B"/>
    <w:rsid w:val="004C48A0"/>
    <w:rsid w:val="004C753C"/>
    <w:rsid w:val="004E130B"/>
    <w:rsid w:val="00507105"/>
    <w:rsid w:val="00524C4A"/>
    <w:rsid w:val="00527874"/>
    <w:rsid w:val="00562B6B"/>
    <w:rsid w:val="00566422"/>
    <w:rsid w:val="005665BB"/>
    <w:rsid w:val="00570102"/>
    <w:rsid w:val="0057159E"/>
    <w:rsid w:val="005827EC"/>
    <w:rsid w:val="005D154F"/>
    <w:rsid w:val="005E278C"/>
    <w:rsid w:val="00602FFE"/>
    <w:rsid w:val="0061539A"/>
    <w:rsid w:val="00653C42"/>
    <w:rsid w:val="006611B5"/>
    <w:rsid w:val="00675C2A"/>
    <w:rsid w:val="00683740"/>
    <w:rsid w:val="00690290"/>
    <w:rsid w:val="006A06A8"/>
    <w:rsid w:val="006A5F5C"/>
    <w:rsid w:val="006D7E8A"/>
    <w:rsid w:val="006F18DE"/>
    <w:rsid w:val="007015C1"/>
    <w:rsid w:val="00712998"/>
    <w:rsid w:val="00730396"/>
    <w:rsid w:val="00743851"/>
    <w:rsid w:val="00744BFA"/>
    <w:rsid w:val="007705B4"/>
    <w:rsid w:val="00771F5F"/>
    <w:rsid w:val="00794CBF"/>
    <w:rsid w:val="007A7610"/>
    <w:rsid w:val="007C2531"/>
    <w:rsid w:val="007C4045"/>
    <w:rsid w:val="007E7C13"/>
    <w:rsid w:val="00800BAC"/>
    <w:rsid w:val="0082116A"/>
    <w:rsid w:val="00835D7E"/>
    <w:rsid w:val="00840E4B"/>
    <w:rsid w:val="00846836"/>
    <w:rsid w:val="00864B28"/>
    <w:rsid w:val="0089030F"/>
    <w:rsid w:val="00894BEF"/>
    <w:rsid w:val="008B5BFA"/>
    <w:rsid w:val="008D7B2D"/>
    <w:rsid w:val="008E12B4"/>
    <w:rsid w:val="008F415F"/>
    <w:rsid w:val="00906C52"/>
    <w:rsid w:val="00910F21"/>
    <w:rsid w:val="00924545"/>
    <w:rsid w:val="009447BE"/>
    <w:rsid w:val="0095627D"/>
    <w:rsid w:val="009A0EB7"/>
    <w:rsid w:val="009B5373"/>
    <w:rsid w:val="009C2E5C"/>
    <w:rsid w:val="009C325B"/>
    <w:rsid w:val="009D7EE3"/>
    <w:rsid w:val="009E6D15"/>
    <w:rsid w:val="00A133DD"/>
    <w:rsid w:val="00A13508"/>
    <w:rsid w:val="00A224E6"/>
    <w:rsid w:val="00A22B07"/>
    <w:rsid w:val="00A27B54"/>
    <w:rsid w:val="00A42C08"/>
    <w:rsid w:val="00A90D0C"/>
    <w:rsid w:val="00AA368E"/>
    <w:rsid w:val="00AD2172"/>
    <w:rsid w:val="00AE65AD"/>
    <w:rsid w:val="00AE79CF"/>
    <w:rsid w:val="00B0208E"/>
    <w:rsid w:val="00B04ADA"/>
    <w:rsid w:val="00B31BFB"/>
    <w:rsid w:val="00B3397F"/>
    <w:rsid w:val="00B45D39"/>
    <w:rsid w:val="00B647C8"/>
    <w:rsid w:val="00B84C98"/>
    <w:rsid w:val="00BA2B1C"/>
    <w:rsid w:val="00BD4DB8"/>
    <w:rsid w:val="00C00302"/>
    <w:rsid w:val="00C07457"/>
    <w:rsid w:val="00C12CEC"/>
    <w:rsid w:val="00C20412"/>
    <w:rsid w:val="00C35EAA"/>
    <w:rsid w:val="00C44863"/>
    <w:rsid w:val="00C95206"/>
    <w:rsid w:val="00CB084B"/>
    <w:rsid w:val="00CC1D0C"/>
    <w:rsid w:val="00CC266D"/>
    <w:rsid w:val="00CD5A14"/>
    <w:rsid w:val="00CE08E3"/>
    <w:rsid w:val="00D03DA5"/>
    <w:rsid w:val="00D04405"/>
    <w:rsid w:val="00D22D18"/>
    <w:rsid w:val="00D30167"/>
    <w:rsid w:val="00D56FB8"/>
    <w:rsid w:val="00D70B3E"/>
    <w:rsid w:val="00D71C56"/>
    <w:rsid w:val="00D828C4"/>
    <w:rsid w:val="00D86297"/>
    <w:rsid w:val="00DA1910"/>
    <w:rsid w:val="00DA40D3"/>
    <w:rsid w:val="00DF039A"/>
    <w:rsid w:val="00DF3EC7"/>
    <w:rsid w:val="00E018AB"/>
    <w:rsid w:val="00E12C53"/>
    <w:rsid w:val="00E12F1B"/>
    <w:rsid w:val="00E31A94"/>
    <w:rsid w:val="00E42547"/>
    <w:rsid w:val="00E52671"/>
    <w:rsid w:val="00E72AFF"/>
    <w:rsid w:val="00E76EFA"/>
    <w:rsid w:val="00E91755"/>
    <w:rsid w:val="00E925E9"/>
    <w:rsid w:val="00E956F2"/>
    <w:rsid w:val="00EB3739"/>
    <w:rsid w:val="00EE0146"/>
    <w:rsid w:val="00EF4373"/>
    <w:rsid w:val="00F02EE2"/>
    <w:rsid w:val="00F31C7C"/>
    <w:rsid w:val="00F46BAE"/>
    <w:rsid w:val="00F74E69"/>
    <w:rsid w:val="00FA18D1"/>
    <w:rsid w:val="00FB760D"/>
    <w:rsid w:val="00FC665C"/>
    <w:rsid w:val="00FE4C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4879C"/>
  <w15:chartTrackingRefBased/>
  <w15:docId w15:val="{14EF852B-8A4B-427C-AC47-CD2A0BE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55"/>
    <w:pPr>
      <w:jc w:val="both"/>
    </w:pPr>
    <w:rPr>
      <w:rFonts w:ascii="Arial" w:hAnsi="Arial" w:cs="Arial"/>
    </w:rPr>
  </w:style>
  <w:style w:type="paragraph" w:styleId="Titre1">
    <w:name w:val="heading 1"/>
    <w:basedOn w:val="Normal"/>
    <w:next w:val="Normal"/>
    <w:link w:val="Titre1Car"/>
    <w:uiPriority w:val="9"/>
    <w:qFormat/>
    <w:rsid w:val="004551A8"/>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Titre2">
    <w:name w:val="heading 2"/>
    <w:basedOn w:val="Normal"/>
    <w:next w:val="Normal"/>
    <w:link w:val="Titre2Car"/>
    <w:uiPriority w:val="9"/>
    <w:unhideWhenUsed/>
    <w:qFormat/>
    <w:rsid w:val="00D30167"/>
    <w:pPr>
      <w:keepNext/>
      <w:keepLines/>
      <w:spacing w:before="40" w:after="0"/>
      <w:outlineLvl w:val="1"/>
    </w:pPr>
    <w:rPr>
      <w:rFonts w:asciiTheme="majorHAnsi" w:eastAsiaTheme="majorEastAsia" w:hAnsiTheme="majorHAnsi" w:cstheme="majorBidi"/>
      <w:color w:val="81B23F"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B52"/>
    <w:pPr>
      <w:ind w:left="720"/>
      <w:contextualSpacing/>
    </w:pPr>
  </w:style>
  <w:style w:type="paragraph" w:styleId="Sansinterligne">
    <w:name w:val="No Spacing"/>
    <w:uiPriority w:val="1"/>
    <w:qFormat/>
    <w:rsid w:val="00347B52"/>
    <w:pPr>
      <w:spacing w:after="0" w:line="240" w:lineRule="auto"/>
    </w:pPr>
  </w:style>
  <w:style w:type="character" w:styleId="Lienhypertexte">
    <w:name w:val="Hyperlink"/>
    <w:basedOn w:val="Policepardfaut"/>
    <w:uiPriority w:val="99"/>
    <w:unhideWhenUsed/>
    <w:rsid w:val="00D04405"/>
    <w:rPr>
      <w:color w:val="0563C1" w:themeColor="hyperlink"/>
      <w:u w:val="single"/>
    </w:rPr>
  </w:style>
  <w:style w:type="character" w:customStyle="1" w:styleId="Titre1Car">
    <w:name w:val="Titre 1 Car"/>
    <w:basedOn w:val="Policepardfaut"/>
    <w:link w:val="Titre1"/>
    <w:uiPriority w:val="9"/>
    <w:rsid w:val="004551A8"/>
    <w:rPr>
      <w:rFonts w:asciiTheme="majorHAnsi" w:eastAsiaTheme="majorEastAsia" w:hAnsiTheme="majorHAnsi" w:cstheme="majorBidi"/>
      <w:color w:val="81B23F" w:themeColor="accent1" w:themeShade="BF"/>
      <w:sz w:val="32"/>
      <w:szCs w:val="32"/>
    </w:rPr>
  </w:style>
  <w:style w:type="paragraph" w:styleId="Citationintense">
    <w:name w:val="Intense Quote"/>
    <w:basedOn w:val="Normal"/>
    <w:next w:val="Normal"/>
    <w:link w:val="CitationintenseCar"/>
    <w:uiPriority w:val="30"/>
    <w:qFormat/>
    <w:rsid w:val="00CB084B"/>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CitationintenseCar">
    <w:name w:val="Citation intense Car"/>
    <w:basedOn w:val="Policepardfaut"/>
    <w:link w:val="Citationintense"/>
    <w:uiPriority w:val="30"/>
    <w:rsid w:val="00CB084B"/>
    <w:rPr>
      <w:i/>
      <w:iCs/>
      <w:color w:val="A8CE75" w:themeColor="accent1"/>
    </w:rPr>
  </w:style>
  <w:style w:type="paragraph" w:styleId="En-tte">
    <w:name w:val="header"/>
    <w:basedOn w:val="Normal"/>
    <w:link w:val="En-tteCar"/>
    <w:uiPriority w:val="99"/>
    <w:unhideWhenUsed/>
    <w:rsid w:val="002350C2"/>
    <w:pPr>
      <w:tabs>
        <w:tab w:val="center" w:pos="4680"/>
        <w:tab w:val="right" w:pos="9360"/>
      </w:tabs>
      <w:spacing w:after="0" w:line="240" w:lineRule="auto"/>
    </w:pPr>
  </w:style>
  <w:style w:type="character" w:customStyle="1" w:styleId="En-tteCar">
    <w:name w:val="En-tête Car"/>
    <w:basedOn w:val="Policepardfaut"/>
    <w:link w:val="En-tte"/>
    <w:uiPriority w:val="99"/>
    <w:rsid w:val="002350C2"/>
  </w:style>
  <w:style w:type="paragraph" w:styleId="Pieddepage">
    <w:name w:val="footer"/>
    <w:basedOn w:val="Normal"/>
    <w:link w:val="PieddepageCar"/>
    <w:uiPriority w:val="99"/>
    <w:unhideWhenUsed/>
    <w:rsid w:val="002350C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350C2"/>
  </w:style>
  <w:style w:type="paragraph" w:styleId="Sous-titre">
    <w:name w:val="Subtitle"/>
    <w:basedOn w:val="Normal"/>
    <w:next w:val="Normal"/>
    <w:link w:val="Sous-titreCar"/>
    <w:uiPriority w:val="11"/>
    <w:qFormat/>
    <w:rsid w:val="00BD4DB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D4DB8"/>
    <w:rPr>
      <w:rFonts w:eastAsiaTheme="minorEastAsia"/>
      <w:color w:val="5A5A5A" w:themeColor="text1" w:themeTint="A5"/>
      <w:spacing w:val="15"/>
    </w:rPr>
  </w:style>
  <w:style w:type="paragraph" w:styleId="Titre">
    <w:name w:val="Title"/>
    <w:basedOn w:val="Normal"/>
    <w:next w:val="Normal"/>
    <w:link w:val="TitreCar"/>
    <w:uiPriority w:val="10"/>
    <w:qFormat/>
    <w:rsid w:val="00BD4D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4DB8"/>
    <w:rPr>
      <w:rFonts w:asciiTheme="majorHAnsi" w:eastAsiaTheme="majorEastAsia" w:hAnsiTheme="majorHAnsi" w:cstheme="majorBidi"/>
      <w:spacing w:val="-10"/>
      <w:kern w:val="28"/>
      <w:sz w:val="56"/>
      <w:szCs w:val="56"/>
    </w:rPr>
  </w:style>
  <w:style w:type="character" w:styleId="Emphaseintense">
    <w:name w:val="Intense Emphasis"/>
    <w:basedOn w:val="Policepardfaut"/>
    <w:uiPriority w:val="21"/>
    <w:qFormat/>
    <w:rsid w:val="00BD4DB8"/>
    <w:rPr>
      <w:i/>
      <w:iCs/>
      <w:color w:val="A8CE75" w:themeColor="accent1"/>
    </w:rPr>
  </w:style>
  <w:style w:type="character" w:styleId="Emphaseple">
    <w:name w:val="Subtle Emphasis"/>
    <w:basedOn w:val="Policepardfaut"/>
    <w:uiPriority w:val="19"/>
    <w:qFormat/>
    <w:rsid w:val="00BD4DB8"/>
    <w:rPr>
      <w:i/>
      <w:iCs/>
      <w:color w:val="404040" w:themeColor="text1" w:themeTint="BF"/>
    </w:rPr>
  </w:style>
  <w:style w:type="character" w:styleId="Marquedecommentaire">
    <w:name w:val="annotation reference"/>
    <w:basedOn w:val="Policepardfaut"/>
    <w:uiPriority w:val="99"/>
    <w:semiHidden/>
    <w:unhideWhenUsed/>
    <w:rsid w:val="001C125A"/>
    <w:rPr>
      <w:sz w:val="16"/>
      <w:szCs w:val="16"/>
    </w:rPr>
  </w:style>
  <w:style w:type="paragraph" w:styleId="Commentaire">
    <w:name w:val="annotation text"/>
    <w:basedOn w:val="Normal"/>
    <w:link w:val="CommentaireCar"/>
    <w:uiPriority w:val="99"/>
    <w:semiHidden/>
    <w:unhideWhenUsed/>
    <w:rsid w:val="001C125A"/>
    <w:pPr>
      <w:spacing w:line="240" w:lineRule="auto"/>
    </w:pPr>
    <w:rPr>
      <w:sz w:val="20"/>
      <w:szCs w:val="20"/>
    </w:rPr>
  </w:style>
  <w:style w:type="character" w:customStyle="1" w:styleId="CommentaireCar">
    <w:name w:val="Commentaire Car"/>
    <w:basedOn w:val="Policepardfaut"/>
    <w:link w:val="Commentaire"/>
    <w:uiPriority w:val="99"/>
    <w:semiHidden/>
    <w:rsid w:val="001C125A"/>
    <w:rPr>
      <w:sz w:val="20"/>
      <w:szCs w:val="20"/>
    </w:rPr>
  </w:style>
  <w:style w:type="paragraph" w:styleId="Objetducommentaire">
    <w:name w:val="annotation subject"/>
    <w:basedOn w:val="Commentaire"/>
    <w:next w:val="Commentaire"/>
    <w:link w:val="ObjetducommentaireCar"/>
    <w:uiPriority w:val="99"/>
    <w:semiHidden/>
    <w:unhideWhenUsed/>
    <w:rsid w:val="001C125A"/>
    <w:rPr>
      <w:b/>
      <w:bCs/>
    </w:rPr>
  </w:style>
  <w:style w:type="character" w:customStyle="1" w:styleId="ObjetducommentaireCar">
    <w:name w:val="Objet du commentaire Car"/>
    <w:basedOn w:val="CommentaireCar"/>
    <w:link w:val="Objetducommentaire"/>
    <w:uiPriority w:val="99"/>
    <w:semiHidden/>
    <w:rsid w:val="001C125A"/>
    <w:rPr>
      <w:b/>
      <w:bCs/>
      <w:sz w:val="20"/>
      <w:szCs w:val="20"/>
    </w:rPr>
  </w:style>
  <w:style w:type="paragraph" w:styleId="Textedebulles">
    <w:name w:val="Balloon Text"/>
    <w:basedOn w:val="Normal"/>
    <w:link w:val="TextedebullesCar"/>
    <w:uiPriority w:val="99"/>
    <w:semiHidden/>
    <w:unhideWhenUsed/>
    <w:rsid w:val="001C12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125A"/>
    <w:rPr>
      <w:rFonts w:ascii="Segoe UI" w:hAnsi="Segoe UI" w:cs="Segoe UI"/>
      <w:sz w:val="18"/>
      <w:szCs w:val="18"/>
    </w:rPr>
  </w:style>
  <w:style w:type="character" w:customStyle="1" w:styleId="Titre2Car">
    <w:name w:val="Titre 2 Car"/>
    <w:basedOn w:val="Policepardfaut"/>
    <w:link w:val="Titre2"/>
    <w:uiPriority w:val="9"/>
    <w:rsid w:val="00D30167"/>
    <w:rPr>
      <w:rFonts w:asciiTheme="majorHAnsi" w:eastAsiaTheme="majorEastAsia" w:hAnsiTheme="majorHAnsi" w:cstheme="majorBidi"/>
      <w:color w:val="81B23F" w:themeColor="accent1" w:themeShade="BF"/>
      <w:sz w:val="26"/>
      <w:szCs w:val="26"/>
    </w:rPr>
  </w:style>
  <w:style w:type="character" w:styleId="Lienhypertextesuivivisit">
    <w:name w:val="FollowedHyperlink"/>
    <w:basedOn w:val="Policepardfaut"/>
    <w:uiPriority w:val="99"/>
    <w:semiHidden/>
    <w:unhideWhenUsed/>
    <w:rsid w:val="00D56FB8"/>
    <w:rPr>
      <w:color w:val="954F72" w:themeColor="followedHyperlink"/>
      <w:u w:val="single"/>
    </w:rPr>
  </w:style>
  <w:style w:type="table" w:styleId="Tableausimple1">
    <w:name w:val="Plain Table 1"/>
    <w:basedOn w:val="TableauNormal"/>
    <w:uiPriority w:val="41"/>
    <w:rsid w:val="00033755"/>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60310">
      <w:bodyDiv w:val="1"/>
      <w:marLeft w:val="0"/>
      <w:marRight w:val="0"/>
      <w:marTop w:val="0"/>
      <w:marBottom w:val="0"/>
      <w:divBdr>
        <w:top w:val="none" w:sz="0" w:space="0" w:color="auto"/>
        <w:left w:val="none" w:sz="0" w:space="0" w:color="auto"/>
        <w:bottom w:val="none" w:sz="0" w:space="0" w:color="auto"/>
        <w:right w:val="none" w:sz="0" w:space="0" w:color="auto"/>
      </w:divBdr>
      <w:divsChild>
        <w:div w:id="2105494034">
          <w:marLeft w:val="0"/>
          <w:marRight w:val="0"/>
          <w:marTop w:val="0"/>
          <w:marBottom w:val="0"/>
          <w:divBdr>
            <w:top w:val="none" w:sz="0" w:space="0" w:color="auto"/>
            <w:left w:val="none" w:sz="0" w:space="0" w:color="auto"/>
            <w:bottom w:val="none" w:sz="0" w:space="0" w:color="auto"/>
            <w:right w:val="none" w:sz="0" w:space="0" w:color="auto"/>
          </w:divBdr>
          <w:divsChild>
            <w:div w:id="1946111131">
              <w:marLeft w:val="0"/>
              <w:marRight w:val="0"/>
              <w:marTop w:val="0"/>
              <w:marBottom w:val="0"/>
              <w:divBdr>
                <w:top w:val="none" w:sz="0" w:space="0" w:color="auto"/>
                <w:left w:val="none" w:sz="0" w:space="0" w:color="auto"/>
                <w:bottom w:val="none" w:sz="0" w:space="0" w:color="auto"/>
                <w:right w:val="none" w:sz="0" w:space="0" w:color="auto"/>
              </w:divBdr>
              <w:divsChild>
                <w:div w:id="1201624960">
                  <w:marLeft w:val="0"/>
                  <w:marRight w:val="0"/>
                  <w:marTop w:val="0"/>
                  <w:marBottom w:val="0"/>
                  <w:divBdr>
                    <w:top w:val="none" w:sz="0" w:space="0" w:color="auto"/>
                    <w:left w:val="none" w:sz="0" w:space="0" w:color="auto"/>
                    <w:bottom w:val="none" w:sz="0" w:space="0" w:color="auto"/>
                    <w:right w:val="none" w:sz="0" w:space="0" w:color="auto"/>
                  </w:divBdr>
                  <w:divsChild>
                    <w:div w:id="275021214">
                      <w:marLeft w:val="0"/>
                      <w:marRight w:val="0"/>
                      <w:marTop w:val="0"/>
                      <w:marBottom w:val="0"/>
                      <w:divBdr>
                        <w:top w:val="none" w:sz="0" w:space="0" w:color="auto"/>
                        <w:left w:val="none" w:sz="0" w:space="0" w:color="auto"/>
                        <w:bottom w:val="none" w:sz="0" w:space="0" w:color="auto"/>
                        <w:right w:val="none" w:sz="0" w:space="0" w:color="auto"/>
                      </w:divBdr>
                      <w:divsChild>
                        <w:div w:id="2107998167">
                          <w:marLeft w:val="0"/>
                          <w:marRight w:val="0"/>
                          <w:marTop w:val="0"/>
                          <w:marBottom w:val="0"/>
                          <w:divBdr>
                            <w:top w:val="none" w:sz="0" w:space="0" w:color="auto"/>
                            <w:left w:val="none" w:sz="0" w:space="0" w:color="auto"/>
                            <w:bottom w:val="none" w:sz="0" w:space="0" w:color="auto"/>
                            <w:right w:val="none" w:sz="0" w:space="0" w:color="auto"/>
                          </w:divBdr>
                          <w:divsChild>
                            <w:div w:id="725881190">
                              <w:marLeft w:val="0"/>
                              <w:marRight w:val="0"/>
                              <w:marTop w:val="0"/>
                              <w:marBottom w:val="0"/>
                              <w:divBdr>
                                <w:top w:val="none" w:sz="0" w:space="0" w:color="auto"/>
                                <w:left w:val="none" w:sz="0" w:space="0" w:color="auto"/>
                                <w:bottom w:val="none" w:sz="0" w:space="0" w:color="auto"/>
                                <w:right w:val="none" w:sz="0" w:space="0" w:color="auto"/>
                              </w:divBdr>
                              <w:divsChild>
                                <w:div w:id="336813621">
                                  <w:marLeft w:val="0"/>
                                  <w:marRight w:val="0"/>
                                  <w:marTop w:val="0"/>
                                  <w:marBottom w:val="0"/>
                                  <w:divBdr>
                                    <w:top w:val="none" w:sz="0" w:space="0" w:color="auto"/>
                                    <w:left w:val="none" w:sz="0" w:space="0" w:color="auto"/>
                                    <w:bottom w:val="none" w:sz="0" w:space="0" w:color="auto"/>
                                    <w:right w:val="none" w:sz="0" w:space="0" w:color="auto"/>
                                  </w:divBdr>
                                  <w:divsChild>
                                    <w:div w:id="808669046">
                                      <w:marLeft w:val="0"/>
                                      <w:marRight w:val="0"/>
                                      <w:marTop w:val="0"/>
                                      <w:marBottom w:val="0"/>
                                      <w:divBdr>
                                        <w:top w:val="none" w:sz="0" w:space="0" w:color="auto"/>
                                        <w:left w:val="none" w:sz="0" w:space="0" w:color="auto"/>
                                        <w:bottom w:val="none" w:sz="0" w:space="0" w:color="auto"/>
                                        <w:right w:val="none" w:sz="0" w:space="0" w:color="auto"/>
                                      </w:divBdr>
                                      <w:divsChild>
                                        <w:div w:id="1074670476">
                                          <w:marLeft w:val="0"/>
                                          <w:marRight w:val="0"/>
                                          <w:marTop w:val="0"/>
                                          <w:marBottom w:val="0"/>
                                          <w:divBdr>
                                            <w:top w:val="none" w:sz="0" w:space="0" w:color="auto"/>
                                            <w:left w:val="none" w:sz="0" w:space="0" w:color="auto"/>
                                            <w:bottom w:val="none" w:sz="0" w:space="0" w:color="auto"/>
                                            <w:right w:val="none" w:sz="0" w:space="0" w:color="auto"/>
                                          </w:divBdr>
                                          <w:divsChild>
                                            <w:div w:id="1102840824">
                                              <w:marLeft w:val="0"/>
                                              <w:marRight w:val="0"/>
                                              <w:marTop w:val="0"/>
                                              <w:marBottom w:val="0"/>
                                              <w:divBdr>
                                                <w:top w:val="none" w:sz="0" w:space="0" w:color="auto"/>
                                                <w:left w:val="none" w:sz="0" w:space="0" w:color="auto"/>
                                                <w:bottom w:val="none" w:sz="0" w:space="0" w:color="auto"/>
                                                <w:right w:val="none" w:sz="0" w:space="0" w:color="auto"/>
                                              </w:divBdr>
                                              <w:divsChild>
                                                <w:div w:id="461732697">
                                                  <w:marLeft w:val="0"/>
                                                  <w:marRight w:val="0"/>
                                                  <w:marTop w:val="0"/>
                                                  <w:marBottom w:val="0"/>
                                                  <w:divBdr>
                                                    <w:top w:val="none" w:sz="0" w:space="0" w:color="auto"/>
                                                    <w:left w:val="none" w:sz="0" w:space="0" w:color="auto"/>
                                                    <w:bottom w:val="none" w:sz="0" w:space="0" w:color="auto"/>
                                                    <w:right w:val="none" w:sz="0" w:space="0" w:color="auto"/>
                                                  </w:divBdr>
                                                  <w:divsChild>
                                                    <w:div w:id="487139825">
                                                      <w:marLeft w:val="0"/>
                                                      <w:marRight w:val="0"/>
                                                      <w:marTop w:val="0"/>
                                                      <w:marBottom w:val="0"/>
                                                      <w:divBdr>
                                                        <w:top w:val="none" w:sz="0" w:space="0" w:color="auto"/>
                                                        <w:left w:val="none" w:sz="0" w:space="0" w:color="auto"/>
                                                        <w:bottom w:val="none" w:sz="0" w:space="0" w:color="auto"/>
                                                        <w:right w:val="none" w:sz="0" w:space="0" w:color="auto"/>
                                                      </w:divBdr>
                                                      <w:divsChild>
                                                        <w:div w:id="814032532">
                                                          <w:marLeft w:val="0"/>
                                                          <w:marRight w:val="0"/>
                                                          <w:marTop w:val="0"/>
                                                          <w:marBottom w:val="0"/>
                                                          <w:divBdr>
                                                            <w:top w:val="none" w:sz="0" w:space="0" w:color="auto"/>
                                                            <w:left w:val="none" w:sz="0" w:space="0" w:color="auto"/>
                                                            <w:bottom w:val="none" w:sz="0" w:space="0" w:color="auto"/>
                                                            <w:right w:val="none" w:sz="0" w:space="0" w:color="auto"/>
                                                          </w:divBdr>
                                                          <w:divsChild>
                                                            <w:div w:id="3695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r.berkeley.edu/sites/default/files/change_management_toolki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Bureau.Sylvain</cp:lastModifiedBy>
  <cp:revision>3</cp:revision>
  <dcterms:created xsi:type="dcterms:W3CDTF">2020-02-21T12:10:00Z</dcterms:created>
  <dcterms:modified xsi:type="dcterms:W3CDTF">2021-10-18T15:12:00Z</dcterms:modified>
</cp:coreProperties>
</file>