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E3" w:rsidRPr="00CB13B9" w:rsidRDefault="00E16DFB" w:rsidP="00432D8A">
      <w:pPr>
        <w:spacing w:after="0"/>
        <w:rPr>
          <w:sz w:val="28"/>
          <w:szCs w:val="28"/>
          <w:lang w:val="fr-CA"/>
        </w:rPr>
      </w:pPr>
      <w:bookmarkStart w:id="0" w:name="_GoBack"/>
      <w:bookmarkEnd w:id="0"/>
      <w:r w:rsidRPr="00CB13B9">
        <w:rPr>
          <w:sz w:val="28"/>
          <w:szCs w:val="28"/>
          <w:lang w:val="fr-CA"/>
        </w:rPr>
        <w:t>Points à faire valoir de</w:t>
      </w:r>
      <w:r w:rsidR="001D0DE3" w:rsidRPr="00CB13B9">
        <w:rPr>
          <w:sz w:val="28"/>
          <w:szCs w:val="28"/>
          <w:lang w:val="fr-CA"/>
        </w:rPr>
        <w:t xml:space="preserve"> Jacquie Manchevsky</w:t>
      </w:r>
      <w:r w:rsidR="009627E8" w:rsidRPr="00CB13B9">
        <w:rPr>
          <w:sz w:val="28"/>
          <w:szCs w:val="28"/>
          <w:lang w:val="fr-CA"/>
        </w:rPr>
        <w:t xml:space="preserve"> – </w:t>
      </w:r>
      <w:r w:rsidRPr="00CB13B9">
        <w:rPr>
          <w:sz w:val="28"/>
          <w:szCs w:val="28"/>
          <w:lang w:val="fr-CA"/>
        </w:rPr>
        <w:t>le 17 mai </w:t>
      </w:r>
      <w:r w:rsidR="009627E8" w:rsidRPr="00CB13B9">
        <w:rPr>
          <w:sz w:val="28"/>
          <w:szCs w:val="28"/>
          <w:lang w:val="fr-CA"/>
        </w:rPr>
        <w:t>2019</w:t>
      </w:r>
    </w:p>
    <w:p w:rsidR="001D0DE3" w:rsidRPr="00CB13B9" w:rsidRDefault="001D0DE3">
      <w:pPr>
        <w:rPr>
          <w:sz w:val="28"/>
          <w:szCs w:val="28"/>
          <w:lang w:val="fr-CA"/>
        </w:rPr>
      </w:pPr>
    </w:p>
    <w:p w:rsidR="001D0DE3" w:rsidRPr="00CB13B9" w:rsidRDefault="008362E8" w:rsidP="000B78D7">
      <w:pPr>
        <w:spacing w:after="0" w:line="240" w:lineRule="auto"/>
        <w:contextualSpacing/>
        <w:rPr>
          <w:b/>
          <w:lang w:val="fr-CA"/>
        </w:rPr>
      </w:pPr>
      <w:r w:rsidRPr="00CB13B9">
        <w:rPr>
          <w:b/>
          <w:sz w:val="28"/>
          <w:szCs w:val="28"/>
          <w:lang w:val="fr-CA"/>
        </w:rPr>
        <w:t>Point trois –</w:t>
      </w:r>
      <w:r w:rsidR="001D0DE3" w:rsidRPr="00CB13B9">
        <w:rPr>
          <w:b/>
          <w:sz w:val="28"/>
          <w:szCs w:val="28"/>
          <w:lang w:val="fr-CA"/>
        </w:rPr>
        <w:t xml:space="preserve"> </w:t>
      </w:r>
      <w:r w:rsidRPr="00CB13B9">
        <w:rPr>
          <w:b/>
          <w:sz w:val="28"/>
          <w:szCs w:val="28"/>
          <w:lang w:val="fr-CA"/>
        </w:rPr>
        <w:t>Mise à jour sur le point de contrôle 3</w:t>
      </w:r>
    </w:p>
    <w:p w:rsidR="001D0DE3" w:rsidRPr="00CB13B9" w:rsidRDefault="008362E8" w:rsidP="000B78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Le point de contrôle 3 a été lancé le 4 mars </w:t>
      </w:r>
      <w:r w:rsidR="001D0DE3" w:rsidRPr="00CB13B9">
        <w:rPr>
          <w:sz w:val="28"/>
          <w:szCs w:val="28"/>
          <w:lang w:val="fr-CA"/>
        </w:rPr>
        <w:t>2019</w:t>
      </w:r>
      <w:r w:rsidRPr="00CB13B9">
        <w:rPr>
          <w:sz w:val="28"/>
          <w:szCs w:val="28"/>
          <w:lang w:val="fr-CA"/>
        </w:rPr>
        <w:t xml:space="preserve"> et devrait se terminer au plus tôt en juin 2019. </w:t>
      </w:r>
      <w:r w:rsidR="001D0DE3" w:rsidRPr="00CB13B9">
        <w:rPr>
          <w:sz w:val="28"/>
          <w:szCs w:val="28"/>
          <w:lang w:val="fr-CA"/>
        </w:rPr>
        <w:t xml:space="preserve"> </w:t>
      </w:r>
    </w:p>
    <w:p w:rsidR="009627E8" w:rsidRPr="00CB13B9" w:rsidRDefault="008362E8" w:rsidP="000B78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Trois fournisseurs sur cinq sont passés au troisième point de contrôle</w:t>
      </w:r>
      <w:r w:rsidR="009627E8" w:rsidRPr="00CB13B9">
        <w:rPr>
          <w:sz w:val="28"/>
          <w:szCs w:val="28"/>
          <w:lang w:val="fr-CA"/>
        </w:rPr>
        <w:t>.</w:t>
      </w:r>
    </w:p>
    <w:p w:rsidR="001D0DE3" w:rsidRPr="00CB13B9" w:rsidRDefault="008362E8" w:rsidP="000B78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Le point de contrôle 3 proposera deux options d’approvisionnement </w:t>
      </w:r>
      <w:r w:rsidR="001D0DE3" w:rsidRPr="00CB13B9">
        <w:rPr>
          <w:sz w:val="28"/>
          <w:szCs w:val="28"/>
          <w:lang w:val="fr-CA"/>
        </w:rPr>
        <w:t>:</w:t>
      </w:r>
    </w:p>
    <w:p w:rsidR="001D0DE3" w:rsidRPr="00CB13B9" w:rsidRDefault="00CB13B9" w:rsidP="000B78D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u</w:t>
      </w:r>
      <w:r w:rsidR="00830B5D" w:rsidRPr="00CB13B9">
        <w:rPr>
          <w:sz w:val="28"/>
          <w:szCs w:val="28"/>
          <w:lang w:val="fr-CA"/>
        </w:rPr>
        <w:t xml:space="preserve">n moyen pour offrir la solution de base </w:t>
      </w:r>
      <w:r w:rsidR="00830B5D" w:rsidRPr="00CB13B9">
        <w:rPr>
          <w:rFonts w:cstheme="minorHAnsi"/>
          <w:sz w:val="28"/>
          <w:szCs w:val="28"/>
          <w:lang w:val="fr-CA"/>
        </w:rPr>
        <w:t>de RH et de paye de la prochaine génération</w:t>
      </w:r>
      <w:r w:rsidR="00830B5D" w:rsidRPr="00CB13B9">
        <w:rPr>
          <w:sz w:val="28"/>
          <w:szCs w:val="28"/>
          <w:lang w:val="fr-CA"/>
        </w:rPr>
        <w:t xml:space="preserve"> de manière efficace et efficiente aux organisations du GC</w:t>
      </w:r>
      <w:r w:rsidR="001D0DE3" w:rsidRPr="00CB13B9">
        <w:rPr>
          <w:sz w:val="28"/>
          <w:szCs w:val="28"/>
          <w:lang w:val="fr-CA"/>
        </w:rPr>
        <w:t xml:space="preserve">; </w:t>
      </w:r>
    </w:p>
    <w:p w:rsidR="001D0DE3" w:rsidRPr="00CB13B9" w:rsidRDefault="00CB13B9" w:rsidP="000B78D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u</w:t>
      </w:r>
      <w:r w:rsidR="00830B5D" w:rsidRPr="00CB13B9">
        <w:rPr>
          <w:sz w:val="28"/>
          <w:szCs w:val="28"/>
          <w:lang w:val="fr-CA"/>
        </w:rPr>
        <w:t>n moyen souple pour offrir d’autres solutions et invoquer d’autres dispositions, au besoin, pour atteindre les résultats opérationnels des organisations au sein de l’organisation du GC</w:t>
      </w:r>
      <w:r w:rsidR="001D0DE3" w:rsidRPr="00CB13B9">
        <w:rPr>
          <w:sz w:val="28"/>
          <w:szCs w:val="28"/>
          <w:lang w:val="fr-CA"/>
        </w:rPr>
        <w:t xml:space="preserve">. </w:t>
      </w:r>
      <w:r w:rsidR="00830B5D" w:rsidRPr="00CB13B9">
        <w:rPr>
          <w:sz w:val="28"/>
          <w:szCs w:val="28"/>
          <w:lang w:val="fr-CA"/>
        </w:rPr>
        <w:t xml:space="preserve"> </w:t>
      </w:r>
    </w:p>
    <w:p w:rsidR="001D0DE3" w:rsidRPr="00CB13B9" w:rsidRDefault="008362E8" w:rsidP="000B78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t>Le point de contrôle trois permettra d’évaluer :</w:t>
      </w:r>
      <w:r w:rsidR="001D0DE3" w:rsidRPr="00CB13B9">
        <w:rPr>
          <w:sz w:val="28"/>
          <w:szCs w:val="28"/>
          <w:lang w:val="fr-CA"/>
        </w:rPr>
        <w:t xml:space="preserve"> </w:t>
      </w:r>
    </w:p>
    <w:p w:rsidR="001D0DE3" w:rsidRPr="00CB13B9" w:rsidRDefault="00CB13B9" w:rsidP="000B78D7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t>l</w:t>
      </w:r>
      <w:r w:rsidR="008362E8" w:rsidRPr="00CB13B9">
        <w:rPr>
          <w:rFonts w:cstheme="minorHAnsi"/>
          <w:sz w:val="28"/>
          <w:szCs w:val="28"/>
          <w:lang w:val="fr-CA"/>
        </w:rPr>
        <w:t>a solution numérique, incluant la gestion des données</w:t>
      </w:r>
      <w:r w:rsidR="001D0DE3" w:rsidRPr="00CB13B9">
        <w:rPr>
          <w:sz w:val="28"/>
          <w:szCs w:val="28"/>
          <w:lang w:val="fr-CA"/>
        </w:rPr>
        <w:t xml:space="preserve">; </w:t>
      </w:r>
    </w:p>
    <w:p w:rsidR="001D0DE3" w:rsidRPr="00CB13B9" w:rsidRDefault="00CB13B9" w:rsidP="000B78D7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t>l</w:t>
      </w:r>
      <w:r w:rsidR="008362E8" w:rsidRPr="00CB13B9">
        <w:rPr>
          <w:rFonts w:cstheme="minorHAnsi"/>
          <w:sz w:val="28"/>
          <w:szCs w:val="28"/>
          <w:lang w:val="fr-CA"/>
        </w:rPr>
        <w:t>a mise en œuvre et la gestion du changement, incluant l’intégrité et la sécurité des services</w:t>
      </w:r>
      <w:r w:rsidR="001D0DE3" w:rsidRPr="00CB13B9">
        <w:rPr>
          <w:sz w:val="28"/>
          <w:szCs w:val="28"/>
          <w:lang w:val="fr-CA"/>
        </w:rPr>
        <w:t xml:space="preserve">; </w:t>
      </w:r>
    </w:p>
    <w:p w:rsidR="001D0DE3" w:rsidRPr="00CB13B9" w:rsidRDefault="00CB13B9" w:rsidP="000B78D7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t>l</w:t>
      </w:r>
      <w:r w:rsidR="008362E8" w:rsidRPr="00CB13B9">
        <w:rPr>
          <w:rFonts w:cstheme="minorHAnsi"/>
          <w:sz w:val="28"/>
          <w:szCs w:val="28"/>
          <w:lang w:val="fr-CA"/>
        </w:rPr>
        <w:t>es expériences de partenariat, incluant un accord sur les niveaux de service</w:t>
      </w:r>
      <w:r w:rsidR="001D0DE3" w:rsidRPr="00CB13B9">
        <w:rPr>
          <w:sz w:val="28"/>
          <w:szCs w:val="28"/>
          <w:lang w:val="fr-CA"/>
        </w:rPr>
        <w:t xml:space="preserve">;  </w:t>
      </w:r>
    </w:p>
    <w:p w:rsidR="001D0DE3" w:rsidRPr="00CB13B9" w:rsidRDefault="00CB13B9" w:rsidP="000B78D7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t>l</w:t>
      </w:r>
      <w:r w:rsidR="008362E8" w:rsidRPr="00CB13B9">
        <w:rPr>
          <w:rFonts w:cstheme="minorHAnsi"/>
          <w:sz w:val="28"/>
          <w:szCs w:val="28"/>
          <w:lang w:val="fr-CA"/>
        </w:rPr>
        <w:t>’optimisation des ressources, incluant les coûts et les services à valeur ajoutée</w:t>
      </w:r>
      <w:r w:rsidR="001D0DE3" w:rsidRPr="00CB13B9">
        <w:rPr>
          <w:sz w:val="28"/>
          <w:szCs w:val="28"/>
          <w:lang w:val="fr-CA"/>
        </w:rPr>
        <w:t>.</w:t>
      </w:r>
      <w:r w:rsidR="008362E8" w:rsidRPr="00CB13B9">
        <w:rPr>
          <w:sz w:val="28"/>
          <w:szCs w:val="28"/>
          <w:lang w:val="fr-CA"/>
        </w:rPr>
        <w:t xml:space="preserve"> </w:t>
      </w:r>
    </w:p>
    <w:p w:rsidR="0083674F" w:rsidRPr="00CB13B9" w:rsidRDefault="00830B5D" w:rsidP="0083674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t>Les méthodes d’évaluation du point de contrôle 3 comprennent ce qui suit :</w:t>
      </w:r>
    </w:p>
    <w:p w:rsidR="0083674F" w:rsidRPr="00CB13B9" w:rsidRDefault="00854DF3" w:rsidP="0083674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b/>
          <w:bCs/>
          <w:sz w:val="28"/>
          <w:szCs w:val="28"/>
          <w:lang w:val="fr-CA"/>
        </w:rPr>
        <w:t>Soumission papier </w:t>
      </w:r>
      <w:r w:rsidR="00C833AC" w:rsidRPr="00CB13B9">
        <w:rPr>
          <w:rFonts w:cstheme="minorHAnsi"/>
          <w:b/>
          <w:bCs/>
          <w:sz w:val="28"/>
          <w:szCs w:val="28"/>
          <w:lang w:val="fr-CA"/>
        </w:rPr>
        <w:t xml:space="preserve">: </w:t>
      </w:r>
      <w:r w:rsidR="00CB13B9" w:rsidRPr="00CB13B9">
        <w:rPr>
          <w:rFonts w:cstheme="minorHAnsi"/>
          <w:iCs/>
          <w:sz w:val="28"/>
          <w:szCs w:val="28"/>
          <w:lang w:val="fr-CA"/>
        </w:rPr>
        <w:t>L</w:t>
      </w:r>
      <w:r w:rsidRPr="00CB13B9">
        <w:rPr>
          <w:rFonts w:cstheme="minorHAnsi"/>
          <w:iCs/>
          <w:sz w:val="28"/>
          <w:szCs w:val="28"/>
          <w:lang w:val="fr-CA"/>
        </w:rPr>
        <w:t>es évaluateurs du G</w:t>
      </w:r>
      <w:r w:rsidR="00C833AC" w:rsidRPr="00CB13B9">
        <w:rPr>
          <w:rFonts w:cstheme="minorHAnsi"/>
          <w:iCs/>
          <w:sz w:val="28"/>
          <w:szCs w:val="28"/>
          <w:lang w:val="fr-CA"/>
        </w:rPr>
        <w:t xml:space="preserve">C </w:t>
      </w:r>
      <w:r w:rsidRPr="00CB13B9">
        <w:rPr>
          <w:rFonts w:cstheme="minorHAnsi"/>
          <w:iCs/>
          <w:sz w:val="28"/>
          <w:szCs w:val="28"/>
          <w:lang w:val="fr-CA"/>
        </w:rPr>
        <w:t xml:space="preserve">évalueront des </w:t>
      </w:r>
      <w:r w:rsidR="00EB6CBD" w:rsidRPr="00CB13B9">
        <w:rPr>
          <w:rFonts w:cstheme="minorHAnsi"/>
          <w:iCs/>
          <w:sz w:val="28"/>
          <w:szCs w:val="28"/>
          <w:lang w:val="fr-CA"/>
        </w:rPr>
        <w:t>soumissions papier traditionnelles</w:t>
      </w:r>
      <w:r w:rsidR="00CB13B9" w:rsidRPr="00CB13B9">
        <w:rPr>
          <w:rFonts w:cstheme="minorHAnsi"/>
          <w:iCs/>
          <w:sz w:val="28"/>
          <w:szCs w:val="28"/>
          <w:lang w:val="fr-CA"/>
        </w:rPr>
        <w:t>.</w:t>
      </w:r>
    </w:p>
    <w:p w:rsidR="0083674F" w:rsidRPr="00CB13B9" w:rsidRDefault="00854DF3" w:rsidP="0083674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b/>
          <w:bCs/>
          <w:sz w:val="28"/>
          <w:szCs w:val="28"/>
          <w:lang w:val="fr-CA"/>
        </w:rPr>
        <w:t>Soumission vidéo </w:t>
      </w:r>
      <w:r w:rsidR="00C833AC" w:rsidRPr="00CB13B9">
        <w:rPr>
          <w:rFonts w:cstheme="minorHAnsi"/>
          <w:b/>
          <w:bCs/>
          <w:sz w:val="28"/>
          <w:szCs w:val="28"/>
          <w:lang w:val="fr-CA"/>
        </w:rPr>
        <w:t xml:space="preserve">: </w:t>
      </w:r>
      <w:r w:rsidR="00CB13B9" w:rsidRPr="00CB13B9">
        <w:rPr>
          <w:rFonts w:cstheme="minorHAnsi"/>
          <w:iCs/>
          <w:sz w:val="28"/>
          <w:szCs w:val="28"/>
          <w:lang w:val="fr-CA"/>
        </w:rPr>
        <w:t>L</w:t>
      </w:r>
      <w:r w:rsidRPr="00CB13B9">
        <w:rPr>
          <w:rFonts w:cstheme="minorHAnsi"/>
          <w:iCs/>
          <w:sz w:val="28"/>
          <w:szCs w:val="28"/>
          <w:lang w:val="fr-CA"/>
        </w:rPr>
        <w:t>es évaluateurs du GC évalueront la</w:t>
      </w:r>
      <w:r w:rsidR="00C833AC" w:rsidRPr="00CB13B9">
        <w:rPr>
          <w:rFonts w:cstheme="minorHAnsi"/>
          <w:iCs/>
          <w:sz w:val="28"/>
          <w:szCs w:val="28"/>
          <w:lang w:val="fr-CA"/>
        </w:rPr>
        <w:t xml:space="preserve"> f</w:t>
      </w:r>
      <w:r w:rsidRPr="00CB13B9">
        <w:rPr>
          <w:rFonts w:cstheme="minorHAnsi"/>
          <w:iCs/>
          <w:sz w:val="28"/>
          <w:szCs w:val="28"/>
          <w:lang w:val="fr-CA"/>
        </w:rPr>
        <w:t>o</w:t>
      </w:r>
      <w:r w:rsidR="00C833AC" w:rsidRPr="00CB13B9">
        <w:rPr>
          <w:rFonts w:cstheme="minorHAnsi"/>
          <w:iCs/>
          <w:sz w:val="28"/>
          <w:szCs w:val="28"/>
          <w:lang w:val="fr-CA"/>
        </w:rPr>
        <w:t>nction</w:t>
      </w:r>
      <w:r w:rsidRPr="00CB13B9">
        <w:rPr>
          <w:rFonts w:cstheme="minorHAnsi"/>
          <w:iCs/>
          <w:sz w:val="28"/>
          <w:szCs w:val="28"/>
          <w:lang w:val="fr-CA"/>
        </w:rPr>
        <w:t xml:space="preserve">nalité d’une solution proposée au moyen d’une </w:t>
      </w:r>
      <w:r w:rsidR="00C833AC" w:rsidRPr="00CB13B9">
        <w:rPr>
          <w:rFonts w:cstheme="minorHAnsi"/>
          <w:iCs/>
          <w:sz w:val="28"/>
          <w:szCs w:val="28"/>
          <w:lang w:val="fr-CA"/>
        </w:rPr>
        <w:t>vid</w:t>
      </w:r>
      <w:r w:rsidRPr="00CB13B9">
        <w:rPr>
          <w:rFonts w:cstheme="minorHAnsi"/>
          <w:iCs/>
          <w:sz w:val="28"/>
          <w:szCs w:val="28"/>
          <w:lang w:val="fr-CA"/>
        </w:rPr>
        <w:t>é</w:t>
      </w:r>
      <w:r w:rsidR="00C833AC" w:rsidRPr="00CB13B9">
        <w:rPr>
          <w:rFonts w:cstheme="minorHAnsi"/>
          <w:iCs/>
          <w:sz w:val="28"/>
          <w:szCs w:val="28"/>
          <w:lang w:val="fr-CA"/>
        </w:rPr>
        <w:t>o</w:t>
      </w:r>
      <w:r w:rsidR="00CB13B9" w:rsidRPr="00CB13B9">
        <w:rPr>
          <w:rFonts w:cstheme="minorHAnsi"/>
          <w:iCs/>
          <w:sz w:val="28"/>
          <w:szCs w:val="28"/>
          <w:lang w:val="fr-CA"/>
        </w:rPr>
        <w:t>.</w:t>
      </w:r>
    </w:p>
    <w:p w:rsidR="0083674F" w:rsidRPr="00CB13B9" w:rsidRDefault="00854DF3" w:rsidP="0083674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b/>
          <w:bCs/>
          <w:sz w:val="28"/>
          <w:szCs w:val="28"/>
          <w:lang w:val="fr-CA"/>
        </w:rPr>
        <w:t>Vérifications des réfé</w:t>
      </w:r>
      <w:r w:rsidR="00C833AC" w:rsidRPr="00CB13B9">
        <w:rPr>
          <w:rFonts w:cstheme="minorHAnsi"/>
          <w:b/>
          <w:bCs/>
          <w:sz w:val="28"/>
          <w:szCs w:val="28"/>
          <w:lang w:val="fr-CA"/>
        </w:rPr>
        <w:t>rences</w:t>
      </w:r>
      <w:r w:rsidRPr="00CB13B9">
        <w:rPr>
          <w:rFonts w:cstheme="minorHAnsi"/>
          <w:b/>
          <w:bCs/>
          <w:sz w:val="28"/>
          <w:szCs w:val="28"/>
          <w:lang w:val="fr-CA"/>
        </w:rPr>
        <w:t> </w:t>
      </w:r>
      <w:r w:rsidR="00C833AC" w:rsidRPr="00CB13B9">
        <w:rPr>
          <w:rFonts w:cstheme="minorHAnsi"/>
          <w:b/>
          <w:bCs/>
          <w:sz w:val="28"/>
          <w:szCs w:val="28"/>
          <w:lang w:val="fr-CA"/>
        </w:rPr>
        <w:t xml:space="preserve">: </w:t>
      </w:r>
      <w:r w:rsidR="00CB13B9" w:rsidRPr="00CB13B9">
        <w:rPr>
          <w:rFonts w:cstheme="minorHAnsi"/>
          <w:bCs/>
          <w:sz w:val="28"/>
          <w:szCs w:val="28"/>
          <w:lang w:val="fr-CA"/>
        </w:rPr>
        <w:t>Le</w:t>
      </w:r>
      <w:r w:rsidR="00CB13B9" w:rsidRPr="00CB13B9">
        <w:rPr>
          <w:rFonts w:cstheme="minorHAnsi"/>
          <w:b/>
          <w:bCs/>
          <w:sz w:val="28"/>
          <w:szCs w:val="28"/>
          <w:lang w:val="fr-CA"/>
        </w:rPr>
        <w:t xml:space="preserve"> </w:t>
      </w:r>
      <w:r w:rsidR="00C833AC" w:rsidRPr="00CB13B9">
        <w:rPr>
          <w:rFonts w:cstheme="minorHAnsi"/>
          <w:iCs/>
          <w:sz w:val="28"/>
          <w:szCs w:val="28"/>
          <w:lang w:val="fr-CA"/>
        </w:rPr>
        <w:t xml:space="preserve">GC </w:t>
      </w:r>
      <w:r w:rsidRPr="00CB13B9">
        <w:rPr>
          <w:rFonts w:cstheme="minorHAnsi"/>
          <w:iCs/>
          <w:sz w:val="28"/>
          <w:szCs w:val="28"/>
          <w:lang w:val="fr-CA"/>
        </w:rPr>
        <w:t>communiquera avec les réfé</w:t>
      </w:r>
      <w:r w:rsidR="00C833AC" w:rsidRPr="00CB13B9">
        <w:rPr>
          <w:rFonts w:cstheme="minorHAnsi"/>
          <w:iCs/>
          <w:sz w:val="28"/>
          <w:szCs w:val="28"/>
          <w:lang w:val="fr-CA"/>
        </w:rPr>
        <w:t xml:space="preserve">rences </w:t>
      </w:r>
      <w:r w:rsidRPr="00CB13B9">
        <w:rPr>
          <w:rFonts w:cstheme="minorHAnsi"/>
          <w:iCs/>
          <w:sz w:val="28"/>
          <w:szCs w:val="28"/>
          <w:lang w:val="fr-CA"/>
        </w:rPr>
        <w:t xml:space="preserve">fournies par le soumissionnaire pour leur poser des questions </w:t>
      </w:r>
      <w:r w:rsidR="00C833AC" w:rsidRPr="00CB13B9">
        <w:rPr>
          <w:rFonts w:cstheme="minorHAnsi"/>
          <w:iCs/>
          <w:sz w:val="28"/>
          <w:szCs w:val="28"/>
          <w:lang w:val="fr-CA"/>
        </w:rPr>
        <w:t>pr</w:t>
      </w:r>
      <w:r w:rsidRPr="00CB13B9">
        <w:rPr>
          <w:rFonts w:cstheme="minorHAnsi"/>
          <w:iCs/>
          <w:sz w:val="28"/>
          <w:szCs w:val="28"/>
          <w:lang w:val="fr-CA"/>
        </w:rPr>
        <w:t>é</w:t>
      </w:r>
      <w:r w:rsidR="00C833AC" w:rsidRPr="00CB13B9">
        <w:rPr>
          <w:rFonts w:cstheme="minorHAnsi"/>
          <w:iCs/>
          <w:sz w:val="28"/>
          <w:szCs w:val="28"/>
          <w:lang w:val="fr-CA"/>
        </w:rPr>
        <w:t>d</w:t>
      </w:r>
      <w:r w:rsidRPr="00CB13B9">
        <w:rPr>
          <w:rFonts w:cstheme="minorHAnsi"/>
          <w:iCs/>
          <w:sz w:val="28"/>
          <w:szCs w:val="28"/>
          <w:lang w:val="fr-CA"/>
        </w:rPr>
        <w:t>é</w:t>
      </w:r>
      <w:r w:rsidR="00C833AC" w:rsidRPr="00CB13B9">
        <w:rPr>
          <w:rFonts w:cstheme="minorHAnsi"/>
          <w:iCs/>
          <w:sz w:val="28"/>
          <w:szCs w:val="28"/>
          <w:lang w:val="fr-CA"/>
        </w:rPr>
        <w:t>termin</w:t>
      </w:r>
      <w:r w:rsidR="00CB13B9" w:rsidRPr="00CB13B9">
        <w:rPr>
          <w:rFonts w:cstheme="minorHAnsi"/>
          <w:iCs/>
          <w:sz w:val="28"/>
          <w:szCs w:val="28"/>
          <w:lang w:val="fr-CA"/>
        </w:rPr>
        <w:t>ées.</w:t>
      </w:r>
    </w:p>
    <w:p w:rsidR="00C833AC" w:rsidRPr="00CB13B9" w:rsidRDefault="00C833AC" w:rsidP="0083674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b/>
          <w:sz w:val="28"/>
          <w:szCs w:val="28"/>
          <w:lang w:val="fr-CA"/>
        </w:rPr>
        <w:t>D</w:t>
      </w:r>
      <w:r w:rsidR="00EB6CBD" w:rsidRPr="00CB13B9">
        <w:rPr>
          <w:rFonts w:cstheme="minorHAnsi"/>
          <w:b/>
          <w:sz w:val="28"/>
          <w:szCs w:val="28"/>
          <w:lang w:val="fr-CA"/>
        </w:rPr>
        <w:t>éfis des solutions numériques </w:t>
      </w:r>
      <w:r w:rsidRPr="00CB13B9">
        <w:rPr>
          <w:rFonts w:cstheme="minorHAnsi"/>
          <w:b/>
          <w:sz w:val="28"/>
          <w:szCs w:val="28"/>
          <w:lang w:val="fr-CA"/>
        </w:rPr>
        <w:t xml:space="preserve">: </w:t>
      </w:r>
    </w:p>
    <w:p w:rsidR="0083674F" w:rsidRPr="00CB13B9" w:rsidRDefault="00EB6CBD" w:rsidP="0083674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bCs/>
          <w:i/>
          <w:sz w:val="28"/>
          <w:szCs w:val="28"/>
          <w:lang w:val="fr-CA"/>
        </w:rPr>
        <w:t>Évaluation pratique a</w:t>
      </w:r>
      <w:r w:rsidR="00C833AC" w:rsidRPr="00CB13B9">
        <w:rPr>
          <w:rFonts w:cstheme="minorHAnsi"/>
          <w:bCs/>
          <w:i/>
          <w:sz w:val="28"/>
          <w:szCs w:val="28"/>
          <w:lang w:val="fr-CA"/>
        </w:rPr>
        <w:t>utonom</w:t>
      </w:r>
      <w:r w:rsidRPr="00CB13B9">
        <w:rPr>
          <w:rFonts w:cstheme="minorHAnsi"/>
          <w:bCs/>
          <w:i/>
          <w:sz w:val="28"/>
          <w:szCs w:val="28"/>
          <w:lang w:val="fr-CA"/>
        </w:rPr>
        <w:t>e</w:t>
      </w:r>
      <w:r w:rsidRPr="00CB13B9">
        <w:rPr>
          <w:rFonts w:cstheme="minorHAnsi"/>
          <w:sz w:val="28"/>
          <w:szCs w:val="28"/>
          <w:lang w:val="fr-CA"/>
        </w:rPr>
        <w:t xml:space="preserve"> –</w:t>
      </w:r>
      <w:r w:rsidR="00C833AC" w:rsidRPr="00CB13B9">
        <w:rPr>
          <w:rFonts w:cstheme="minorHAnsi"/>
          <w:sz w:val="28"/>
          <w:szCs w:val="28"/>
          <w:lang w:val="fr-CA"/>
        </w:rPr>
        <w:t xml:space="preserve"> </w:t>
      </w:r>
      <w:r w:rsidR="00CB13B9" w:rsidRPr="00CB13B9">
        <w:rPr>
          <w:rFonts w:cstheme="minorHAnsi"/>
          <w:sz w:val="28"/>
          <w:szCs w:val="28"/>
          <w:lang w:val="fr-CA"/>
        </w:rPr>
        <w:t>L</w:t>
      </w:r>
      <w:r w:rsidR="00854DF3" w:rsidRPr="00CB13B9">
        <w:rPr>
          <w:rFonts w:cstheme="minorHAnsi"/>
          <w:sz w:val="28"/>
          <w:szCs w:val="28"/>
          <w:lang w:val="fr-CA"/>
        </w:rPr>
        <w:t xml:space="preserve">es évaluateurs du </w:t>
      </w:r>
      <w:r w:rsidR="00854DF3" w:rsidRPr="00CB13B9">
        <w:rPr>
          <w:rFonts w:cstheme="minorHAnsi"/>
          <w:iCs/>
          <w:sz w:val="28"/>
          <w:szCs w:val="28"/>
          <w:lang w:val="fr-CA"/>
        </w:rPr>
        <w:t xml:space="preserve">GC </w:t>
      </w:r>
      <w:r w:rsidR="00724F91" w:rsidRPr="00CB13B9">
        <w:rPr>
          <w:rFonts w:cstheme="minorHAnsi"/>
          <w:iCs/>
          <w:sz w:val="28"/>
          <w:szCs w:val="28"/>
          <w:lang w:val="fr-CA"/>
        </w:rPr>
        <w:t>exécuteront une série de tâches en utilisant les solutions des soumissionnaires sans interagir avec eux</w:t>
      </w:r>
      <w:r w:rsidR="00CB13B9" w:rsidRPr="00CB13B9">
        <w:rPr>
          <w:rFonts w:cstheme="minorHAnsi"/>
          <w:iCs/>
          <w:sz w:val="28"/>
          <w:szCs w:val="28"/>
          <w:lang w:val="fr-CA"/>
        </w:rPr>
        <w:t>.</w:t>
      </w:r>
    </w:p>
    <w:p w:rsidR="0083674F" w:rsidRPr="00CB13B9" w:rsidRDefault="00EB6CBD" w:rsidP="0083674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bCs/>
          <w:i/>
          <w:sz w:val="28"/>
          <w:szCs w:val="28"/>
          <w:lang w:val="fr-CA"/>
        </w:rPr>
        <w:t>Évaluation pratique orientée</w:t>
      </w:r>
      <w:r w:rsidR="00C833AC" w:rsidRPr="00CB13B9">
        <w:rPr>
          <w:rFonts w:cstheme="minorHAnsi"/>
          <w:bCs/>
          <w:sz w:val="28"/>
          <w:szCs w:val="28"/>
          <w:lang w:val="fr-CA"/>
        </w:rPr>
        <w:t xml:space="preserve"> </w:t>
      </w:r>
      <w:r w:rsidRPr="00CB13B9">
        <w:rPr>
          <w:rFonts w:cstheme="minorHAnsi"/>
          <w:sz w:val="28"/>
          <w:szCs w:val="28"/>
          <w:lang w:val="fr-CA"/>
        </w:rPr>
        <w:t>–</w:t>
      </w:r>
      <w:r w:rsidR="00C833AC" w:rsidRPr="00CB13B9">
        <w:rPr>
          <w:rFonts w:cstheme="minorHAnsi"/>
          <w:bCs/>
          <w:sz w:val="28"/>
          <w:szCs w:val="28"/>
          <w:lang w:val="fr-CA"/>
        </w:rPr>
        <w:t xml:space="preserve"> </w:t>
      </w:r>
      <w:r w:rsidR="00CB13B9" w:rsidRPr="00CB13B9">
        <w:rPr>
          <w:rFonts w:cstheme="minorHAnsi"/>
          <w:sz w:val="28"/>
          <w:szCs w:val="28"/>
          <w:lang w:val="fr-CA"/>
        </w:rPr>
        <w:t>L</w:t>
      </w:r>
      <w:r w:rsidR="00854DF3" w:rsidRPr="00CB13B9">
        <w:rPr>
          <w:rFonts w:cstheme="minorHAnsi"/>
          <w:sz w:val="28"/>
          <w:szCs w:val="28"/>
          <w:lang w:val="fr-CA"/>
        </w:rPr>
        <w:t xml:space="preserve">es évaluateurs du </w:t>
      </w:r>
      <w:r w:rsidR="00854DF3" w:rsidRPr="00CB13B9">
        <w:rPr>
          <w:rFonts w:cstheme="minorHAnsi"/>
          <w:iCs/>
          <w:sz w:val="28"/>
          <w:szCs w:val="28"/>
          <w:lang w:val="fr-CA"/>
        </w:rPr>
        <w:t xml:space="preserve">GC </w:t>
      </w:r>
      <w:r w:rsidR="00724F91" w:rsidRPr="00CB13B9">
        <w:rPr>
          <w:rFonts w:cstheme="minorHAnsi"/>
          <w:iCs/>
          <w:sz w:val="28"/>
          <w:szCs w:val="28"/>
          <w:lang w:val="fr-CA"/>
        </w:rPr>
        <w:t>s’assoiront devant un ordinateur, dans une salle de classe, et le soumissionnaire leur donneront une série de tâches à exécuter</w:t>
      </w:r>
      <w:r w:rsidR="00CB13B9" w:rsidRPr="00CB13B9">
        <w:rPr>
          <w:rFonts w:cstheme="minorHAnsi"/>
          <w:iCs/>
          <w:sz w:val="28"/>
          <w:szCs w:val="28"/>
          <w:lang w:val="fr-CA"/>
        </w:rPr>
        <w:t>.</w:t>
      </w:r>
      <w:r w:rsidR="00724F91" w:rsidRPr="00CB13B9">
        <w:rPr>
          <w:rFonts w:cstheme="minorHAnsi"/>
          <w:iCs/>
          <w:sz w:val="28"/>
          <w:szCs w:val="28"/>
          <w:lang w:val="fr-CA"/>
        </w:rPr>
        <w:t xml:space="preserve"> </w:t>
      </w:r>
    </w:p>
    <w:p w:rsidR="0083674F" w:rsidRPr="00CB13B9" w:rsidRDefault="00C833AC" w:rsidP="0083674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bCs/>
          <w:i/>
          <w:sz w:val="28"/>
          <w:szCs w:val="28"/>
          <w:lang w:val="fr-CA"/>
        </w:rPr>
        <w:lastRenderedPageBreak/>
        <w:t>D</w:t>
      </w:r>
      <w:r w:rsidR="00854DF3" w:rsidRPr="00CB13B9">
        <w:rPr>
          <w:rFonts w:cstheme="minorHAnsi"/>
          <w:bCs/>
          <w:i/>
          <w:sz w:val="28"/>
          <w:szCs w:val="28"/>
          <w:lang w:val="fr-CA"/>
        </w:rPr>
        <w:t>é</w:t>
      </w:r>
      <w:r w:rsidRPr="00CB13B9">
        <w:rPr>
          <w:rFonts w:cstheme="minorHAnsi"/>
          <w:bCs/>
          <w:i/>
          <w:sz w:val="28"/>
          <w:szCs w:val="28"/>
          <w:lang w:val="fr-CA"/>
        </w:rPr>
        <w:t>monstrations</w:t>
      </w:r>
      <w:r w:rsidR="00854DF3" w:rsidRPr="00CB13B9">
        <w:rPr>
          <w:rFonts w:cstheme="minorHAnsi"/>
          <w:bCs/>
          <w:i/>
          <w:sz w:val="28"/>
          <w:szCs w:val="28"/>
          <w:lang w:val="fr-CA"/>
        </w:rPr>
        <w:t xml:space="preserve"> en direct</w:t>
      </w:r>
      <w:r w:rsidRPr="00CB13B9">
        <w:rPr>
          <w:rFonts w:cstheme="minorHAnsi"/>
          <w:bCs/>
          <w:sz w:val="28"/>
          <w:szCs w:val="28"/>
          <w:lang w:val="fr-CA"/>
        </w:rPr>
        <w:t xml:space="preserve"> </w:t>
      </w:r>
      <w:r w:rsidR="00854DF3" w:rsidRPr="00CB13B9">
        <w:rPr>
          <w:rFonts w:cstheme="minorHAnsi"/>
          <w:bCs/>
          <w:sz w:val="28"/>
          <w:szCs w:val="28"/>
          <w:lang w:val="fr-CA"/>
        </w:rPr>
        <w:t>–</w:t>
      </w:r>
      <w:r w:rsidRPr="00CB13B9">
        <w:rPr>
          <w:rFonts w:cstheme="minorHAnsi"/>
          <w:sz w:val="28"/>
          <w:szCs w:val="28"/>
          <w:lang w:val="fr-CA"/>
        </w:rPr>
        <w:t xml:space="preserve"> </w:t>
      </w:r>
      <w:r w:rsidR="00CB13B9" w:rsidRPr="00CB13B9">
        <w:rPr>
          <w:rFonts w:cstheme="minorHAnsi"/>
          <w:sz w:val="28"/>
          <w:szCs w:val="28"/>
          <w:lang w:val="fr-CA"/>
        </w:rPr>
        <w:t>L</w:t>
      </w:r>
      <w:r w:rsidR="00854DF3" w:rsidRPr="00CB13B9">
        <w:rPr>
          <w:rFonts w:cstheme="minorHAnsi"/>
          <w:sz w:val="28"/>
          <w:szCs w:val="28"/>
          <w:lang w:val="fr-CA"/>
        </w:rPr>
        <w:t xml:space="preserve">es évaluateurs du </w:t>
      </w:r>
      <w:r w:rsidRPr="00CB13B9">
        <w:rPr>
          <w:rFonts w:cstheme="minorHAnsi"/>
          <w:iCs/>
          <w:sz w:val="28"/>
          <w:szCs w:val="28"/>
          <w:lang w:val="fr-CA"/>
        </w:rPr>
        <w:t xml:space="preserve">GC </w:t>
      </w:r>
      <w:r w:rsidR="00EB6CBD" w:rsidRPr="00CB13B9">
        <w:rPr>
          <w:rFonts w:cstheme="minorHAnsi"/>
          <w:iCs/>
          <w:sz w:val="28"/>
          <w:szCs w:val="28"/>
          <w:lang w:val="fr-CA"/>
        </w:rPr>
        <w:t>évalueront comment la solution proposée permet d’obtenir les résultats nécessaires, en fonction d’interactions avec les soumissionnaires, en direct et en personne</w:t>
      </w:r>
      <w:r w:rsidR="00CB13B9" w:rsidRPr="00CB13B9">
        <w:rPr>
          <w:rFonts w:cstheme="minorHAnsi"/>
          <w:iCs/>
          <w:sz w:val="28"/>
          <w:szCs w:val="28"/>
          <w:lang w:val="fr-CA"/>
        </w:rPr>
        <w:t>.</w:t>
      </w:r>
    </w:p>
    <w:p w:rsidR="00C833AC" w:rsidRPr="00CB13B9" w:rsidRDefault="00C833AC" w:rsidP="0083674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bCs/>
          <w:i/>
          <w:sz w:val="28"/>
          <w:szCs w:val="28"/>
          <w:lang w:val="fr-CA"/>
        </w:rPr>
        <w:t>Pr</w:t>
      </w:r>
      <w:r w:rsidR="00854DF3" w:rsidRPr="00CB13B9">
        <w:rPr>
          <w:rFonts w:cstheme="minorHAnsi"/>
          <w:bCs/>
          <w:i/>
          <w:sz w:val="28"/>
          <w:szCs w:val="28"/>
          <w:lang w:val="fr-CA"/>
        </w:rPr>
        <w:t>é</w:t>
      </w:r>
      <w:r w:rsidRPr="00CB13B9">
        <w:rPr>
          <w:rFonts w:cstheme="minorHAnsi"/>
          <w:bCs/>
          <w:i/>
          <w:sz w:val="28"/>
          <w:szCs w:val="28"/>
          <w:lang w:val="fr-CA"/>
        </w:rPr>
        <w:t>sentations</w:t>
      </w:r>
      <w:r w:rsidRPr="00CB13B9">
        <w:rPr>
          <w:rFonts w:cstheme="minorHAnsi"/>
          <w:sz w:val="28"/>
          <w:szCs w:val="28"/>
          <w:lang w:val="fr-CA"/>
        </w:rPr>
        <w:t xml:space="preserve"> </w:t>
      </w:r>
      <w:r w:rsidR="00854DF3" w:rsidRPr="00CB13B9">
        <w:rPr>
          <w:rFonts w:cstheme="minorHAnsi"/>
          <w:sz w:val="28"/>
          <w:szCs w:val="28"/>
          <w:lang w:val="fr-CA"/>
        </w:rPr>
        <w:t>–</w:t>
      </w:r>
      <w:r w:rsidRPr="00CB13B9">
        <w:rPr>
          <w:rFonts w:cstheme="minorHAnsi"/>
          <w:sz w:val="28"/>
          <w:szCs w:val="28"/>
          <w:lang w:val="fr-CA"/>
        </w:rPr>
        <w:t xml:space="preserve"> </w:t>
      </w:r>
      <w:r w:rsidR="00854DF3" w:rsidRPr="00CB13B9">
        <w:rPr>
          <w:rFonts w:cstheme="minorHAnsi"/>
          <w:iCs/>
          <w:sz w:val="28"/>
          <w:szCs w:val="28"/>
          <w:lang w:val="fr-CA"/>
        </w:rPr>
        <w:t>Le soumissionnaire présente un dossier de présentation aux évaluateurs du GC</w:t>
      </w:r>
      <w:r w:rsidRPr="00CB13B9">
        <w:rPr>
          <w:rFonts w:cstheme="minorHAnsi"/>
          <w:iCs/>
          <w:sz w:val="28"/>
          <w:szCs w:val="28"/>
          <w:lang w:val="fr-CA"/>
        </w:rPr>
        <w:t>.</w:t>
      </w:r>
    </w:p>
    <w:p w:rsidR="000B78D7" w:rsidRPr="00CB13B9" w:rsidRDefault="000B78D7" w:rsidP="00C833AC">
      <w:pPr>
        <w:pStyle w:val="ListParagraph"/>
        <w:spacing w:after="0" w:line="240" w:lineRule="auto"/>
        <w:ind w:left="1080"/>
        <w:rPr>
          <w:sz w:val="28"/>
          <w:szCs w:val="28"/>
          <w:lang w:val="fr-CA"/>
        </w:rPr>
      </w:pPr>
    </w:p>
    <w:p w:rsidR="001D0DE3" w:rsidRPr="00CB13B9" w:rsidRDefault="009A0E3D" w:rsidP="000B78D7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CB13B9">
        <w:rPr>
          <w:b/>
          <w:sz w:val="28"/>
          <w:szCs w:val="28"/>
          <w:lang w:val="fr-CA"/>
        </w:rPr>
        <w:t>Point quatre –</w:t>
      </w:r>
      <w:r w:rsidR="001D0DE3" w:rsidRPr="00CB13B9">
        <w:rPr>
          <w:b/>
          <w:sz w:val="28"/>
          <w:szCs w:val="28"/>
          <w:lang w:val="fr-CA"/>
        </w:rPr>
        <w:t xml:space="preserve"> </w:t>
      </w:r>
      <w:r w:rsidRPr="00CB13B9">
        <w:rPr>
          <w:b/>
          <w:sz w:val="28"/>
          <w:szCs w:val="28"/>
          <w:lang w:val="fr-CA"/>
        </w:rPr>
        <w:t>Expo numérique des utilisateurs</w:t>
      </w:r>
    </w:p>
    <w:p w:rsidR="001D0DE3" w:rsidRPr="00CB13B9" w:rsidRDefault="009A0E3D" w:rsidP="000B78D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Selon la rétroaction reçue pendant l’Expo numérique des utilisateurs en personne, et en vue de s’adresser à un plus grand public, l’Équipe ProGen a élaboré l’expo numérique des utilisateurs pour obtenir la rétroaction en ligne des fonctionnaires d’un océan à l’autre</w:t>
      </w:r>
      <w:r w:rsidR="001D0DE3" w:rsidRPr="00CB13B9">
        <w:rPr>
          <w:sz w:val="28"/>
          <w:szCs w:val="28"/>
          <w:lang w:val="fr-CA"/>
        </w:rPr>
        <w:t xml:space="preserve">. </w:t>
      </w:r>
      <w:r w:rsidRPr="00CB13B9">
        <w:rPr>
          <w:sz w:val="28"/>
          <w:szCs w:val="28"/>
          <w:lang w:val="fr-CA"/>
        </w:rPr>
        <w:t xml:space="preserve"> </w:t>
      </w:r>
    </w:p>
    <w:p w:rsidR="001D0DE3" w:rsidRPr="00CB13B9" w:rsidRDefault="00830B5D" w:rsidP="000B78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L’Expo numérique des utilisateurs a été lancée le 8 avril </w:t>
      </w:r>
      <w:r w:rsidR="001D0DE3" w:rsidRPr="00CB13B9">
        <w:rPr>
          <w:sz w:val="28"/>
          <w:szCs w:val="28"/>
          <w:lang w:val="fr-CA"/>
        </w:rPr>
        <w:t xml:space="preserve">2019 </w:t>
      </w:r>
      <w:r w:rsidR="00CB13B9" w:rsidRPr="00CB13B9">
        <w:rPr>
          <w:sz w:val="28"/>
          <w:szCs w:val="28"/>
          <w:lang w:val="fr-CA"/>
        </w:rPr>
        <w:t>et</w:t>
      </w:r>
      <w:r w:rsidRPr="00CB13B9">
        <w:rPr>
          <w:sz w:val="28"/>
          <w:szCs w:val="28"/>
          <w:lang w:val="fr-CA"/>
        </w:rPr>
        <w:t xml:space="preserve"> s’est déroulée jusqu’au 30 avril </w:t>
      </w:r>
      <w:r w:rsidR="001D0DE3" w:rsidRPr="00CB13B9">
        <w:rPr>
          <w:sz w:val="28"/>
          <w:szCs w:val="28"/>
          <w:lang w:val="fr-CA"/>
        </w:rPr>
        <w:t>2019.</w:t>
      </w:r>
    </w:p>
    <w:p w:rsidR="001D0DE3" w:rsidRPr="00CB13B9" w:rsidRDefault="009A0E3D" w:rsidP="000B78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 xml:space="preserve">Hébergée </w:t>
      </w:r>
      <w:r w:rsidR="00CB13B9" w:rsidRPr="00CB13B9">
        <w:rPr>
          <w:sz w:val="28"/>
          <w:szCs w:val="28"/>
          <w:lang w:val="fr-CA"/>
        </w:rPr>
        <w:t>dans</w:t>
      </w:r>
      <w:r w:rsidRPr="00CB13B9">
        <w:rPr>
          <w:sz w:val="28"/>
          <w:szCs w:val="28"/>
          <w:lang w:val="fr-CA"/>
        </w:rPr>
        <w:t xml:space="preserve"> GCpédia – une plateforme en ligne interne pour les fonctionnaires – l’Expo numérique des utilisateurs comprend trois principales activités </w:t>
      </w:r>
      <w:r w:rsidR="001D0DE3" w:rsidRPr="00CB13B9">
        <w:rPr>
          <w:sz w:val="28"/>
          <w:szCs w:val="28"/>
          <w:lang w:val="fr-CA"/>
        </w:rPr>
        <w:t xml:space="preserve">: </w:t>
      </w:r>
    </w:p>
    <w:p w:rsidR="001D0DE3" w:rsidRPr="00CB13B9" w:rsidRDefault="00CB13B9" w:rsidP="000B78D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l</w:t>
      </w:r>
      <w:r w:rsidR="009A0E3D" w:rsidRPr="00CB13B9">
        <w:rPr>
          <w:sz w:val="28"/>
          <w:szCs w:val="28"/>
          <w:lang w:val="fr-CA"/>
        </w:rPr>
        <w:t>’occasion pour les fonctionnaires d’essayer des solutions possibles et de formuler de la rétroaction</w:t>
      </w:r>
      <w:r w:rsidR="001D0DE3" w:rsidRPr="00CB13B9">
        <w:rPr>
          <w:sz w:val="28"/>
          <w:szCs w:val="28"/>
          <w:lang w:val="fr-CA"/>
        </w:rPr>
        <w:t xml:space="preserve">; </w:t>
      </w:r>
    </w:p>
    <w:p w:rsidR="001D0DE3" w:rsidRPr="00CB13B9" w:rsidRDefault="00CB13B9" w:rsidP="000B78D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l</w:t>
      </w:r>
      <w:r w:rsidR="009A0E3D" w:rsidRPr="00CB13B9">
        <w:rPr>
          <w:sz w:val="28"/>
          <w:szCs w:val="28"/>
          <w:lang w:val="fr-CA"/>
        </w:rPr>
        <w:t>a possibilité de soumettre des questions sur l’initiative ProGen</w:t>
      </w:r>
      <w:r w:rsidR="001D0DE3" w:rsidRPr="00CB13B9">
        <w:rPr>
          <w:sz w:val="28"/>
          <w:szCs w:val="28"/>
          <w:lang w:val="fr-CA"/>
        </w:rPr>
        <w:t xml:space="preserve">; </w:t>
      </w:r>
    </w:p>
    <w:p w:rsidR="001D0DE3" w:rsidRPr="00CB13B9" w:rsidRDefault="00CB13B9" w:rsidP="000B78D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u</w:t>
      </w:r>
      <w:r w:rsidR="009A0E3D" w:rsidRPr="00CB13B9">
        <w:rPr>
          <w:sz w:val="28"/>
          <w:szCs w:val="28"/>
          <w:lang w:val="fr-CA"/>
        </w:rPr>
        <w:t xml:space="preserve">ne chance de partager la rétroaction sur ce que devrait être la solution </w:t>
      </w:r>
      <w:r w:rsidR="009A0E3D" w:rsidRPr="00CB13B9">
        <w:rPr>
          <w:rFonts w:cstheme="minorHAnsi"/>
          <w:sz w:val="28"/>
          <w:szCs w:val="28"/>
          <w:lang w:val="fr-CA"/>
        </w:rPr>
        <w:t>de RH et de paye de la prochaine génération</w:t>
      </w:r>
      <w:r w:rsidR="001D0DE3" w:rsidRPr="00CB13B9">
        <w:rPr>
          <w:sz w:val="28"/>
          <w:szCs w:val="28"/>
          <w:lang w:val="fr-CA"/>
        </w:rPr>
        <w:t>.</w:t>
      </w:r>
      <w:r w:rsidR="009A0E3D" w:rsidRPr="00CB13B9">
        <w:rPr>
          <w:sz w:val="28"/>
          <w:szCs w:val="28"/>
          <w:lang w:val="fr-CA"/>
        </w:rPr>
        <w:t xml:space="preserve"> </w:t>
      </w:r>
    </w:p>
    <w:p w:rsidR="00073FD2" w:rsidRPr="00CB13B9" w:rsidRDefault="00E17DA3" w:rsidP="000B78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L</w:t>
      </w:r>
      <w:r w:rsidR="009A0E3D" w:rsidRPr="00CB13B9">
        <w:rPr>
          <w:sz w:val="28"/>
          <w:szCs w:val="28"/>
          <w:lang w:val="fr-CA"/>
        </w:rPr>
        <w:t xml:space="preserve">a page de l’Expo numérique des utilisateurs a obtenu un </w:t>
      </w:r>
      <w:r w:rsidR="001D0DE3" w:rsidRPr="00CB13B9">
        <w:rPr>
          <w:sz w:val="28"/>
          <w:szCs w:val="28"/>
          <w:lang w:val="fr-CA"/>
        </w:rPr>
        <w:t xml:space="preserve">total </w:t>
      </w:r>
      <w:r w:rsidR="009A0E3D" w:rsidRPr="00CB13B9">
        <w:rPr>
          <w:sz w:val="28"/>
          <w:szCs w:val="28"/>
          <w:lang w:val="fr-CA"/>
        </w:rPr>
        <w:t>de</w:t>
      </w:r>
      <w:r w:rsidR="001D0DE3" w:rsidRPr="00CB13B9">
        <w:rPr>
          <w:sz w:val="28"/>
          <w:szCs w:val="28"/>
          <w:lang w:val="fr-CA"/>
        </w:rPr>
        <w:t xml:space="preserve"> 10</w:t>
      </w:r>
      <w:r w:rsidR="009A0E3D" w:rsidRPr="00CB13B9">
        <w:rPr>
          <w:sz w:val="28"/>
          <w:szCs w:val="28"/>
          <w:lang w:val="fr-CA"/>
        </w:rPr>
        <w:t> </w:t>
      </w:r>
      <w:r w:rsidR="001D0DE3" w:rsidRPr="00CB13B9">
        <w:rPr>
          <w:sz w:val="28"/>
          <w:szCs w:val="28"/>
          <w:lang w:val="fr-CA"/>
        </w:rPr>
        <w:t>268</w:t>
      </w:r>
      <w:r w:rsidR="009A0E3D" w:rsidRPr="00CB13B9">
        <w:rPr>
          <w:sz w:val="28"/>
          <w:szCs w:val="28"/>
          <w:lang w:val="fr-CA"/>
        </w:rPr>
        <w:t> </w:t>
      </w:r>
      <w:r w:rsidR="001D0DE3" w:rsidRPr="00CB13B9">
        <w:rPr>
          <w:sz w:val="28"/>
          <w:szCs w:val="28"/>
          <w:lang w:val="fr-CA"/>
        </w:rPr>
        <w:t>vi</w:t>
      </w:r>
      <w:r w:rsidR="009A0E3D" w:rsidRPr="00CB13B9">
        <w:rPr>
          <w:sz w:val="28"/>
          <w:szCs w:val="28"/>
          <w:lang w:val="fr-CA"/>
        </w:rPr>
        <w:t>sionnements</w:t>
      </w:r>
      <w:r w:rsidR="001D0DE3" w:rsidRPr="00CB13B9">
        <w:rPr>
          <w:sz w:val="28"/>
          <w:szCs w:val="28"/>
          <w:lang w:val="fr-CA"/>
        </w:rPr>
        <w:t xml:space="preserve">, </w:t>
      </w:r>
      <w:r w:rsidR="009A0E3D" w:rsidRPr="00CB13B9">
        <w:rPr>
          <w:sz w:val="28"/>
          <w:szCs w:val="28"/>
          <w:lang w:val="fr-CA"/>
        </w:rPr>
        <w:t xml:space="preserve">a reçu </w:t>
      </w:r>
      <w:r w:rsidR="001D0DE3" w:rsidRPr="00CB13B9">
        <w:rPr>
          <w:sz w:val="28"/>
          <w:szCs w:val="28"/>
          <w:lang w:val="fr-CA"/>
        </w:rPr>
        <w:t>918</w:t>
      </w:r>
      <w:r w:rsidR="009A0E3D" w:rsidRPr="00CB13B9">
        <w:rPr>
          <w:sz w:val="28"/>
          <w:szCs w:val="28"/>
          <w:lang w:val="fr-CA"/>
        </w:rPr>
        <w:t> sondages portant sur la solution</w:t>
      </w:r>
      <w:r w:rsidR="001D0DE3" w:rsidRPr="00CB13B9">
        <w:rPr>
          <w:sz w:val="28"/>
          <w:szCs w:val="28"/>
          <w:lang w:val="fr-CA"/>
        </w:rPr>
        <w:t>, 33</w:t>
      </w:r>
      <w:r w:rsidR="009A0E3D" w:rsidRPr="00CB13B9">
        <w:rPr>
          <w:sz w:val="28"/>
          <w:szCs w:val="28"/>
          <w:lang w:val="fr-CA"/>
        </w:rPr>
        <w:t> rétroactions</w:t>
      </w:r>
      <w:r w:rsidR="001D0DE3" w:rsidRPr="00CB13B9">
        <w:rPr>
          <w:sz w:val="28"/>
          <w:szCs w:val="28"/>
          <w:lang w:val="fr-CA"/>
        </w:rPr>
        <w:t xml:space="preserve"> </w:t>
      </w:r>
      <w:r w:rsidR="009A0E3D" w:rsidRPr="00CB13B9">
        <w:rPr>
          <w:sz w:val="28"/>
          <w:szCs w:val="28"/>
          <w:lang w:val="fr-CA"/>
        </w:rPr>
        <w:t>et</w:t>
      </w:r>
      <w:r w:rsidR="001D0DE3" w:rsidRPr="00CB13B9">
        <w:rPr>
          <w:sz w:val="28"/>
          <w:szCs w:val="28"/>
          <w:lang w:val="fr-CA"/>
        </w:rPr>
        <w:t xml:space="preserve"> 113</w:t>
      </w:r>
      <w:r w:rsidR="009A0E3D" w:rsidRPr="00CB13B9">
        <w:rPr>
          <w:sz w:val="28"/>
          <w:szCs w:val="28"/>
          <w:lang w:val="fr-CA"/>
        </w:rPr>
        <w:t> </w:t>
      </w:r>
      <w:r w:rsidR="001D0DE3" w:rsidRPr="00CB13B9">
        <w:rPr>
          <w:sz w:val="28"/>
          <w:szCs w:val="28"/>
          <w:lang w:val="fr-CA"/>
        </w:rPr>
        <w:t xml:space="preserve">questions. </w:t>
      </w:r>
    </w:p>
    <w:p w:rsidR="001D0DE3" w:rsidRPr="00CB13B9" w:rsidRDefault="00830B5D" w:rsidP="000B78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L’Équipe Pro</w:t>
      </w:r>
      <w:r w:rsidR="001D0DE3" w:rsidRPr="00CB13B9">
        <w:rPr>
          <w:sz w:val="28"/>
          <w:szCs w:val="28"/>
          <w:lang w:val="fr-CA"/>
        </w:rPr>
        <w:t xml:space="preserve">Gen </w:t>
      </w:r>
      <w:r w:rsidRPr="00CB13B9">
        <w:rPr>
          <w:sz w:val="28"/>
          <w:szCs w:val="28"/>
          <w:lang w:val="fr-CA"/>
        </w:rPr>
        <w:t>est déterminée à répondre à chaque</w:t>
      </w:r>
      <w:r w:rsidR="001D0DE3" w:rsidRPr="00CB13B9">
        <w:rPr>
          <w:sz w:val="28"/>
          <w:szCs w:val="28"/>
          <w:lang w:val="fr-CA"/>
        </w:rPr>
        <w:t xml:space="preserve"> question </w:t>
      </w:r>
      <w:r w:rsidRPr="00CB13B9">
        <w:rPr>
          <w:sz w:val="28"/>
          <w:szCs w:val="28"/>
          <w:lang w:val="fr-CA"/>
        </w:rPr>
        <w:t>et est en voie de la faire à l’heure actuelle</w:t>
      </w:r>
      <w:r w:rsidR="001D0DE3" w:rsidRPr="00CB13B9">
        <w:rPr>
          <w:sz w:val="28"/>
          <w:szCs w:val="28"/>
          <w:lang w:val="fr-CA"/>
        </w:rPr>
        <w:t>.</w:t>
      </w:r>
    </w:p>
    <w:p w:rsidR="00C93AFB" w:rsidRPr="00CB13B9" w:rsidRDefault="00830B5D" w:rsidP="000B78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 xml:space="preserve">La rétroaction est extrêmement positive jusqu’à maintenant, sensibilisation </w:t>
      </w:r>
      <w:r w:rsidR="00FC6045" w:rsidRPr="00CB13B9">
        <w:rPr>
          <w:sz w:val="28"/>
          <w:szCs w:val="28"/>
          <w:lang w:val="fr-CA"/>
        </w:rPr>
        <w:t xml:space="preserve">en </w:t>
      </w:r>
      <w:r w:rsidRPr="00CB13B9">
        <w:rPr>
          <w:sz w:val="28"/>
          <w:szCs w:val="28"/>
          <w:lang w:val="fr-CA"/>
        </w:rPr>
        <w:t xml:space="preserve">Ontario, </w:t>
      </w:r>
      <w:r w:rsidR="00FC6045" w:rsidRPr="00CB13B9">
        <w:rPr>
          <w:sz w:val="28"/>
          <w:szCs w:val="28"/>
          <w:lang w:val="fr-CA"/>
        </w:rPr>
        <w:t>au</w:t>
      </w:r>
      <w:r w:rsidRPr="00CB13B9">
        <w:rPr>
          <w:sz w:val="28"/>
          <w:szCs w:val="28"/>
          <w:lang w:val="fr-CA"/>
        </w:rPr>
        <w:t xml:space="preserve"> Québec, </w:t>
      </w:r>
      <w:r w:rsidR="00FC6045" w:rsidRPr="00CB13B9">
        <w:rPr>
          <w:sz w:val="28"/>
          <w:szCs w:val="28"/>
          <w:lang w:val="fr-CA"/>
        </w:rPr>
        <w:t>au</w:t>
      </w:r>
      <w:r w:rsidRPr="00CB13B9">
        <w:rPr>
          <w:sz w:val="28"/>
          <w:szCs w:val="28"/>
          <w:lang w:val="fr-CA"/>
        </w:rPr>
        <w:t xml:space="preserve"> Nouveau</w:t>
      </w:r>
      <w:r w:rsidRPr="00CB13B9">
        <w:rPr>
          <w:sz w:val="28"/>
          <w:szCs w:val="28"/>
          <w:lang w:val="fr-CA"/>
        </w:rPr>
        <w:noBreakHyphen/>
        <w:t xml:space="preserve">Brunswick, </w:t>
      </w:r>
      <w:r w:rsidR="00FC6045" w:rsidRPr="00CB13B9">
        <w:rPr>
          <w:sz w:val="28"/>
          <w:szCs w:val="28"/>
          <w:lang w:val="fr-CA"/>
        </w:rPr>
        <w:t>en</w:t>
      </w:r>
      <w:r w:rsidRPr="00CB13B9">
        <w:rPr>
          <w:sz w:val="28"/>
          <w:szCs w:val="28"/>
          <w:lang w:val="fr-CA"/>
        </w:rPr>
        <w:t xml:space="preserve"> Nouvelle</w:t>
      </w:r>
      <w:r w:rsidRPr="00CB13B9">
        <w:rPr>
          <w:sz w:val="28"/>
          <w:szCs w:val="28"/>
          <w:lang w:val="fr-CA"/>
        </w:rPr>
        <w:noBreakHyphen/>
        <w:t xml:space="preserve">Écosse, </w:t>
      </w:r>
      <w:r w:rsidR="00FC6045" w:rsidRPr="00CB13B9">
        <w:rPr>
          <w:sz w:val="28"/>
          <w:szCs w:val="28"/>
          <w:lang w:val="fr-CA"/>
        </w:rPr>
        <w:t>en</w:t>
      </w:r>
      <w:r w:rsidRPr="00CB13B9">
        <w:rPr>
          <w:sz w:val="28"/>
          <w:szCs w:val="28"/>
          <w:lang w:val="fr-CA"/>
        </w:rPr>
        <w:t xml:space="preserve"> Colombie</w:t>
      </w:r>
      <w:r w:rsidRPr="00CB13B9">
        <w:rPr>
          <w:sz w:val="28"/>
          <w:szCs w:val="28"/>
          <w:lang w:val="fr-CA"/>
        </w:rPr>
        <w:noBreakHyphen/>
        <w:t xml:space="preserve">Britannique, </w:t>
      </w:r>
      <w:r w:rsidR="00FC6045" w:rsidRPr="00CB13B9">
        <w:rPr>
          <w:sz w:val="28"/>
          <w:szCs w:val="28"/>
          <w:lang w:val="fr-CA"/>
        </w:rPr>
        <w:t xml:space="preserve">en </w:t>
      </w:r>
      <w:r w:rsidRPr="00CB13B9">
        <w:rPr>
          <w:sz w:val="28"/>
          <w:szCs w:val="28"/>
          <w:lang w:val="fr-CA"/>
        </w:rPr>
        <w:t xml:space="preserve">Alberta, </w:t>
      </w:r>
      <w:r w:rsidR="00FC6045" w:rsidRPr="00CB13B9">
        <w:rPr>
          <w:sz w:val="28"/>
          <w:szCs w:val="28"/>
          <w:lang w:val="fr-CA"/>
        </w:rPr>
        <w:t>en</w:t>
      </w:r>
      <w:r w:rsidRPr="00CB13B9">
        <w:rPr>
          <w:sz w:val="28"/>
          <w:szCs w:val="28"/>
          <w:lang w:val="fr-CA"/>
        </w:rPr>
        <w:t xml:space="preserve"> Saskatchewan et </w:t>
      </w:r>
      <w:r w:rsidR="00FC6045" w:rsidRPr="00CB13B9">
        <w:rPr>
          <w:sz w:val="28"/>
          <w:szCs w:val="28"/>
          <w:lang w:val="fr-CA"/>
        </w:rPr>
        <w:t xml:space="preserve">à </w:t>
      </w:r>
      <w:r w:rsidRPr="00CB13B9">
        <w:rPr>
          <w:sz w:val="28"/>
          <w:szCs w:val="28"/>
          <w:lang w:val="fr-CA"/>
        </w:rPr>
        <w:t>Terre</w:t>
      </w:r>
      <w:r w:rsidRPr="00CB13B9">
        <w:rPr>
          <w:sz w:val="28"/>
          <w:szCs w:val="28"/>
          <w:lang w:val="fr-CA"/>
        </w:rPr>
        <w:noBreakHyphen/>
        <w:t>Neuve</w:t>
      </w:r>
      <w:r w:rsidRPr="00CB13B9">
        <w:rPr>
          <w:sz w:val="28"/>
          <w:szCs w:val="28"/>
          <w:lang w:val="fr-CA"/>
        </w:rPr>
        <w:noBreakHyphen/>
        <w:t>et</w:t>
      </w:r>
      <w:r w:rsidRPr="00CB13B9">
        <w:rPr>
          <w:sz w:val="28"/>
          <w:szCs w:val="28"/>
          <w:lang w:val="fr-CA"/>
        </w:rPr>
        <w:noBreakHyphen/>
        <w:t>Labrador</w:t>
      </w:r>
      <w:r w:rsidR="00C93AFB" w:rsidRPr="00CB13B9">
        <w:rPr>
          <w:sz w:val="28"/>
          <w:szCs w:val="28"/>
          <w:lang w:val="fr-CA"/>
        </w:rPr>
        <w:t>.</w:t>
      </w:r>
    </w:p>
    <w:p w:rsidR="001D0DE3" w:rsidRPr="00CB13B9" w:rsidRDefault="001D0DE3" w:rsidP="000B78D7">
      <w:pPr>
        <w:spacing w:after="0" w:line="240" w:lineRule="auto"/>
        <w:contextualSpacing/>
        <w:rPr>
          <w:lang w:val="fr-CA"/>
        </w:rPr>
      </w:pPr>
    </w:p>
    <w:p w:rsidR="00C93AFB" w:rsidRPr="00CB13B9" w:rsidRDefault="00830B5D" w:rsidP="000B78D7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CB13B9">
        <w:rPr>
          <w:b/>
          <w:sz w:val="28"/>
          <w:szCs w:val="28"/>
          <w:lang w:val="fr-CA"/>
        </w:rPr>
        <w:t xml:space="preserve">Point cinq </w:t>
      </w:r>
      <w:r w:rsidR="00591E50" w:rsidRPr="00CB13B9">
        <w:rPr>
          <w:rFonts w:cstheme="minorHAnsi"/>
          <w:b/>
          <w:sz w:val="28"/>
          <w:szCs w:val="28"/>
          <w:lang w:val="fr-CA"/>
        </w:rPr>
        <w:t>–</w:t>
      </w:r>
      <w:r w:rsidR="00C93AFB" w:rsidRPr="00CB13B9">
        <w:rPr>
          <w:b/>
          <w:sz w:val="28"/>
          <w:szCs w:val="28"/>
          <w:lang w:val="fr-CA"/>
        </w:rPr>
        <w:t xml:space="preserve"> Communications</w:t>
      </w:r>
    </w:p>
    <w:p w:rsidR="001F58BF" w:rsidRPr="00CB13B9" w:rsidRDefault="00830B5D" w:rsidP="000B78D7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Rapport du directeur parlementaire du budget (DPB)</w:t>
      </w:r>
      <w:r w:rsidR="00073FD2" w:rsidRPr="00CB13B9">
        <w:rPr>
          <w:sz w:val="28"/>
          <w:szCs w:val="28"/>
          <w:lang w:val="fr-CA"/>
        </w:rPr>
        <w:t xml:space="preserve"> </w:t>
      </w:r>
    </w:p>
    <w:p w:rsidR="001F58BF" w:rsidRPr="00CB13B9" w:rsidRDefault="00830B5D" w:rsidP="000B78D7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t>Le rapport présente une estimation i</w:t>
      </w:r>
      <w:r w:rsidR="001F58BF" w:rsidRPr="00CB13B9">
        <w:rPr>
          <w:rFonts w:cstheme="minorHAnsi"/>
          <w:sz w:val="28"/>
          <w:szCs w:val="28"/>
          <w:lang w:val="fr-CA"/>
        </w:rPr>
        <w:t>nd</w:t>
      </w:r>
      <w:r w:rsidRPr="00CB13B9">
        <w:rPr>
          <w:rFonts w:cstheme="minorHAnsi"/>
          <w:sz w:val="28"/>
          <w:szCs w:val="28"/>
          <w:lang w:val="fr-CA"/>
        </w:rPr>
        <w:t>é</w:t>
      </w:r>
      <w:r w:rsidR="001F58BF" w:rsidRPr="00CB13B9">
        <w:rPr>
          <w:rFonts w:cstheme="minorHAnsi"/>
          <w:sz w:val="28"/>
          <w:szCs w:val="28"/>
          <w:lang w:val="fr-CA"/>
        </w:rPr>
        <w:t>pend</w:t>
      </w:r>
      <w:r w:rsidRPr="00CB13B9">
        <w:rPr>
          <w:rFonts w:cstheme="minorHAnsi"/>
          <w:sz w:val="28"/>
          <w:szCs w:val="28"/>
          <w:lang w:val="fr-CA"/>
        </w:rPr>
        <w:t>a</w:t>
      </w:r>
      <w:r w:rsidR="001F58BF" w:rsidRPr="00CB13B9">
        <w:rPr>
          <w:rFonts w:cstheme="minorHAnsi"/>
          <w:sz w:val="28"/>
          <w:szCs w:val="28"/>
          <w:lang w:val="fr-CA"/>
        </w:rPr>
        <w:t>nt</w:t>
      </w:r>
      <w:r w:rsidRPr="00CB13B9">
        <w:rPr>
          <w:rFonts w:cstheme="minorHAnsi"/>
          <w:sz w:val="28"/>
          <w:szCs w:val="28"/>
          <w:lang w:val="fr-CA"/>
        </w:rPr>
        <w:t>e</w:t>
      </w:r>
      <w:r w:rsidR="001F58BF" w:rsidRPr="00CB13B9">
        <w:rPr>
          <w:rFonts w:cstheme="minorHAnsi"/>
          <w:sz w:val="28"/>
          <w:szCs w:val="28"/>
          <w:lang w:val="fr-CA"/>
        </w:rPr>
        <w:t xml:space="preserve"> </w:t>
      </w:r>
      <w:r w:rsidRPr="00CB13B9">
        <w:rPr>
          <w:rFonts w:cstheme="minorHAnsi"/>
          <w:sz w:val="28"/>
          <w:szCs w:val="28"/>
          <w:lang w:val="fr-CA"/>
        </w:rPr>
        <w:t>du coût de remplacement du système</w:t>
      </w:r>
      <w:r w:rsidR="00DC0A10" w:rsidRPr="00CB13B9">
        <w:rPr>
          <w:rFonts w:cstheme="minorHAnsi"/>
          <w:sz w:val="28"/>
          <w:szCs w:val="28"/>
          <w:lang w:val="fr-CA"/>
        </w:rPr>
        <w:t xml:space="preserve"> </w:t>
      </w:r>
      <w:r w:rsidRPr="00CB13B9">
        <w:rPr>
          <w:rFonts w:cstheme="minorHAnsi"/>
          <w:sz w:val="28"/>
          <w:szCs w:val="28"/>
          <w:lang w:val="fr-CA"/>
        </w:rPr>
        <w:t xml:space="preserve">de paye </w:t>
      </w:r>
      <w:r w:rsidR="001F58BF" w:rsidRPr="00CB13B9">
        <w:rPr>
          <w:rFonts w:cstheme="minorHAnsi"/>
          <w:sz w:val="28"/>
          <w:szCs w:val="28"/>
          <w:lang w:val="fr-CA"/>
        </w:rPr>
        <w:t>Ph</w:t>
      </w:r>
      <w:r w:rsidRPr="00CB13B9">
        <w:rPr>
          <w:rFonts w:cstheme="minorHAnsi"/>
          <w:sz w:val="28"/>
          <w:szCs w:val="28"/>
          <w:lang w:val="fr-CA"/>
        </w:rPr>
        <w:t>é</w:t>
      </w:r>
      <w:r w:rsidR="001F58BF" w:rsidRPr="00CB13B9">
        <w:rPr>
          <w:rFonts w:cstheme="minorHAnsi"/>
          <w:sz w:val="28"/>
          <w:szCs w:val="28"/>
          <w:lang w:val="fr-CA"/>
        </w:rPr>
        <w:t xml:space="preserve">nix. </w:t>
      </w:r>
    </w:p>
    <w:p w:rsidR="001F58BF" w:rsidRPr="00CB13B9" w:rsidRDefault="00DC0A10" w:rsidP="000B78D7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lastRenderedPageBreak/>
        <w:t>Il présente l’évaluation des coûts liés à l’achat et à la mise en œuvre d’un nouveau logiciel et prévoit les coûts d’exploitation sur 10 ans</w:t>
      </w:r>
      <w:r w:rsidR="001F58BF" w:rsidRPr="00CB13B9">
        <w:rPr>
          <w:rFonts w:cstheme="minorHAnsi"/>
          <w:sz w:val="28"/>
          <w:szCs w:val="28"/>
          <w:lang w:val="fr-CA"/>
        </w:rPr>
        <w:t>.</w:t>
      </w:r>
    </w:p>
    <w:p w:rsidR="001F58BF" w:rsidRPr="00CB13B9" w:rsidRDefault="00830B5D" w:rsidP="000B78D7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rFonts w:cstheme="minorHAnsi"/>
          <w:bCs/>
          <w:sz w:val="28"/>
          <w:szCs w:val="28"/>
          <w:lang w:val="fr-CA"/>
        </w:rPr>
        <w:t xml:space="preserve">Les coûts sont limités uniquement au remplacement d’un système de paye comme </w:t>
      </w:r>
      <w:r w:rsidR="001F58BF" w:rsidRPr="00CB13B9">
        <w:rPr>
          <w:rFonts w:cstheme="minorHAnsi"/>
          <w:bCs/>
          <w:sz w:val="28"/>
          <w:szCs w:val="28"/>
          <w:lang w:val="fr-CA"/>
        </w:rPr>
        <w:t>Ph</w:t>
      </w:r>
      <w:r w:rsidRPr="00CB13B9">
        <w:rPr>
          <w:rFonts w:cstheme="minorHAnsi"/>
          <w:bCs/>
          <w:sz w:val="28"/>
          <w:szCs w:val="28"/>
          <w:lang w:val="fr-CA"/>
        </w:rPr>
        <w:t>é</w:t>
      </w:r>
      <w:r w:rsidR="001F58BF" w:rsidRPr="00CB13B9">
        <w:rPr>
          <w:rFonts w:cstheme="minorHAnsi"/>
          <w:bCs/>
          <w:sz w:val="28"/>
          <w:szCs w:val="28"/>
          <w:lang w:val="fr-CA"/>
        </w:rPr>
        <w:t>nix</w:t>
      </w:r>
      <w:r w:rsidRPr="00CB13B9">
        <w:rPr>
          <w:rFonts w:cstheme="minorHAnsi"/>
          <w:bCs/>
          <w:sz w:val="28"/>
          <w:szCs w:val="28"/>
          <w:lang w:val="fr-CA"/>
        </w:rPr>
        <w:t xml:space="preserve"> et ne s’harmonisent pas avec la portée de Pro</w:t>
      </w:r>
      <w:r w:rsidR="002B7C38" w:rsidRPr="00CB13B9">
        <w:rPr>
          <w:rFonts w:cstheme="minorHAnsi"/>
          <w:bCs/>
          <w:sz w:val="28"/>
          <w:szCs w:val="28"/>
          <w:lang w:val="fr-CA"/>
        </w:rPr>
        <w:t xml:space="preserve">Gen, </w:t>
      </w:r>
      <w:r w:rsidR="00DC0A10" w:rsidRPr="00CB13B9">
        <w:rPr>
          <w:rFonts w:cstheme="minorHAnsi"/>
          <w:bCs/>
          <w:sz w:val="28"/>
          <w:szCs w:val="28"/>
          <w:lang w:val="fr-CA"/>
        </w:rPr>
        <w:t>qui inclut</w:t>
      </w:r>
      <w:r w:rsidRPr="00CB13B9">
        <w:rPr>
          <w:rFonts w:cstheme="minorHAnsi"/>
          <w:bCs/>
          <w:sz w:val="28"/>
          <w:szCs w:val="28"/>
          <w:lang w:val="fr-CA"/>
        </w:rPr>
        <w:t xml:space="preserve"> les RH et la paye</w:t>
      </w:r>
      <w:r w:rsidR="001F58BF" w:rsidRPr="00CB13B9">
        <w:rPr>
          <w:rFonts w:cstheme="minorHAnsi"/>
          <w:bCs/>
          <w:sz w:val="28"/>
          <w:szCs w:val="28"/>
          <w:lang w:val="fr-CA"/>
        </w:rPr>
        <w:t xml:space="preserve">. </w:t>
      </w:r>
    </w:p>
    <w:p w:rsidR="0023439E" w:rsidRPr="00CB13B9" w:rsidRDefault="0023439E" w:rsidP="000B78D7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rFonts w:cstheme="minorHAnsi"/>
          <w:bCs/>
          <w:sz w:val="28"/>
          <w:szCs w:val="28"/>
          <w:lang w:val="fr-CA"/>
        </w:rPr>
        <w:t xml:space="preserve">Budget </w:t>
      </w:r>
      <w:r w:rsidR="00830B5D" w:rsidRPr="00CB13B9">
        <w:rPr>
          <w:rFonts w:cstheme="minorHAnsi"/>
          <w:bCs/>
          <w:sz w:val="28"/>
          <w:szCs w:val="28"/>
          <w:lang w:val="fr-CA"/>
        </w:rPr>
        <w:t xml:space="preserve">de </w:t>
      </w:r>
      <w:r w:rsidRPr="00CB13B9">
        <w:rPr>
          <w:rFonts w:cstheme="minorHAnsi"/>
          <w:bCs/>
          <w:sz w:val="28"/>
          <w:szCs w:val="28"/>
          <w:lang w:val="fr-CA"/>
        </w:rPr>
        <w:t>2019</w:t>
      </w:r>
    </w:p>
    <w:p w:rsidR="0023439E" w:rsidRPr="00CB13B9" w:rsidRDefault="00830B5D" w:rsidP="000B78D7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t xml:space="preserve">Dans le cadre du </w:t>
      </w:r>
      <w:r w:rsidR="00CB13B9" w:rsidRPr="00CB13B9">
        <w:rPr>
          <w:rFonts w:cstheme="minorHAnsi"/>
          <w:sz w:val="28"/>
          <w:szCs w:val="28"/>
          <w:lang w:val="fr-CA"/>
        </w:rPr>
        <w:t>B</w:t>
      </w:r>
      <w:r w:rsidRPr="00CB13B9">
        <w:rPr>
          <w:rFonts w:cstheme="minorHAnsi"/>
          <w:sz w:val="28"/>
          <w:szCs w:val="28"/>
          <w:lang w:val="fr-CA"/>
        </w:rPr>
        <w:t>udget de 2019, le gouvernement a reconnu le travail continu de l’Équipe de l’initiative ProGen pour trouver des options en vue d’une solution de RH et de paye de la prochaine génération</w:t>
      </w:r>
      <w:r w:rsidR="0023439E" w:rsidRPr="00CB13B9">
        <w:rPr>
          <w:rFonts w:cstheme="minorHAnsi"/>
          <w:sz w:val="28"/>
          <w:szCs w:val="28"/>
          <w:lang w:val="fr-CA"/>
        </w:rPr>
        <w:t xml:space="preserve">. </w:t>
      </w:r>
    </w:p>
    <w:p w:rsidR="0023439E" w:rsidRPr="00CB13B9" w:rsidRDefault="00830B5D" w:rsidP="000B78D7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t xml:space="preserve">Dans le </w:t>
      </w:r>
      <w:r w:rsidR="00CB13B9" w:rsidRPr="00CB13B9">
        <w:rPr>
          <w:rFonts w:cstheme="minorHAnsi"/>
          <w:sz w:val="28"/>
          <w:szCs w:val="28"/>
          <w:lang w:val="fr-CA"/>
        </w:rPr>
        <w:t>B</w:t>
      </w:r>
      <w:r w:rsidRPr="00CB13B9">
        <w:rPr>
          <w:rFonts w:cstheme="minorHAnsi"/>
          <w:sz w:val="28"/>
          <w:szCs w:val="28"/>
          <w:lang w:val="fr-CA"/>
        </w:rPr>
        <w:t>udget de 2019, le gouvernement a réitéré son engagement à collaborer avec les fournisseurs et les intervenants pour mettre au point les meilleures</w:t>
      </w:r>
      <w:r w:rsidR="00CB13B9" w:rsidRPr="00CB13B9">
        <w:rPr>
          <w:rFonts w:cstheme="minorHAnsi"/>
          <w:sz w:val="28"/>
          <w:szCs w:val="28"/>
          <w:lang w:val="fr-CA"/>
        </w:rPr>
        <w:t xml:space="preserve"> options, y compris des projets-</w:t>
      </w:r>
      <w:r w:rsidRPr="00CB13B9">
        <w:rPr>
          <w:rFonts w:cstheme="minorHAnsi"/>
          <w:sz w:val="28"/>
          <w:szCs w:val="28"/>
          <w:lang w:val="fr-CA"/>
        </w:rPr>
        <w:t>pilotes qui permettront de procéder à d’autres essais dans des ministères et des organismes sélectionnés</w:t>
      </w:r>
      <w:r w:rsidR="0023439E" w:rsidRPr="00CB13B9">
        <w:rPr>
          <w:rFonts w:cstheme="minorHAnsi"/>
          <w:sz w:val="28"/>
          <w:szCs w:val="28"/>
          <w:lang w:val="fr-CA"/>
        </w:rPr>
        <w:t>.</w:t>
      </w:r>
    </w:p>
    <w:p w:rsidR="0023439E" w:rsidRPr="00CB13B9" w:rsidRDefault="00CB13B9" w:rsidP="000B78D7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t>Même si le B</w:t>
      </w:r>
      <w:r w:rsidR="00830B5D" w:rsidRPr="00CB13B9">
        <w:rPr>
          <w:rFonts w:cstheme="minorHAnsi"/>
          <w:sz w:val="28"/>
          <w:szCs w:val="28"/>
          <w:lang w:val="fr-CA"/>
        </w:rPr>
        <w:t>udget de 2019 n’attribue pas de financement pour mettre en œuvre ces prochaines étapes, l’Équipe ProGen cherchera à obtenir une décision de financement pour la prochaine phase des travaux de cette initiative</w:t>
      </w:r>
      <w:r w:rsidR="0023439E" w:rsidRPr="00CB13B9">
        <w:rPr>
          <w:rFonts w:cstheme="minorHAnsi"/>
          <w:sz w:val="28"/>
          <w:szCs w:val="28"/>
          <w:lang w:val="fr-CA"/>
        </w:rPr>
        <w:t>.</w:t>
      </w:r>
      <w:r w:rsidR="00830B5D" w:rsidRPr="00CB13B9">
        <w:rPr>
          <w:rFonts w:cstheme="minorHAnsi"/>
          <w:sz w:val="28"/>
          <w:szCs w:val="28"/>
          <w:lang w:val="fr-CA"/>
        </w:rPr>
        <w:t xml:space="preserve"> </w:t>
      </w:r>
    </w:p>
    <w:p w:rsidR="000B78D7" w:rsidRPr="00CB13B9" w:rsidRDefault="00DC0A10" w:rsidP="00DC0A1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Comité directeur de RH et de paye Pro</w:t>
      </w:r>
      <w:r w:rsidR="000B78D7" w:rsidRPr="00CB13B9">
        <w:rPr>
          <w:sz w:val="28"/>
          <w:szCs w:val="28"/>
          <w:lang w:val="fr-CA"/>
        </w:rPr>
        <w:t>Gen</w:t>
      </w:r>
    </w:p>
    <w:p w:rsidR="000B78D7" w:rsidRPr="00CB13B9" w:rsidRDefault="00DC0A10" w:rsidP="000B78D7">
      <w:pPr>
        <w:pStyle w:val="ListParagraph"/>
        <w:numPr>
          <w:ilvl w:val="1"/>
          <w:numId w:val="1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Le comité a tenu sa première réunion le 26 avril </w:t>
      </w:r>
      <w:r w:rsidR="000B78D7" w:rsidRPr="00CB13B9">
        <w:rPr>
          <w:sz w:val="28"/>
          <w:szCs w:val="28"/>
          <w:lang w:val="fr-CA"/>
        </w:rPr>
        <w:t xml:space="preserve">2019. </w:t>
      </w:r>
    </w:p>
    <w:p w:rsidR="000B78D7" w:rsidRPr="00CB13B9" w:rsidRDefault="00DC0A10" w:rsidP="000B78D7">
      <w:pPr>
        <w:pStyle w:val="ListParagraph"/>
        <w:numPr>
          <w:ilvl w:val="1"/>
          <w:numId w:val="1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Le comité se rencontrera chaque mois. Il est composé des SMA d</w:t>
      </w:r>
      <w:r w:rsidR="00262A3B" w:rsidRPr="00CB13B9">
        <w:rPr>
          <w:sz w:val="28"/>
          <w:szCs w:val="28"/>
          <w:lang w:val="fr-CA"/>
        </w:rPr>
        <w:t>u SCT</w:t>
      </w:r>
      <w:r w:rsidR="000B78D7" w:rsidRPr="00CB13B9">
        <w:rPr>
          <w:sz w:val="28"/>
          <w:szCs w:val="28"/>
          <w:lang w:val="fr-CA"/>
        </w:rPr>
        <w:t xml:space="preserve">, </w:t>
      </w:r>
      <w:r w:rsidR="00262A3B" w:rsidRPr="00CB13B9">
        <w:rPr>
          <w:sz w:val="28"/>
          <w:szCs w:val="28"/>
          <w:lang w:val="fr-CA"/>
        </w:rPr>
        <w:t>d’</w:t>
      </w:r>
      <w:r w:rsidR="000B78D7" w:rsidRPr="00CB13B9">
        <w:rPr>
          <w:sz w:val="28"/>
          <w:szCs w:val="28"/>
          <w:lang w:val="fr-CA"/>
        </w:rPr>
        <w:t>ED</w:t>
      </w:r>
      <w:r w:rsidR="00262A3B" w:rsidRPr="00CB13B9">
        <w:rPr>
          <w:sz w:val="28"/>
          <w:szCs w:val="28"/>
          <w:lang w:val="fr-CA"/>
        </w:rPr>
        <w:t>S</w:t>
      </w:r>
      <w:r w:rsidR="000B78D7" w:rsidRPr="00CB13B9">
        <w:rPr>
          <w:sz w:val="28"/>
          <w:szCs w:val="28"/>
          <w:lang w:val="fr-CA"/>
        </w:rPr>
        <w:t xml:space="preserve">C, </w:t>
      </w:r>
      <w:r w:rsidR="00262A3B" w:rsidRPr="00CB13B9">
        <w:rPr>
          <w:sz w:val="28"/>
          <w:szCs w:val="28"/>
          <w:lang w:val="fr-CA"/>
        </w:rPr>
        <w:t>du MDN</w:t>
      </w:r>
      <w:r w:rsidR="000B78D7" w:rsidRPr="00CB13B9">
        <w:rPr>
          <w:sz w:val="28"/>
          <w:szCs w:val="28"/>
          <w:lang w:val="fr-CA"/>
        </w:rPr>
        <w:t xml:space="preserve">, </w:t>
      </w:r>
      <w:r w:rsidR="00262A3B" w:rsidRPr="00CB13B9">
        <w:rPr>
          <w:sz w:val="28"/>
          <w:szCs w:val="28"/>
          <w:lang w:val="fr-CA"/>
        </w:rPr>
        <w:t>de l’ARC</w:t>
      </w:r>
      <w:r w:rsidR="000B78D7" w:rsidRPr="00CB13B9">
        <w:rPr>
          <w:sz w:val="28"/>
          <w:szCs w:val="28"/>
          <w:lang w:val="fr-CA"/>
        </w:rPr>
        <w:t xml:space="preserve">, </w:t>
      </w:r>
      <w:r w:rsidR="00262A3B" w:rsidRPr="00CB13B9">
        <w:rPr>
          <w:sz w:val="28"/>
          <w:szCs w:val="28"/>
          <w:lang w:val="fr-CA"/>
        </w:rPr>
        <w:t>le SCRS</w:t>
      </w:r>
      <w:r w:rsidR="000B78D7" w:rsidRPr="00CB13B9">
        <w:rPr>
          <w:sz w:val="28"/>
          <w:szCs w:val="28"/>
          <w:lang w:val="fr-CA"/>
        </w:rPr>
        <w:t xml:space="preserve">, StatsCan, </w:t>
      </w:r>
      <w:r w:rsidR="00262A3B" w:rsidRPr="00CB13B9">
        <w:rPr>
          <w:sz w:val="28"/>
          <w:szCs w:val="28"/>
          <w:lang w:val="fr-CA"/>
        </w:rPr>
        <w:t>la GRC</w:t>
      </w:r>
      <w:r w:rsidR="000B78D7" w:rsidRPr="00CB13B9">
        <w:rPr>
          <w:sz w:val="28"/>
          <w:szCs w:val="28"/>
          <w:lang w:val="fr-CA"/>
        </w:rPr>
        <w:t>, Transport</w:t>
      </w:r>
      <w:r w:rsidR="00262A3B" w:rsidRPr="00CB13B9">
        <w:rPr>
          <w:sz w:val="28"/>
          <w:szCs w:val="28"/>
          <w:lang w:val="fr-CA"/>
        </w:rPr>
        <w:t>s Canada</w:t>
      </w:r>
      <w:r w:rsidR="000B78D7" w:rsidRPr="00CB13B9">
        <w:rPr>
          <w:sz w:val="28"/>
          <w:szCs w:val="28"/>
          <w:lang w:val="fr-CA"/>
        </w:rPr>
        <w:t xml:space="preserve">, </w:t>
      </w:r>
      <w:r w:rsidR="00262A3B" w:rsidRPr="00CB13B9">
        <w:rPr>
          <w:sz w:val="28"/>
          <w:szCs w:val="28"/>
          <w:lang w:val="fr-CA"/>
        </w:rPr>
        <w:t>le C</w:t>
      </w:r>
      <w:r w:rsidR="000B78D7" w:rsidRPr="00CB13B9">
        <w:rPr>
          <w:sz w:val="28"/>
          <w:szCs w:val="28"/>
          <w:lang w:val="fr-CA"/>
        </w:rPr>
        <w:t xml:space="preserve">NRC </w:t>
      </w:r>
      <w:r w:rsidR="00262A3B" w:rsidRPr="00CB13B9">
        <w:rPr>
          <w:sz w:val="28"/>
          <w:szCs w:val="28"/>
          <w:lang w:val="fr-CA"/>
        </w:rPr>
        <w:t xml:space="preserve">et </w:t>
      </w:r>
      <w:r w:rsidR="000B78D7" w:rsidRPr="00CB13B9">
        <w:rPr>
          <w:sz w:val="28"/>
          <w:szCs w:val="28"/>
          <w:lang w:val="fr-CA"/>
        </w:rPr>
        <w:t>SP</w:t>
      </w:r>
      <w:r w:rsidR="00262A3B" w:rsidRPr="00CB13B9">
        <w:rPr>
          <w:sz w:val="28"/>
          <w:szCs w:val="28"/>
          <w:lang w:val="fr-CA"/>
        </w:rPr>
        <w:t>A</w:t>
      </w:r>
      <w:r w:rsidR="000B78D7" w:rsidRPr="00CB13B9">
        <w:rPr>
          <w:sz w:val="28"/>
          <w:szCs w:val="28"/>
          <w:lang w:val="fr-CA"/>
        </w:rPr>
        <w:t>C.</w:t>
      </w:r>
    </w:p>
    <w:p w:rsidR="000B78D7" w:rsidRPr="00CB13B9" w:rsidRDefault="00DC0A10" w:rsidP="000B78D7">
      <w:pPr>
        <w:pStyle w:val="ListParagraph"/>
        <w:numPr>
          <w:ilvl w:val="1"/>
          <w:numId w:val="11"/>
        </w:numPr>
        <w:spacing w:after="0" w:line="240" w:lineRule="auto"/>
        <w:rPr>
          <w:sz w:val="28"/>
          <w:szCs w:val="28"/>
          <w:lang w:val="fr-CA"/>
        </w:rPr>
      </w:pPr>
      <w:r w:rsidRPr="00CB13B9">
        <w:rPr>
          <w:sz w:val="28"/>
          <w:szCs w:val="28"/>
          <w:lang w:val="fr-CA"/>
        </w:rPr>
        <w:t>L’</w:t>
      </w:r>
      <w:r w:rsidR="000B78D7" w:rsidRPr="00CB13B9">
        <w:rPr>
          <w:sz w:val="28"/>
          <w:szCs w:val="28"/>
          <w:lang w:val="fr-CA"/>
        </w:rPr>
        <w:t>objecti</w:t>
      </w:r>
      <w:r w:rsidRPr="00CB13B9">
        <w:rPr>
          <w:sz w:val="28"/>
          <w:szCs w:val="28"/>
          <w:lang w:val="fr-CA"/>
        </w:rPr>
        <w:t>f du comité est d’échanger des renseignements sur les travaux, les plans et les approches Pro</w:t>
      </w:r>
      <w:r w:rsidR="000B78D7" w:rsidRPr="00CB13B9">
        <w:rPr>
          <w:sz w:val="28"/>
          <w:szCs w:val="28"/>
          <w:lang w:val="fr-CA"/>
        </w:rPr>
        <w:t>Gen</w:t>
      </w:r>
      <w:r w:rsidRPr="00CB13B9">
        <w:rPr>
          <w:sz w:val="28"/>
          <w:szCs w:val="28"/>
          <w:lang w:val="fr-CA"/>
        </w:rPr>
        <w:t xml:space="preserve"> afin d’obtenir de la rétroaction, des conseils et des indications </w:t>
      </w:r>
      <w:r w:rsidR="000B78D7" w:rsidRPr="00CB13B9">
        <w:rPr>
          <w:sz w:val="28"/>
          <w:szCs w:val="28"/>
          <w:lang w:val="fr-CA"/>
        </w:rPr>
        <w:t>constructive</w:t>
      </w:r>
      <w:r w:rsidRPr="00CB13B9">
        <w:rPr>
          <w:sz w:val="28"/>
          <w:szCs w:val="28"/>
          <w:lang w:val="fr-CA"/>
        </w:rPr>
        <w:t>s</w:t>
      </w:r>
      <w:r w:rsidR="000B78D7" w:rsidRPr="00CB13B9">
        <w:rPr>
          <w:sz w:val="28"/>
          <w:szCs w:val="28"/>
          <w:lang w:val="fr-CA"/>
        </w:rPr>
        <w:t xml:space="preserve"> </w:t>
      </w:r>
      <w:r w:rsidRPr="00CB13B9">
        <w:rPr>
          <w:sz w:val="28"/>
          <w:szCs w:val="28"/>
          <w:lang w:val="fr-CA"/>
        </w:rPr>
        <w:t xml:space="preserve">sur divers </w:t>
      </w:r>
      <w:r w:rsidR="000B78D7" w:rsidRPr="00CB13B9">
        <w:rPr>
          <w:sz w:val="28"/>
          <w:szCs w:val="28"/>
          <w:lang w:val="fr-CA"/>
        </w:rPr>
        <w:t xml:space="preserve">aspects </w:t>
      </w:r>
      <w:r w:rsidR="00055EB2" w:rsidRPr="00CB13B9">
        <w:rPr>
          <w:sz w:val="28"/>
          <w:szCs w:val="28"/>
          <w:lang w:val="fr-CA"/>
        </w:rPr>
        <w:t>opérationnels</w:t>
      </w:r>
      <w:r w:rsidR="000B78D7" w:rsidRPr="00CB13B9">
        <w:rPr>
          <w:sz w:val="28"/>
          <w:szCs w:val="28"/>
          <w:lang w:val="fr-CA"/>
        </w:rPr>
        <w:t xml:space="preserve">, </w:t>
      </w:r>
      <w:r w:rsidR="00FC6045" w:rsidRPr="00CB13B9">
        <w:rPr>
          <w:sz w:val="28"/>
          <w:szCs w:val="28"/>
          <w:lang w:val="fr-CA"/>
        </w:rPr>
        <w:t xml:space="preserve">les projets de </w:t>
      </w:r>
      <w:r w:rsidR="000B78D7" w:rsidRPr="00CB13B9">
        <w:rPr>
          <w:sz w:val="28"/>
          <w:szCs w:val="28"/>
          <w:lang w:val="fr-CA"/>
        </w:rPr>
        <w:t xml:space="preserve">transformation, </w:t>
      </w:r>
      <w:r w:rsidR="00FC6045" w:rsidRPr="00CB13B9">
        <w:rPr>
          <w:sz w:val="28"/>
          <w:szCs w:val="28"/>
          <w:lang w:val="fr-CA"/>
        </w:rPr>
        <w:t>l’</w:t>
      </w:r>
      <w:r w:rsidR="000B78D7" w:rsidRPr="00CB13B9">
        <w:rPr>
          <w:sz w:val="28"/>
          <w:szCs w:val="28"/>
          <w:lang w:val="fr-CA"/>
        </w:rPr>
        <w:t>industr</w:t>
      </w:r>
      <w:r w:rsidR="00FC6045" w:rsidRPr="00CB13B9">
        <w:rPr>
          <w:sz w:val="28"/>
          <w:szCs w:val="28"/>
          <w:lang w:val="fr-CA"/>
        </w:rPr>
        <w:t>ie et/ou la gestion de projets</w:t>
      </w:r>
      <w:r w:rsidR="000B78D7" w:rsidRPr="00CB13B9">
        <w:rPr>
          <w:sz w:val="28"/>
          <w:szCs w:val="28"/>
          <w:lang w:val="fr-CA"/>
        </w:rPr>
        <w:t xml:space="preserve"> </w:t>
      </w:r>
      <w:r w:rsidR="00055EB2" w:rsidRPr="00CB13B9">
        <w:rPr>
          <w:sz w:val="28"/>
          <w:szCs w:val="28"/>
          <w:lang w:val="fr-CA"/>
        </w:rPr>
        <w:t>qui pourraient influer sur l’</w:t>
      </w:r>
      <w:r w:rsidR="000B78D7" w:rsidRPr="00CB13B9">
        <w:rPr>
          <w:sz w:val="28"/>
          <w:szCs w:val="28"/>
          <w:lang w:val="fr-CA"/>
        </w:rPr>
        <w:t xml:space="preserve">initiative </w:t>
      </w:r>
      <w:r w:rsidR="00055EB2" w:rsidRPr="00CB13B9">
        <w:rPr>
          <w:sz w:val="28"/>
          <w:szCs w:val="28"/>
          <w:lang w:val="fr-CA"/>
        </w:rPr>
        <w:t xml:space="preserve">dans son état actuel ou </w:t>
      </w:r>
      <w:r w:rsidR="000B78D7" w:rsidRPr="00CB13B9">
        <w:rPr>
          <w:sz w:val="28"/>
          <w:szCs w:val="28"/>
          <w:lang w:val="fr-CA"/>
        </w:rPr>
        <w:t xml:space="preserve">futur. </w:t>
      </w:r>
    </w:p>
    <w:p w:rsidR="000B78D7" w:rsidRPr="00CB13B9" w:rsidRDefault="000B78D7" w:rsidP="000B78D7">
      <w:pPr>
        <w:pStyle w:val="ListParagraph"/>
        <w:spacing w:after="0" w:line="240" w:lineRule="auto"/>
        <w:ind w:left="360"/>
        <w:rPr>
          <w:rFonts w:ascii="Arial" w:hAnsi="Arial" w:cs="Arial"/>
          <w:bCs/>
          <w:lang w:val="fr-CA"/>
        </w:rPr>
      </w:pPr>
    </w:p>
    <w:p w:rsidR="00432D8A" w:rsidRPr="00CB13B9" w:rsidRDefault="00830B5D" w:rsidP="00ED3EAF">
      <w:pPr>
        <w:spacing w:after="0" w:line="240" w:lineRule="auto"/>
        <w:rPr>
          <w:b/>
          <w:sz w:val="28"/>
          <w:szCs w:val="28"/>
          <w:lang w:val="fr-CA"/>
        </w:rPr>
      </w:pPr>
      <w:r w:rsidRPr="00CB13B9">
        <w:rPr>
          <w:b/>
          <w:sz w:val="28"/>
          <w:szCs w:val="28"/>
          <w:lang w:val="fr-CA"/>
        </w:rPr>
        <w:t>Point s</w:t>
      </w:r>
      <w:r w:rsidR="00432D8A" w:rsidRPr="00CB13B9">
        <w:rPr>
          <w:b/>
          <w:sz w:val="28"/>
          <w:szCs w:val="28"/>
          <w:lang w:val="fr-CA"/>
        </w:rPr>
        <w:t>ix</w:t>
      </w:r>
      <w:r w:rsidR="00591E50" w:rsidRPr="00CB13B9">
        <w:rPr>
          <w:b/>
          <w:sz w:val="28"/>
          <w:szCs w:val="28"/>
          <w:lang w:val="fr-CA"/>
        </w:rPr>
        <w:t xml:space="preserve"> </w:t>
      </w:r>
      <w:r w:rsidR="00591E50" w:rsidRPr="00CB13B9">
        <w:rPr>
          <w:rFonts w:cstheme="minorHAnsi"/>
          <w:sz w:val="28"/>
          <w:szCs w:val="28"/>
          <w:lang w:val="fr-CA"/>
        </w:rPr>
        <w:t xml:space="preserve"> </w:t>
      </w:r>
      <w:r w:rsidR="00591E50" w:rsidRPr="00CB13B9">
        <w:rPr>
          <w:rFonts w:cstheme="minorHAnsi"/>
          <w:b/>
          <w:sz w:val="28"/>
          <w:szCs w:val="28"/>
          <w:lang w:val="fr-CA"/>
        </w:rPr>
        <w:t>–</w:t>
      </w:r>
      <w:r w:rsidR="00432D8A" w:rsidRPr="00CB13B9">
        <w:rPr>
          <w:b/>
          <w:sz w:val="28"/>
          <w:szCs w:val="28"/>
          <w:lang w:val="fr-CA"/>
        </w:rPr>
        <w:t xml:space="preserve"> </w:t>
      </w:r>
      <w:r w:rsidRPr="00CB13B9">
        <w:rPr>
          <w:b/>
          <w:sz w:val="28"/>
          <w:szCs w:val="28"/>
          <w:lang w:val="fr-CA"/>
        </w:rPr>
        <w:t>Prochaines étapes</w:t>
      </w:r>
    </w:p>
    <w:p w:rsidR="00ED3EAF" w:rsidRPr="00CB13B9" w:rsidRDefault="00DC0A10" w:rsidP="00DC0A10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t>Rédiger la version définitive du point de contrôle 3 du processus d’approvisionnement agile.</w:t>
      </w:r>
    </w:p>
    <w:p w:rsidR="00ED3EAF" w:rsidRPr="00CB13B9" w:rsidRDefault="00E17DA3" w:rsidP="00ED3EAF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t>Le processus permettra d’i</w:t>
      </w:r>
      <w:r w:rsidR="002A66D2" w:rsidRPr="00CB13B9">
        <w:rPr>
          <w:rFonts w:cstheme="minorHAnsi"/>
          <w:sz w:val="28"/>
          <w:szCs w:val="28"/>
          <w:lang w:val="fr-CA"/>
        </w:rPr>
        <w:t xml:space="preserve">dentifier un fournisseur privilégié pour travailler avec le </w:t>
      </w:r>
      <w:r w:rsidR="00ED3EAF" w:rsidRPr="00CB13B9">
        <w:rPr>
          <w:rFonts w:cstheme="minorHAnsi"/>
          <w:sz w:val="28"/>
          <w:szCs w:val="28"/>
          <w:lang w:val="fr-CA"/>
        </w:rPr>
        <w:t xml:space="preserve">GC </w:t>
      </w:r>
      <w:r w:rsidR="002A66D2" w:rsidRPr="00CB13B9">
        <w:rPr>
          <w:rFonts w:cstheme="minorHAnsi"/>
          <w:sz w:val="28"/>
          <w:szCs w:val="28"/>
          <w:lang w:val="fr-CA"/>
        </w:rPr>
        <w:t>sur la p</w:t>
      </w:r>
      <w:r w:rsidR="00CB13B9" w:rsidRPr="00CB13B9">
        <w:rPr>
          <w:rFonts w:cstheme="minorHAnsi"/>
          <w:sz w:val="28"/>
          <w:szCs w:val="28"/>
          <w:lang w:val="fr-CA"/>
        </w:rPr>
        <w:t>hase de prédéfinition du projet-</w:t>
      </w:r>
      <w:r w:rsidR="002A66D2" w:rsidRPr="00CB13B9">
        <w:rPr>
          <w:rFonts w:cstheme="minorHAnsi"/>
          <w:sz w:val="28"/>
          <w:szCs w:val="28"/>
          <w:lang w:val="fr-CA"/>
        </w:rPr>
        <w:t>pilote proposé</w:t>
      </w:r>
      <w:r w:rsidR="00DC0A10" w:rsidRPr="00CB13B9">
        <w:rPr>
          <w:rFonts w:cstheme="minorHAnsi"/>
          <w:sz w:val="28"/>
          <w:szCs w:val="28"/>
          <w:lang w:val="fr-CA"/>
        </w:rPr>
        <w:t>.</w:t>
      </w:r>
    </w:p>
    <w:p w:rsidR="00ED3EAF" w:rsidRPr="00CB13B9" w:rsidRDefault="00E17DA3" w:rsidP="00ED3EAF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lastRenderedPageBreak/>
        <w:t>Le processus p</w:t>
      </w:r>
      <w:r w:rsidR="002A66D2" w:rsidRPr="00CB13B9">
        <w:rPr>
          <w:rFonts w:cstheme="minorHAnsi"/>
          <w:sz w:val="28"/>
          <w:szCs w:val="28"/>
          <w:lang w:val="fr-CA"/>
        </w:rPr>
        <w:t>ermettr</w:t>
      </w:r>
      <w:r w:rsidRPr="00CB13B9">
        <w:rPr>
          <w:rFonts w:cstheme="minorHAnsi"/>
          <w:sz w:val="28"/>
          <w:szCs w:val="28"/>
          <w:lang w:val="fr-CA"/>
        </w:rPr>
        <w:t>a</w:t>
      </w:r>
      <w:r w:rsidR="002A66D2" w:rsidRPr="00CB13B9">
        <w:rPr>
          <w:rFonts w:cstheme="minorHAnsi"/>
          <w:sz w:val="28"/>
          <w:szCs w:val="28"/>
          <w:lang w:val="fr-CA"/>
        </w:rPr>
        <w:t xml:space="preserve"> à d’autres fournisseurs de se préqualifier </w:t>
      </w:r>
      <w:r w:rsidRPr="00CB13B9">
        <w:rPr>
          <w:rFonts w:cstheme="minorHAnsi"/>
          <w:sz w:val="28"/>
          <w:szCs w:val="28"/>
          <w:lang w:val="fr-CA"/>
        </w:rPr>
        <w:t xml:space="preserve">et de les mettre à profit </w:t>
      </w:r>
      <w:r w:rsidR="002A66D2" w:rsidRPr="00CB13B9">
        <w:rPr>
          <w:rFonts w:cstheme="minorHAnsi"/>
          <w:sz w:val="28"/>
          <w:szCs w:val="28"/>
          <w:lang w:val="fr-CA"/>
        </w:rPr>
        <w:t xml:space="preserve">pour </w:t>
      </w:r>
      <w:r w:rsidRPr="00CB13B9">
        <w:rPr>
          <w:rFonts w:cstheme="minorHAnsi"/>
          <w:sz w:val="28"/>
          <w:szCs w:val="28"/>
          <w:lang w:val="fr-CA"/>
        </w:rPr>
        <w:t xml:space="preserve">exécuter </w:t>
      </w:r>
      <w:r w:rsidR="002A66D2" w:rsidRPr="00CB13B9">
        <w:rPr>
          <w:rFonts w:cstheme="minorHAnsi"/>
          <w:sz w:val="28"/>
          <w:szCs w:val="28"/>
          <w:lang w:val="fr-CA"/>
        </w:rPr>
        <w:t>d’autres travaux</w:t>
      </w:r>
      <w:r w:rsidR="00ED3EAF" w:rsidRPr="00CB13B9">
        <w:rPr>
          <w:rFonts w:cstheme="minorHAnsi"/>
          <w:sz w:val="28"/>
          <w:szCs w:val="28"/>
          <w:lang w:val="fr-CA"/>
        </w:rPr>
        <w:t>, inclu</w:t>
      </w:r>
      <w:r w:rsidR="00CB13B9" w:rsidRPr="00CB13B9">
        <w:rPr>
          <w:rFonts w:cstheme="minorHAnsi"/>
          <w:sz w:val="28"/>
          <w:szCs w:val="28"/>
          <w:lang w:val="fr-CA"/>
        </w:rPr>
        <w:t>ant le projet-</w:t>
      </w:r>
      <w:r w:rsidR="002A66D2" w:rsidRPr="00CB13B9">
        <w:rPr>
          <w:rFonts w:cstheme="minorHAnsi"/>
          <w:sz w:val="28"/>
          <w:szCs w:val="28"/>
          <w:lang w:val="fr-CA"/>
        </w:rPr>
        <w:t>pilote si l’offre du premier fournisseur était rejetée.</w:t>
      </w:r>
    </w:p>
    <w:p w:rsidR="00ED3EAF" w:rsidRPr="00CB13B9" w:rsidRDefault="00ED3EAF" w:rsidP="00ED3EAF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t>S</w:t>
      </w:r>
      <w:r w:rsidR="00DC0A10" w:rsidRPr="00CB13B9">
        <w:rPr>
          <w:rFonts w:cstheme="minorHAnsi"/>
          <w:sz w:val="28"/>
          <w:szCs w:val="28"/>
          <w:lang w:val="fr-CA"/>
        </w:rPr>
        <w:t>i nous obtenons le financement nécessaire, nous travaillerons avec les intervenants et les fournisseurs pour planifier les</w:t>
      </w:r>
      <w:r w:rsidR="00CB13B9" w:rsidRPr="00CB13B9">
        <w:rPr>
          <w:rFonts w:cstheme="minorHAnsi"/>
          <w:sz w:val="28"/>
          <w:szCs w:val="28"/>
          <w:lang w:val="fr-CA"/>
        </w:rPr>
        <w:t xml:space="preserve"> projets-</w:t>
      </w:r>
      <w:r w:rsidR="00DC0A10" w:rsidRPr="00CB13B9">
        <w:rPr>
          <w:rFonts w:cstheme="minorHAnsi"/>
          <w:sz w:val="28"/>
          <w:szCs w:val="28"/>
          <w:lang w:val="fr-CA"/>
        </w:rPr>
        <w:t>pilotes.</w:t>
      </w:r>
    </w:p>
    <w:p w:rsidR="00E16DFB" w:rsidRPr="00CB13B9" w:rsidRDefault="00ED3EAF" w:rsidP="000B78D7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  <w:sz w:val="28"/>
          <w:szCs w:val="28"/>
          <w:lang w:val="fr-CA"/>
        </w:rPr>
      </w:pPr>
      <w:r w:rsidRPr="00CB13B9">
        <w:rPr>
          <w:rFonts w:cstheme="minorHAnsi"/>
          <w:sz w:val="28"/>
          <w:szCs w:val="28"/>
          <w:lang w:val="fr-CA"/>
        </w:rPr>
        <w:t>Ret</w:t>
      </w:r>
      <w:r w:rsidR="002A66D2" w:rsidRPr="00CB13B9">
        <w:rPr>
          <w:rFonts w:cstheme="minorHAnsi"/>
          <w:sz w:val="28"/>
          <w:szCs w:val="28"/>
          <w:lang w:val="fr-CA"/>
        </w:rPr>
        <w:t xml:space="preserve">our </w:t>
      </w:r>
      <w:r w:rsidR="007F67BF" w:rsidRPr="00CB13B9">
        <w:rPr>
          <w:rFonts w:cstheme="minorHAnsi"/>
          <w:sz w:val="28"/>
          <w:szCs w:val="28"/>
          <w:lang w:val="fr-CA"/>
        </w:rPr>
        <w:t xml:space="preserve">en janvier 2020 </w:t>
      </w:r>
      <w:r w:rsidR="002A66D2" w:rsidRPr="00CB13B9">
        <w:rPr>
          <w:rFonts w:cstheme="minorHAnsi"/>
          <w:sz w:val="28"/>
          <w:szCs w:val="28"/>
          <w:lang w:val="fr-CA"/>
        </w:rPr>
        <w:t xml:space="preserve">afin que les autorités commencent </w:t>
      </w:r>
      <w:r w:rsidR="00CB13B9" w:rsidRPr="00CB13B9">
        <w:rPr>
          <w:rFonts w:cstheme="minorHAnsi"/>
          <w:sz w:val="28"/>
          <w:szCs w:val="28"/>
          <w:lang w:val="fr-CA"/>
        </w:rPr>
        <w:t>à élaborer le projet-</w:t>
      </w:r>
      <w:r w:rsidR="007F67BF" w:rsidRPr="00CB13B9">
        <w:rPr>
          <w:rFonts w:cstheme="minorHAnsi"/>
          <w:sz w:val="28"/>
          <w:szCs w:val="28"/>
          <w:lang w:val="fr-CA"/>
        </w:rPr>
        <w:t>pilote</w:t>
      </w:r>
      <w:r w:rsidR="002A66D2" w:rsidRPr="00CB13B9">
        <w:rPr>
          <w:rFonts w:cstheme="minorHAnsi"/>
          <w:sz w:val="28"/>
          <w:szCs w:val="28"/>
          <w:lang w:val="fr-CA"/>
        </w:rPr>
        <w:t>.</w:t>
      </w:r>
      <w:r w:rsidRPr="00CB13B9">
        <w:rPr>
          <w:rFonts w:cstheme="minorHAnsi"/>
          <w:sz w:val="28"/>
          <w:szCs w:val="28"/>
          <w:lang w:val="fr-CA"/>
        </w:rPr>
        <w:t xml:space="preserve"> </w:t>
      </w:r>
    </w:p>
    <w:sectPr w:rsidR="00E16DFB" w:rsidRPr="00CB13B9" w:rsidSect="009D270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56" w:rsidRDefault="00B72756" w:rsidP="009D2700">
      <w:pPr>
        <w:spacing w:after="0" w:line="240" w:lineRule="auto"/>
      </w:pPr>
      <w:r>
        <w:separator/>
      </w:r>
    </w:p>
  </w:endnote>
  <w:endnote w:type="continuationSeparator" w:id="0">
    <w:p w:rsidR="00B72756" w:rsidRDefault="00B72756" w:rsidP="009D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56" w:rsidRDefault="00B72756" w:rsidP="009D2700">
      <w:pPr>
        <w:spacing w:after="0" w:line="240" w:lineRule="auto"/>
      </w:pPr>
      <w:r>
        <w:separator/>
      </w:r>
    </w:p>
  </w:footnote>
  <w:footnote w:type="continuationSeparator" w:id="0">
    <w:p w:rsidR="00B72756" w:rsidRDefault="00B72756" w:rsidP="009D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00" w:rsidRDefault="009D2700" w:rsidP="009D2700">
    <w:pPr>
      <w:pStyle w:val="Header"/>
    </w:pPr>
    <w:bookmarkStart w:id="1" w:name="TITUS1HeaderEvenPages"/>
  </w:p>
  <w:bookmarkEnd w:id="1"/>
  <w:p w:rsidR="009D2700" w:rsidRDefault="009D2700" w:rsidP="009D2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00" w:rsidRDefault="009D2700" w:rsidP="009D2700">
    <w:pPr>
      <w:pStyle w:val="Header"/>
    </w:pPr>
    <w:bookmarkStart w:id="2" w:name="TITUS1HeaderPrimary"/>
  </w:p>
  <w:bookmarkEnd w:id="2"/>
  <w:p w:rsidR="009D2700" w:rsidRDefault="009D27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00" w:rsidRDefault="009D2700" w:rsidP="009D2700">
    <w:pPr>
      <w:pStyle w:val="Header"/>
    </w:pPr>
    <w:bookmarkStart w:id="3" w:name="TITUS1HeaderFirstPage"/>
  </w:p>
  <w:bookmarkEnd w:id="3"/>
  <w:p w:rsidR="009D2700" w:rsidRDefault="009D2700" w:rsidP="009D2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71C"/>
    <w:multiLevelType w:val="hybridMultilevel"/>
    <w:tmpl w:val="CBDEC1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611C"/>
    <w:multiLevelType w:val="hybridMultilevel"/>
    <w:tmpl w:val="74BA7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4A9"/>
    <w:multiLevelType w:val="hybridMultilevel"/>
    <w:tmpl w:val="669E3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564D"/>
    <w:multiLevelType w:val="hybridMultilevel"/>
    <w:tmpl w:val="7A7C5B6C"/>
    <w:lvl w:ilvl="0" w:tplc="205495F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033EAF"/>
    <w:multiLevelType w:val="hybridMultilevel"/>
    <w:tmpl w:val="09C88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607F"/>
    <w:multiLevelType w:val="hybridMultilevel"/>
    <w:tmpl w:val="488E06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4281B"/>
    <w:multiLevelType w:val="hybridMultilevel"/>
    <w:tmpl w:val="DF5C86B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2C1F7D"/>
    <w:multiLevelType w:val="hybridMultilevel"/>
    <w:tmpl w:val="481A5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C451F"/>
    <w:multiLevelType w:val="hybridMultilevel"/>
    <w:tmpl w:val="34D09A2E"/>
    <w:lvl w:ilvl="0" w:tplc="82DED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5334"/>
    <w:multiLevelType w:val="hybridMultilevel"/>
    <w:tmpl w:val="E32488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A90A64"/>
    <w:multiLevelType w:val="hybridMultilevel"/>
    <w:tmpl w:val="B21EE0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5C0858"/>
    <w:multiLevelType w:val="hybridMultilevel"/>
    <w:tmpl w:val="A56229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23DEC"/>
    <w:multiLevelType w:val="hybridMultilevel"/>
    <w:tmpl w:val="053E9D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7A6A82"/>
    <w:multiLevelType w:val="hybridMultilevel"/>
    <w:tmpl w:val="16D435F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E3"/>
    <w:rsid w:val="00055EB2"/>
    <w:rsid w:val="00073FD2"/>
    <w:rsid w:val="000A3CD0"/>
    <w:rsid w:val="000B78D7"/>
    <w:rsid w:val="001D0DE3"/>
    <w:rsid w:val="001F58BF"/>
    <w:rsid w:val="0023439E"/>
    <w:rsid w:val="002356FC"/>
    <w:rsid w:val="00262A3B"/>
    <w:rsid w:val="0027287D"/>
    <w:rsid w:val="002A66D2"/>
    <w:rsid w:val="002B7C38"/>
    <w:rsid w:val="003B64C2"/>
    <w:rsid w:val="003C053E"/>
    <w:rsid w:val="00432D8A"/>
    <w:rsid w:val="00466F55"/>
    <w:rsid w:val="004E6CF0"/>
    <w:rsid w:val="004F3A78"/>
    <w:rsid w:val="00591E50"/>
    <w:rsid w:val="006D7764"/>
    <w:rsid w:val="00724F91"/>
    <w:rsid w:val="00752393"/>
    <w:rsid w:val="00755148"/>
    <w:rsid w:val="007F67BF"/>
    <w:rsid w:val="00830B5D"/>
    <w:rsid w:val="008362E8"/>
    <w:rsid w:val="0083674F"/>
    <w:rsid w:val="00854DF3"/>
    <w:rsid w:val="008F2B12"/>
    <w:rsid w:val="008F3625"/>
    <w:rsid w:val="00906C08"/>
    <w:rsid w:val="0091021C"/>
    <w:rsid w:val="009627E8"/>
    <w:rsid w:val="009A0E3D"/>
    <w:rsid w:val="009D2700"/>
    <w:rsid w:val="00B459C6"/>
    <w:rsid w:val="00B72756"/>
    <w:rsid w:val="00BB6762"/>
    <w:rsid w:val="00C833AC"/>
    <w:rsid w:val="00C93AFB"/>
    <w:rsid w:val="00CB13B9"/>
    <w:rsid w:val="00D57AE1"/>
    <w:rsid w:val="00DC0A10"/>
    <w:rsid w:val="00E16DFB"/>
    <w:rsid w:val="00E17DA3"/>
    <w:rsid w:val="00EB6CBD"/>
    <w:rsid w:val="00ED3EAF"/>
    <w:rsid w:val="00F362B4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C04EA-C35A-45D2-AD43-27351AC7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58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58BF"/>
    <w:rPr>
      <w:rFonts w:ascii="Times New Roman" w:eastAsia="Times New Roman" w:hAnsi="Times New Roman" w:cs="Times New Roman"/>
      <w:b/>
      <w:bCs/>
      <w:sz w:val="24"/>
      <w:szCs w:val="24"/>
      <w:u w:val="single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D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00"/>
  </w:style>
  <w:style w:type="paragraph" w:styleId="Footer">
    <w:name w:val="footer"/>
    <w:basedOn w:val="Normal"/>
    <w:link w:val="FooterChar"/>
    <w:uiPriority w:val="99"/>
    <w:unhideWhenUsed/>
    <w:rsid w:val="009D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00"/>
  </w:style>
  <w:style w:type="paragraph" w:styleId="BalloonText">
    <w:name w:val="Balloon Text"/>
    <w:basedOn w:val="Normal"/>
    <w:link w:val="BalloonTextChar"/>
    <w:uiPriority w:val="99"/>
    <w:semiHidden/>
    <w:unhideWhenUsed/>
    <w:rsid w:val="00F3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B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B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5109</Characters>
  <Application>Microsoft Office Word</Application>
  <DocSecurity>0</DocSecurity>
  <Lines>118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TBS-SCT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Kavanagh, Kyra</dc:creator>
  <cp:lastModifiedBy>Leblanc, Isabelle</cp:lastModifiedBy>
  <cp:revision>2</cp:revision>
  <cp:lastPrinted>2019-05-17T12:32:00Z</cp:lastPrinted>
  <dcterms:created xsi:type="dcterms:W3CDTF">2019-06-20T13:12:00Z</dcterms:created>
  <dcterms:modified xsi:type="dcterms:W3CDTF">2019-06-20T13:12:00Z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66eda5b2-6695-4d97-ab7b-dd4e729c8655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