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5D8B" w14:textId="118900BE" w:rsidR="00483094" w:rsidRPr="006B582C" w:rsidRDefault="003578DC" w:rsidP="00483094">
      <w:pPr>
        <w:spacing w:line="240" w:lineRule="auto"/>
        <w:jc w:val="center"/>
        <w:rPr>
          <w:rFonts w:ascii="Calibri" w:eastAsia="Times New Roman" w:hAnsi="Calibri" w:cs="Calibri"/>
          <w:color w:val="3B8877"/>
          <w:sz w:val="36"/>
          <w:szCs w:val="36"/>
        </w:rPr>
      </w:pPr>
      <w:r>
        <w:rPr>
          <w:rFonts w:ascii="Calibri" w:hAnsi="Calibri"/>
          <w:color w:val="3B8877"/>
          <w:sz w:val="36"/>
          <w:szCs w:val="36"/>
        </w:rPr>
        <w:t xml:space="preserve">PRÉPARER LE TERRAIN POUR UN RETOUR </w:t>
      </w:r>
      <w:r w:rsidR="003052B7">
        <w:rPr>
          <w:rFonts w:ascii="Calibri" w:hAnsi="Calibri"/>
          <w:color w:val="3B8877"/>
          <w:sz w:val="36"/>
          <w:szCs w:val="36"/>
        </w:rPr>
        <w:t>EN MI</w:t>
      </w:r>
      <w:r>
        <w:rPr>
          <w:rFonts w:ascii="Calibri" w:hAnsi="Calibri"/>
          <w:color w:val="3B8877"/>
          <w:sz w:val="36"/>
          <w:szCs w:val="36"/>
        </w:rPr>
        <w:t xml:space="preserve">LIEU DE TRAVAIL </w:t>
      </w:r>
    </w:p>
    <w:p w14:paraId="587F6205" w14:textId="7F589FC4" w:rsidR="00483094" w:rsidRPr="006B582C" w:rsidRDefault="003578DC" w:rsidP="00483094">
      <w:pPr>
        <w:tabs>
          <w:tab w:val="left" w:pos="1955"/>
          <w:tab w:val="center" w:pos="5610"/>
        </w:tabs>
        <w:spacing w:line="240" w:lineRule="auto"/>
        <w:jc w:val="center"/>
        <w:rPr>
          <w:rFonts w:ascii="Calibri" w:eastAsia="Times New Roman" w:hAnsi="Calibri" w:cs="Calibri"/>
          <w:color w:val="3B8877"/>
          <w:sz w:val="28"/>
          <w:szCs w:val="28"/>
        </w:rPr>
      </w:pPr>
      <w:r>
        <w:rPr>
          <w:rFonts w:ascii="Calibri" w:hAnsi="Calibri"/>
          <w:color w:val="4CB6A0" w:themeColor="accent2"/>
          <w:sz w:val="28"/>
          <w:szCs w:val="28"/>
        </w:rPr>
        <w:t>Exemple de communications à l’interne</w:t>
      </w:r>
    </w:p>
    <w:p w14:paraId="135B4CEF" w14:textId="37CCAE42" w:rsidR="00F2096C" w:rsidRPr="006B582C" w:rsidRDefault="00383B95" w:rsidP="00483094">
      <w:pPr>
        <w:rPr>
          <w:rFonts w:ascii="Arial" w:hAnsi="Arial" w:cs="Arial"/>
          <w:color w:val="0070C0"/>
          <w:sz w:val="24"/>
          <w:szCs w:val="24"/>
        </w:rPr>
      </w:pPr>
      <w:r>
        <w:rPr>
          <w:rFonts w:ascii="Arial" w:hAnsi="Arial"/>
          <w:noProof/>
          <w:color w:val="0070C0"/>
          <w:sz w:val="28"/>
          <w:szCs w:val="24"/>
          <w:lang w:val="en-CA" w:eastAsia="en-CA"/>
        </w:rPr>
        <w:drawing>
          <wp:anchor distT="0" distB="0" distL="114300" distR="114300" simplePos="0" relativeHeight="251659264" behindDoc="1" locked="0" layoutInCell="1" allowOverlap="1" wp14:anchorId="2A22083A" wp14:editId="3F9D0AE2">
            <wp:simplePos x="0" y="0"/>
            <wp:positionH relativeFrom="margin">
              <wp:align>center</wp:align>
            </wp:positionH>
            <wp:positionV relativeFrom="paragraph">
              <wp:posOffset>4445</wp:posOffset>
            </wp:positionV>
            <wp:extent cx="5784215" cy="3810000"/>
            <wp:effectExtent l="0" t="0" r="698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grayscl/>
                      <a:extLst>
                        <a:ext uri="{28A0092B-C50C-407E-A947-70E740481C1C}">
                          <a14:useLocalDpi xmlns:a14="http://schemas.microsoft.com/office/drawing/2010/main" val="0"/>
                        </a:ext>
                      </a:extLst>
                    </a:blip>
                    <a:stretch>
                      <a:fillRect/>
                    </a:stretch>
                  </pic:blipFill>
                  <pic:spPr>
                    <a:xfrm>
                      <a:off x="0" y="0"/>
                      <a:ext cx="5785559" cy="38108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70C0"/>
          <w:sz w:val="28"/>
          <w:szCs w:val="24"/>
          <w:lang w:val="en-CA" w:eastAsia="en-CA"/>
        </w:rPr>
        <mc:AlternateContent>
          <mc:Choice Requires="wps">
            <w:drawing>
              <wp:anchor distT="0" distB="0" distL="114300" distR="114300" simplePos="0" relativeHeight="251661312" behindDoc="0" locked="0" layoutInCell="1" allowOverlap="1" wp14:anchorId="60176A00" wp14:editId="355F9DED">
                <wp:simplePos x="0" y="0"/>
                <wp:positionH relativeFrom="margin">
                  <wp:posOffset>1117600</wp:posOffset>
                </wp:positionH>
                <wp:positionV relativeFrom="paragraph">
                  <wp:posOffset>48260</wp:posOffset>
                </wp:positionV>
                <wp:extent cx="4737100" cy="2952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371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60C00" w14:textId="6890A3E1" w:rsidR="0058192A" w:rsidRDefault="0058192A" w:rsidP="00F2096C">
                            <w:pPr>
                              <w:spacing w:after="0"/>
                              <w:jc w:val="center"/>
                              <w:rPr>
                                <w:i/>
                              </w:rPr>
                            </w:pPr>
                            <w:r w:rsidRPr="003578DC">
                              <w:rPr>
                                <w:i/>
                              </w:rPr>
                              <w:t>À propos de ce guide</w:t>
                            </w:r>
                          </w:p>
                          <w:p w14:paraId="71072A86" w14:textId="77777777" w:rsidR="0058192A" w:rsidRPr="00264A1B" w:rsidRDefault="0058192A" w:rsidP="00F2096C">
                            <w:pPr>
                              <w:spacing w:after="0"/>
                              <w:jc w:val="center"/>
                              <w:rPr>
                                <w:i/>
                                <w:sz w:val="14"/>
                              </w:rPr>
                            </w:pPr>
                          </w:p>
                          <w:p w14:paraId="3A1E1845" w14:textId="4FEE23BB" w:rsidR="0058192A" w:rsidRDefault="0058192A" w:rsidP="00F2096C">
                            <w:pPr>
                              <w:spacing w:after="0"/>
                            </w:pPr>
                            <w:r>
                              <w:rPr>
                                <w:b/>
                                <w:u w:val="single"/>
                              </w:rPr>
                              <w:t>OBJECTIF</w:t>
                            </w:r>
                            <w:r w:rsidRPr="000D623F">
                              <w:rPr>
                                <w:b/>
                              </w:rPr>
                              <w:t> :</w:t>
                            </w:r>
                            <w:r>
                              <w:rPr>
                                <w:b/>
                              </w:rPr>
                              <w:t xml:space="preserve"> </w:t>
                            </w:r>
                            <w:r w:rsidRPr="003578DC">
                              <w:t xml:space="preserve">ce guide aidera les utilisateurs à </w:t>
                            </w:r>
                            <w:r w:rsidR="003578DC" w:rsidRPr="003578DC">
                              <w:t xml:space="preserve">communiquer efficacement de l’information concernant un retour </w:t>
                            </w:r>
                            <w:r w:rsidR="00557307">
                              <w:t>en milieu de</w:t>
                            </w:r>
                            <w:r w:rsidR="003578DC" w:rsidRPr="003578DC">
                              <w:t xml:space="preserve"> travail </w:t>
                            </w:r>
                            <w:r w:rsidRPr="003578DC">
                              <w:t xml:space="preserve">auprès de leurs </w:t>
                            </w:r>
                            <w:r w:rsidR="00E5022B">
                              <w:t>employés</w:t>
                            </w:r>
                            <w:r w:rsidRPr="003578DC">
                              <w:t>.</w:t>
                            </w:r>
                          </w:p>
                          <w:p w14:paraId="579F52A9" w14:textId="77777777" w:rsidR="0058192A" w:rsidRPr="00264A1B" w:rsidRDefault="0058192A" w:rsidP="00F2096C">
                            <w:pPr>
                              <w:spacing w:after="0"/>
                            </w:pPr>
                          </w:p>
                          <w:p w14:paraId="2F95D20E" w14:textId="19DBC5B9" w:rsidR="0058192A" w:rsidRPr="00F2096C" w:rsidRDefault="0058192A" w:rsidP="00F2096C">
                            <w:pPr>
                              <w:spacing w:after="0"/>
                              <w:rPr>
                                <w:b/>
                              </w:rPr>
                            </w:pPr>
                            <w:r>
                              <w:rPr>
                                <w:b/>
                                <w:u w:val="single"/>
                              </w:rPr>
                              <w:t>PUBLIC</w:t>
                            </w:r>
                            <w:r w:rsidRPr="000D623F">
                              <w:rPr>
                                <w:b/>
                              </w:rPr>
                              <w:t> :</w:t>
                            </w:r>
                            <w:r>
                              <w:rPr>
                                <w:b/>
                              </w:rPr>
                              <w:t xml:space="preserve"> </w:t>
                            </w:r>
                            <w:r>
                              <w:t>le gestionnaire du changement</w:t>
                            </w:r>
                            <w:r w:rsidR="00E5022B">
                              <w:t>,</w:t>
                            </w:r>
                            <w:r w:rsidR="009567CD">
                              <w:t xml:space="preserve"> </w:t>
                            </w:r>
                            <w:r>
                              <w:t>l</w:t>
                            </w:r>
                            <w:r w:rsidR="00264A1B">
                              <w:t>’</w:t>
                            </w:r>
                            <w:r>
                              <w:t>expert en communications</w:t>
                            </w:r>
                            <w:r w:rsidR="00E5022B">
                              <w:t xml:space="preserve"> ou les membres de l’équipe chargée de coordonner le retour en milieu de travail</w:t>
                            </w:r>
                            <w:r>
                              <w:t>.</w:t>
                            </w:r>
                          </w:p>
                          <w:p w14:paraId="21A82566" w14:textId="77777777" w:rsidR="0058192A" w:rsidRPr="00264A1B" w:rsidRDefault="0058192A" w:rsidP="00F2096C">
                            <w:pPr>
                              <w:spacing w:after="0"/>
                            </w:pPr>
                          </w:p>
                          <w:p w14:paraId="4AAF8A61" w14:textId="111CBF9B" w:rsidR="0058192A" w:rsidRPr="00F2096C" w:rsidRDefault="0058192A" w:rsidP="00F2096C">
                            <w:pPr>
                              <w:spacing w:after="0"/>
                            </w:pPr>
                            <w:r>
                              <w:rPr>
                                <w:b/>
                                <w:u w:val="single"/>
                              </w:rPr>
                              <w:t>CONTENU</w:t>
                            </w:r>
                            <w:r w:rsidRPr="000D623F">
                              <w:rPr>
                                <w:b/>
                              </w:rPr>
                              <w:t> :</w:t>
                            </w:r>
                            <w:r>
                              <w:t xml:space="preserve"> </w:t>
                            </w:r>
                          </w:p>
                          <w:p w14:paraId="4B5C7A4A" w14:textId="608E27EC" w:rsidR="0058192A" w:rsidRPr="007D43F6" w:rsidRDefault="0058192A" w:rsidP="00F2096C">
                            <w:pPr>
                              <w:pStyle w:val="ListParagraph"/>
                              <w:numPr>
                                <w:ilvl w:val="0"/>
                                <w:numId w:val="10"/>
                              </w:numPr>
                              <w:spacing w:after="0"/>
                            </w:pPr>
                            <w:r w:rsidRPr="007D43F6">
                              <w:t xml:space="preserve">Renseignements préliminaires </w:t>
                            </w:r>
                            <w:r w:rsidR="007238A9">
                              <w:t>nécessaires à la communication</w:t>
                            </w:r>
                          </w:p>
                          <w:p w14:paraId="306D2C1A" w14:textId="53BD1D0C" w:rsidR="004A375D" w:rsidRPr="007D43F6" w:rsidRDefault="004A375D" w:rsidP="004A375D">
                            <w:pPr>
                              <w:pStyle w:val="ListParagraph"/>
                              <w:numPr>
                                <w:ilvl w:val="0"/>
                                <w:numId w:val="10"/>
                              </w:numPr>
                              <w:spacing w:after="0"/>
                            </w:pPr>
                            <w:r w:rsidRPr="007D43F6">
                              <w:t>Conseils utiles</w:t>
                            </w:r>
                          </w:p>
                          <w:p w14:paraId="35CC3490" w14:textId="6DCC9373" w:rsidR="0058192A" w:rsidRPr="007D43F6" w:rsidRDefault="00104EDD" w:rsidP="00F2096C">
                            <w:pPr>
                              <w:pStyle w:val="ListParagraph"/>
                              <w:numPr>
                                <w:ilvl w:val="0"/>
                                <w:numId w:val="10"/>
                              </w:numPr>
                              <w:spacing w:after="0"/>
                            </w:pPr>
                            <w:r w:rsidRPr="007D43F6">
                              <w:t>P</w:t>
                            </w:r>
                            <w:r w:rsidR="0058192A" w:rsidRPr="007D43F6">
                              <w:t>roposition de liste d</w:t>
                            </w:r>
                            <w:r w:rsidR="00264A1B" w:rsidRPr="007D43F6">
                              <w:t>’</w:t>
                            </w:r>
                            <w:r w:rsidR="0058192A" w:rsidRPr="007D43F6">
                              <w:t xml:space="preserve">activités </w:t>
                            </w:r>
                          </w:p>
                          <w:p w14:paraId="74BF7E59" w14:textId="71D5A386" w:rsidR="00D7174C" w:rsidRPr="007D43F6" w:rsidRDefault="00D7174C" w:rsidP="00F2096C">
                            <w:pPr>
                              <w:pStyle w:val="ListParagraph"/>
                              <w:numPr>
                                <w:ilvl w:val="0"/>
                                <w:numId w:val="10"/>
                              </w:numPr>
                              <w:spacing w:after="0"/>
                            </w:pPr>
                            <w:r w:rsidRPr="007D43F6">
                              <w:t>Modèle</w:t>
                            </w:r>
                          </w:p>
                          <w:p w14:paraId="5166F195" w14:textId="45068544" w:rsidR="0058192A" w:rsidRPr="007D43F6" w:rsidRDefault="00104EDD" w:rsidP="00557307">
                            <w:pPr>
                              <w:pStyle w:val="ListParagraph"/>
                              <w:numPr>
                                <w:ilvl w:val="0"/>
                                <w:numId w:val="10"/>
                              </w:numPr>
                              <w:spacing w:after="0"/>
                            </w:pPr>
                            <w:r w:rsidRPr="007D43F6">
                              <w:t>E</w:t>
                            </w:r>
                            <w:r w:rsidR="0058192A" w:rsidRPr="007D43F6">
                              <w:t xml:space="preserve">xemple </w:t>
                            </w:r>
                            <w:r w:rsidRPr="007D43F6">
                              <w:t xml:space="preserve">de message aux employés </w:t>
                            </w:r>
                            <w:r w:rsidR="0058192A" w:rsidRPr="007D43F6">
                              <w:rPr>
                                <w:sz w:val="20"/>
                                <w:szCs w:val="20"/>
                              </w:rPr>
                              <w:t>(voir l</w:t>
                            </w:r>
                            <w:r w:rsidR="00264A1B" w:rsidRPr="007D43F6">
                              <w:rPr>
                                <w:sz w:val="20"/>
                                <w:szCs w:val="20"/>
                              </w:rPr>
                              <w:t>’</w:t>
                            </w:r>
                            <w:r w:rsidR="0058192A" w:rsidRPr="007D43F6">
                              <w:rPr>
                                <w:sz w:val="20"/>
                                <w:szCs w:val="20"/>
                              </w:rPr>
                              <w:t>annexe</w:t>
                            </w:r>
                            <w:r w:rsidR="00557307" w:rsidRPr="007D43F6">
                              <w:rPr>
                                <w:sz w:val="20"/>
                                <w:szCs w:val="20"/>
                              </w:rPr>
                              <w:t xml:space="preserve"> A</w:t>
                            </w:r>
                            <w:r w:rsidR="0058192A" w:rsidRPr="007D43F6">
                              <w:rPr>
                                <w:sz w:val="20"/>
                                <w:szCs w:val="20"/>
                              </w:rPr>
                              <w:t>)</w:t>
                            </w:r>
                          </w:p>
                          <w:p w14:paraId="180BA7B1" w14:textId="263351F4" w:rsidR="00557307" w:rsidRPr="007D43F6" w:rsidRDefault="00104EDD" w:rsidP="00557307">
                            <w:pPr>
                              <w:pStyle w:val="ListParagraph"/>
                              <w:numPr>
                                <w:ilvl w:val="0"/>
                                <w:numId w:val="10"/>
                              </w:numPr>
                              <w:spacing w:after="0"/>
                            </w:pPr>
                            <w:r w:rsidRPr="007D43F6">
                              <w:t>L</w:t>
                            </w:r>
                            <w:r w:rsidR="00557307" w:rsidRPr="007D43F6">
                              <w:t xml:space="preserve">ignes directrices pour le lancement d’un sondage </w:t>
                            </w:r>
                            <w:r w:rsidR="00557307" w:rsidRPr="007D43F6">
                              <w:rPr>
                                <w:sz w:val="20"/>
                                <w:szCs w:val="20"/>
                              </w:rPr>
                              <w:t>(voir l’annexe B)</w:t>
                            </w:r>
                          </w:p>
                          <w:p w14:paraId="40A8D0BD" w14:textId="77777777" w:rsidR="0058192A" w:rsidRPr="007424B7" w:rsidRDefault="0058192A" w:rsidP="007424B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76A00" id="_x0000_t202" coordsize="21600,21600" o:spt="202" path="m,l,21600r21600,l21600,xe">
                <v:stroke joinstyle="miter"/>
                <v:path gradientshapeok="t" o:connecttype="rect"/>
              </v:shapetype>
              <v:shape id="Text Box 5" o:spid="_x0000_s1026" type="#_x0000_t202" style="position:absolute;margin-left:88pt;margin-top:3.8pt;width:37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" filled="f" stroked="f" strokeweight=".5pt">
                <v:textbox>
                  <w:txbxContent>
                    <w:p w14:paraId="46060C00" w14:textId="6890A3E1" w:rsidR="0058192A" w:rsidRDefault="0058192A" w:rsidP="00F2096C">
                      <w:pPr>
                        <w:spacing w:after="0"/>
                        <w:jc w:val="center"/>
                        <w:rPr>
                          <w:i/>
                        </w:rPr>
                      </w:pPr>
                      <w:r w:rsidRPr="003578DC">
                        <w:rPr>
                          <w:i/>
                        </w:rPr>
                        <w:t>À propos de ce guide</w:t>
                      </w:r>
                    </w:p>
                    <w:p w14:paraId="71072A86" w14:textId="77777777" w:rsidR="0058192A" w:rsidRPr="00264A1B" w:rsidRDefault="0058192A" w:rsidP="00F2096C">
                      <w:pPr>
                        <w:spacing w:after="0"/>
                        <w:jc w:val="center"/>
                        <w:rPr>
                          <w:i/>
                          <w:sz w:val="14"/>
                        </w:rPr>
                      </w:pPr>
                    </w:p>
                    <w:p w14:paraId="3A1E1845" w14:textId="4FEE23BB" w:rsidR="0058192A" w:rsidRDefault="0058192A" w:rsidP="00F2096C">
                      <w:pPr>
                        <w:spacing w:after="0"/>
                      </w:pPr>
                      <w:r>
                        <w:rPr>
                          <w:b/>
                          <w:u w:val="single"/>
                        </w:rPr>
                        <w:t>OBJECTIF</w:t>
                      </w:r>
                      <w:r w:rsidRPr="000D623F">
                        <w:rPr>
                          <w:b/>
                        </w:rPr>
                        <w:t> :</w:t>
                      </w:r>
                      <w:r>
                        <w:rPr>
                          <w:b/>
                        </w:rPr>
                        <w:t xml:space="preserve"> </w:t>
                      </w:r>
                      <w:r w:rsidRPr="003578DC">
                        <w:t xml:space="preserve">ce guide aidera les utilisateurs à </w:t>
                      </w:r>
                      <w:r w:rsidR="003578DC" w:rsidRPr="003578DC">
                        <w:t xml:space="preserve">communiquer efficacement de l’information concernant un retour </w:t>
                      </w:r>
                      <w:r w:rsidR="00557307">
                        <w:t>en milieu de</w:t>
                      </w:r>
                      <w:r w:rsidR="003578DC" w:rsidRPr="003578DC">
                        <w:t xml:space="preserve"> travail </w:t>
                      </w:r>
                      <w:r w:rsidRPr="003578DC">
                        <w:t xml:space="preserve">auprès de leurs </w:t>
                      </w:r>
                      <w:r w:rsidR="00E5022B">
                        <w:t>employés</w:t>
                      </w:r>
                      <w:r w:rsidRPr="003578DC">
                        <w:t>.</w:t>
                      </w:r>
                    </w:p>
                    <w:p w14:paraId="579F52A9" w14:textId="77777777" w:rsidR="0058192A" w:rsidRPr="00264A1B" w:rsidRDefault="0058192A" w:rsidP="00F2096C">
                      <w:pPr>
                        <w:spacing w:after="0"/>
                      </w:pPr>
                    </w:p>
                    <w:p w14:paraId="2F95D20E" w14:textId="19DBC5B9" w:rsidR="0058192A" w:rsidRPr="00F2096C" w:rsidRDefault="0058192A" w:rsidP="00F2096C">
                      <w:pPr>
                        <w:spacing w:after="0"/>
                        <w:rPr>
                          <w:b/>
                        </w:rPr>
                      </w:pPr>
                      <w:r>
                        <w:rPr>
                          <w:b/>
                          <w:u w:val="single"/>
                        </w:rPr>
                        <w:t>PUBLIC</w:t>
                      </w:r>
                      <w:r w:rsidRPr="000D623F">
                        <w:rPr>
                          <w:b/>
                        </w:rPr>
                        <w:t> :</w:t>
                      </w:r>
                      <w:r>
                        <w:rPr>
                          <w:b/>
                        </w:rPr>
                        <w:t xml:space="preserve"> </w:t>
                      </w:r>
                      <w:r>
                        <w:t>le gestionnaire du changement</w:t>
                      </w:r>
                      <w:r w:rsidR="00E5022B">
                        <w:t>,</w:t>
                      </w:r>
                      <w:r w:rsidR="009567CD">
                        <w:t xml:space="preserve"> </w:t>
                      </w:r>
                      <w:r>
                        <w:t>l</w:t>
                      </w:r>
                      <w:r w:rsidR="00264A1B">
                        <w:t>’</w:t>
                      </w:r>
                      <w:r>
                        <w:t>expert en communications</w:t>
                      </w:r>
                      <w:r w:rsidR="00E5022B">
                        <w:t xml:space="preserve"> ou les membres de l’équipe chargée de coordonner le retour en milieu de travail</w:t>
                      </w:r>
                      <w:r>
                        <w:t>.</w:t>
                      </w:r>
                    </w:p>
                    <w:p w14:paraId="21A82566" w14:textId="77777777" w:rsidR="0058192A" w:rsidRPr="00264A1B" w:rsidRDefault="0058192A" w:rsidP="00F2096C">
                      <w:pPr>
                        <w:spacing w:after="0"/>
                      </w:pPr>
                    </w:p>
                    <w:p w14:paraId="4AAF8A61" w14:textId="111CBF9B" w:rsidR="0058192A" w:rsidRPr="00F2096C" w:rsidRDefault="0058192A" w:rsidP="00F2096C">
                      <w:pPr>
                        <w:spacing w:after="0"/>
                      </w:pPr>
                      <w:r>
                        <w:rPr>
                          <w:b/>
                          <w:u w:val="single"/>
                        </w:rPr>
                        <w:t>CONTENU</w:t>
                      </w:r>
                      <w:r w:rsidRPr="000D623F">
                        <w:rPr>
                          <w:b/>
                        </w:rPr>
                        <w:t> :</w:t>
                      </w:r>
                      <w:r>
                        <w:t xml:space="preserve"> </w:t>
                      </w:r>
                    </w:p>
                    <w:p w14:paraId="4B5C7A4A" w14:textId="608E27EC" w:rsidR="0058192A" w:rsidRPr="007D43F6" w:rsidRDefault="0058192A" w:rsidP="00F2096C">
                      <w:pPr>
                        <w:pStyle w:val="ListParagraph"/>
                        <w:numPr>
                          <w:ilvl w:val="0"/>
                          <w:numId w:val="10"/>
                        </w:numPr>
                        <w:spacing w:after="0"/>
                      </w:pPr>
                      <w:r w:rsidRPr="007D43F6">
                        <w:t xml:space="preserve">Renseignements préliminaires </w:t>
                      </w:r>
                      <w:r w:rsidR="007238A9">
                        <w:t>nécessaires à la communication</w:t>
                      </w:r>
                    </w:p>
                    <w:p w14:paraId="306D2C1A" w14:textId="53BD1D0C" w:rsidR="004A375D" w:rsidRPr="007D43F6" w:rsidRDefault="004A375D" w:rsidP="004A375D">
                      <w:pPr>
                        <w:pStyle w:val="ListParagraph"/>
                        <w:numPr>
                          <w:ilvl w:val="0"/>
                          <w:numId w:val="10"/>
                        </w:numPr>
                        <w:spacing w:after="0"/>
                      </w:pPr>
                      <w:r w:rsidRPr="007D43F6">
                        <w:t>Conseils utiles</w:t>
                      </w:r>
                    </w:p>
                    <w:p w14:paraId="35CC3490" w14:textId="6DCC9373" w:rsidR="0058192A" w:rsidRPr="007D43F6" w:rsidRDefault="00104EDD" w:rsidP="00F2096C">
                      <w:pPr>
                        <w:pStyle w:val="ListParagraph"/>
                        <w:numPr>
                          <w:ilvl w:val="0"/>
                          <w:numId w:val="10"/>
                        </w:numPr>
                        <w:spacing w:after="0"/>
                      </w:pPr>
                      <w:r w:rsidRPr="007D43F6">
                        <w:t>P</w:t>
                      </w:r>
                      <w:r w:rsidR="0058192A" w:rsidRPr="007D43F6">
                        <w:t>roposition de liste d</w:t>
                      </w:r>
                      <w:r w:rsidR="00264A1B" w:rsidRPr="007D43F6">
                        <w:t>’</w:t>
                      </w:r>
                      <w:r w:rsidR="0058192A" w:rsidRPr="007D43F6">
                        <w:t xml:space="preserve">activités </w:t>
                      </w:r>
                    </w:p>
                    <w:p w14:paraId="74BF7E59" w14:textId="71D5A386" w:rsidR="00D7174C" w:rsidRPr="007D43F6" w:rsidRDefault="00D7174C" w:rsidP="00F2096C">
                      <w:pPr>
                        <w:pStyle w:val="ListParagraph"/>
                        <w:numPr>
                          <w:ilvl w:val="0"/>
                          <w:numId w:val="10"/>
                        </w:numPr>
                        <w:spacing w:after="0"/>
                      </w:pPr>
                      <w:r w:rsidRPr="007D43F6">
                        <w:t>Modèle</w:t>
                      </w:r>
                    </w:p>
                    <w:p w14:paraId="5166F195" w14:textId="45068544" w:rsidR="0058192A" w:rsidRPr="007D43F6" w:rsidRDefault="00104EDD" w:rsidP="00557307">
                      <w:pPr>
                        <w:pStyle w:val="ListParagraph"/>
                        <w:numPr>
                          <w:ilvl w:val="0"/>
                          <w:numId w:val="10"/>
                        </w:numPr>
                        <w:spacing w:after="0"/>
                      </w:pPr>
                      <w:r w:rsidRPr="007D43F6">
                        <w:t>E</w:t>
                      </w:r>
                      <w:r w:rsidR="0058192A" w:rsidRPr="007D43F6">
                        <w:t xml:space="preserve">xemple </w:t>
                      </w:r>
                      <w:r w:rsidRPr="007D43F6">
                        <w:t xml:space="preserve">de message aux employés </w:t>
                      </w:r>
                      <w:r w:rsidR="0058192A" w:rsidRPr="007D43F6">
                        <w:rPr>
                          <w:sz w:val="20"/>
                          <w:szCs w:val="20"/>
                        </w:rPr>
                        <w:t>(voir l</w:t>
                      </w:r>
                      <w:r w:rsidR="00264A1B" w:rsidRPr="007D43F6">
                        <w:rPr>
                          <w:sz w:val="20"/>
                          <w:szCs w:val="20"/>
                        </w:rPr>
                        <w:t>’</w:t>
                      </w:r>
                      <w:r w:rsidR="0058192A" w:rsidRPr="007D43F6">
                        <w:rPr>
                          <w:sz w:val="20"/>
                          <w:szCs w:val="20"/>
                        </w:rPr>
                        <w:t>annexe</w:t>
                      </w:r>
                      <w:r w:rsidR="00557307" w:rsidRPr="007D43F6">
                        <w:rPr>
                          <w:sz w:val="20"/>
                          <w:szCs w:val="20"/>
                        </w:rPr>
                        <w:t xml:space="preserve"> A</w:t>
                      </w:r>
                      <w:r w:rsidR="0058192A" w:rsidRPr="007D43F6">
                        <w:rPr>
                          <w:sz w:val="20"/>
                          <w:szCs w:val="20"/>
                        </w:rPr>
                        <w:t>)</w:t>
                      </w:r>
                    </w:p>
                    <w:p w14:paraId="180BA7B1" w14:textId="263351F4" w:rsidR="00557307" w:rsidRPr="007D43F6" w:rsidRDefault="00104EDD" w:rsidP="00557307">
                      <w:pPr>
                        <w:pStyle w:val="ListParagraph"/>
                        <w:numPr>
                          <w:ilvl w:val="0"/>
                          <w:numId w:val="10"/>
                        </w:numPr>
                        <w:spacing w:after="0"/>
                      </w:pPr>
                      <w:r w:rsidRPr="007D43F6">
                        <w:t>L</w:t>
                      </w:r>
                      <w:r w:rsidR="00557307" w:rsidRPr="007D43F6">
                        <w:t xml:space="preserve">ignes directrices pour le lancement d’un sondage </w:t>
                      </w:r>
                      <w:r w:rsidR="00557307" w:rsidRPr="007D43F6">
                        <w:rPr>
                          <w:sz w:val="20"/>
                          <w:szCs w:val="20"/>
                        </w:rPr>
                        <w:t>(voir l’annexe B)</w:t>
                      </w:r>
                    </w:p>
                    <w:p w14:paraId="40A8D0BD" w14:textId="77777777" w:rsidR="0058192A" w:rsidRPr="007424B7" w:rsidRDefault="0058192A" w:rsidP="007424B7">
                      <w:pPr>
                        <w:spacing w:after="0"/>
                      </w:pPr>
                    </w:p>
                  </w:txbxContent>
                </v:textbox>
                <w10:wrap anchorx="margin"/>
              </v:shape>
            </w:pict>
          </mc:Fallback>
        </mc:AlternateContent>
      </w:r>
    </w:p>
    <w:p w14:paraId="30A31CDB" w14:textId="77777777" w:rsidR="00F2096C" w:rsidRPr="006B582C" w:rsidRDefault="00F2096C" w:rsidP="00595D2B">
      <w:pPr>
        <w:jc w:val="center"/>
        <w:rPr>
          <w:rFonts w:ascii="Arial" w:hAnsi="Arial" w:cs="Arial"/>
          <w:color w:val="0070C0"/>
          <w:sz w:val="24"/>
          <w:szCs w:val="24"/>
        </w:rPr>
      </w:pPr>
    </w:p>
    <w:p w14:paraId="7C96C197" w14:textId="77777777" w:rsidR="00F2096C" w:rsidRPr="006B582C" w:rsidRDefault="00F2096C" w:rsidP="00595D2B">
      <w:pPr>
        <w:jc w:val="center"/>
        <w:rPr>
          <w:rFonts w:ascii="Arial" w:hAnsi="Arial" w:cs="Arial"/>
          <w:color w:val="0070C0"/>
          <w:sz w:val="24"/>
          <w:szCs w:val="24"/>
        </w:rPr>
      </w:pPr>
    </w:p>
    <w:p w14:paraId="3E8DBB5C" w14:textId="77777777" w:rsidR="00F2096C" w:rsidRPr="006B582C" w:rsidRDefault="00F2096C" w:rsidP="00595D2B">
      <w:pPr>
        <w:jc w:val="center"/>
        <w:rPr>
          <w:rFonts w:ascii="Arial" w:hAnsi="Arial" w:cs="Arial"/>
          <w:color w:val="0070C0"/>
          <w:sz w:val="24"/>
          <w:szCs w:val="24"/>
        </w:rPr>
      </w:pPr>
    </w:p>
    <w:p w14:paraId="5E599BDA" w14:textId="77777777" w:rsidR="00735B3D" w:rsidRPr="006B582C" w:rsidRDefault="00735B3D" w:rsidP="00F2096C">
      <w:pPr>
        <w:pStyle w:val="NoSpacing"/>
        <w:ind w:right="146"/>
        <w:rPr>
          <w:rFonts w:ascii="Arial" w:hAnsi="Arial" w:cs="Arial"/>
          <w:color w:val="0070C0"/>
          <w:sz w:val="24"/>
          <w:szCs w:val="24"/>
        </w:rPr>
      </w:pPr>
    </w:p>
    <w:p w14:paraId="2EBCD576" w14:textId="77777777" w:rsidR="003F46FC" w:rsidRPr="006B582C" w:rsidRDefault="003F46FC" w:rsidP="00735B3D">
      <w:pPr>
        <w:ind w:left="142"/>
        <w:jc w:val="center"/>
        <w:rPr>
          <w:rFonts w:ascii="Arial" w:hAnsi="Arial" w:cs="Arial"/>
          <w:color w:val="0070C0"/>
          <w:sz w:val="24"/>
          <w:szCs w:val="24"/>
          <w:highlight w:val="cyan"/>
        </w:rPr>
      </w:pPr>
    </w:p>
    <w:p w14:paraId="1D55CC7D" w14:textId="77777777" w:rsidR="003F46FC" w:rsidRPr="006B582C" w:rsidRDefault="003F46FC" w:rsidP="00735B3D">
      <w:pPr>
        <w:ind w:left="142"/>
        <w:jc w:val="center"/>
        <w:rPr>
          <w:rFonts w:ascii="Arial" w:hAnsi="Arial" w:cs="Arial"/>
          <w:color w:val="0070C0"/>
          <w:sz w:val="24"/>
          <w:szCs w:val="24"/>
          <w:highlight w:val="cyan"/>
        </w:rPr>
      </w:pPr>
    </w:p>
    <w:p w14:paraId="7F9288DC" w14:textId="77777777" w:rsidR="0010225B" w:rsidRPr="006B582C" w:rsidRDefault="0010225B" w:rsidP="00F2096C">
      <w:pPr>
        <w:ind w:left="142"/>
        <w:jc w:val="center"/>
        <w:rPr>
          <w:rFonts w:ascii="Arial" w:hAnsi="Arial" w:cs="Arial"/>
          <w:b/>
          <w:color w:val="0070C0"/>
          <w:sz w:val="28"/>
          <w:szCs w:val="32"/>
        </w:rPr>
      </w:pPr>
    </w:p>
    <w:p w14:paraId="33995BA1" w14:textId="7322BE70" w:rsidR="0010225B" w:rsidRPr="006B582C" w:rsidRDefault="0010225B" w:rsidP="0010225B">
      <w:pPr>
        <w:rPr>
          <w:rFonts w:ascii="Arial" w:hAnsi="Arial" w:cs="Arial"/>
          <w:b/>
          <w:color w:val="0070C0"/>
          <w:sz w:val="32"/>
          <w:szCs w:val="32"/>
        </w:rPr>
      </w:pPr>
    </w:p>
    <w:p w14:paraId="1D5D0522" w14:textId="4E29F6B8" w:rsidR="00F2096C" w:rsidRPr="006B582C" w:rsidRDefault="00F2096C" w:rsidP="00EB31BE">
      <w:pPr>
        <w:rPr>
          <w:rFonts w:ascii="Arial" w:hAnsi="Arial" w:cs="Arial"/>
          <w:b/>
          <w:color w:val="0070C0"/>
          <w:sz w:val="32"/>
          <w:szCs w:val="32"/>
        </w:rPr>
      </w:pPr>
    </w:p>
    <w:p w14:paraId="1BB72D8E" w14:textId="60626CB1" w:rsidR="00383B95" w:rsidRPr="006B582C" w:rsidRDefault="00383B95" w:rsidP="00EB31BE">
      <w:pPr>
        <w:rPr>
          <w:rFonts w:ascii="Arial" w:hAnsi="Arial" w:cs="Arial"/>
          <w:b/>
          <w:color w:val="0070C0"/>
          <w:sz w:val="32"/>
          <w:szCs w:val="32"/>
        </w:rPr>
      </w:pPr>
    </w:p>
    <w:p w14:paraId="3CAB9B6B" w14:textId="77777777" w:rsidR="00557307" w:rsidRDefault="00557307" w:rsidP="001B2229">
      <w:pPr>
        <w:pStyle w:val="Heading1"/>
        <w:rPr>
          <w:rFonts w:asciiTheme="minorHAnsi" w:hAnsiTheme="minorHAnsi"/>
          <w:b/>
          <w:color w:val="4CB6A0" w:themeColor="accent2"/>
          <w:sz w:val="28"/>
          <w:szCs w:val="28"/>
        </w:rPr>
      </w:pPr>
    </w:p>
    <w:p w14:paraId="061B835D" w14:textId="77777777" w:rsidR="009567CD" w:rsidRDefault="009567CD" w:rsidP="0060616D">
      <w:pPr>
        <w:spacing w:line="300" w:lineRule="auto"/>
        <w:jc w:val="both"/>
        <w:rPr>
          <w:rFonts w:ascii="Calibri" w:hAnsi="Calibri"/>
        </w:rPr>
      </w:pPr>
    </w:p>
    <w:p w14:paraId="5EC732AD" w14:textId="24A11F71" w:rsidR="00D7174C" w:rsidRPr="009762D5" w:rsidRDefault="00D7174C" w:rsidP="0060616D">
      <w:pPr>
        <w:spacing w:line="300" w:lineRule="auto"/>
        <w:jc w:val="both"/>
        <w:rPr>
          <w:rFonts w:ascii="Calibri" w:hAnsi="Calibri"/>
        </w:rPr>
      </w:pPr>
      <w:r w:rsidRPr="00104EDD">
        <w:rPr>
          <w:rFonts w:ascii="Calibri" w:hAnsi="Calibri"/>
        </w:rPr>
        <w:t>Lors de la préparation pour un retour en milieu de travail, il est important de gérer ce processus complexe et possiblement difficile auquel nous sommes confronté dans le cadre du retour en milieu de travail.</w:t>
      </w:r>
      <w:r>
        <w:rPr>
          <w:rFonts w:ascii="Calibri" w:hAnsi="Calibri"/>
        </w:rPr>
        <w:t xml:space="preserve"> L’envoi de communication devrait être fréquent, centré sur l’employé, empathique et valorisant, </w:t>
      </w:r>
      <w:r>
        <w:t>tout en tenant compte du contexte et des circonstances qui entourent le retour</w:t>
      </w:r>
      <w:r>
        <w:rPr>
          <w:rFonts w:ascii="Calibri" w:hAnsi="Calibri"/>
        </w:rPr>
        <w:t xml:space="preserve">. Pour demander aux employés de retourner en milieu de travail, le calendrier des communications devrait se faire avec un préavis raisonnable et approprié afin de permettre à tous de se préparer. Les équipes de communications internes devront </w:t>
      </w:r>
      <w:r w:rsidR="0060616D">
        <w:rPr>
          <w:rFonts w:ascii="Calibri" w:hAnsi="Calibri"/>
        </w:rPr>
        <w:t xml:space="preserve">peut-être même </w:t>
      </w:r>
      <w:r>
        <w:rPr>
          <w:rFonts w:ascii="Calibri" w:hAnsi="Calibri"/>
        </w:rPr>
        <w:t xml:space="preserve">être agrandies à </w:t>
      </w:r>
      <w:r w:rsidR="00AC2448">
        <w:rPr>
          <w:rFonts w:ascii="Calibri" w:hAnsi="Calibri"/>
        </w:rPr>
        <w:t>court</w:t>
      </w:r>
      <w:r>
        <w:rPr>
          <w:rFonts w:ascii="Calibri" w:hAnsi="Calibri"/>
        </w:rPr>
        <w:t xml:space="preserve"> ou moyen terme afin de soutenir cette initiative de gestion du changement important. </w:t>
      </w:r>
    </w:p>
    <w:p w14:paraId="28F011AC" w14:textId="6535DF5F" w:rsidR="001B2229" w:rsidRPr="006B582C" w:rsidRDefault="00964723" w:rsidP="0060616D">
      <w:pPr>
        <w:pStyle w:val="Heading1"/>
        <w:jc w:val="both"/>
        <w:rPr>
          <w:rFonts w:asciiTheme="minorHAnsi" w:hAnsiTheme="minorHAnsi" w:cstheme="minorHAnsi"/>
          <w:b/>
          <w:color w:val="4CB6A0" w:themeColor="accent2"/>
          <w:sz w:val="28"/>
          <w:szCs w:val="28"/>
        </w:rPr>
      </w:pPr>
      <w:r>
        <w:rPr>
          <w:rFonts w:asciiTheme="minorHAnsi" w:hAnsiTheme="minorHAnsi"/>
          <w:b/>
          <w:color w:val="4CB6A0" w:themeColor="accent2"/>
          <w:sz w:val="28"/>
          <w:szCs w:val="28"/>
        </w:rPr>
        <w:t xml:space="preserve">Renseignements préliminaires nécessaires à la communication </w:t>
      </w:r>
    </w:p>
    <w:p w14:paraId="1CE2CE3A" w14:textId="020EA5B9" w:rsidR="001B2229" w:rsidRPr="006B582C" w:rsidRDefault="00537674" w:rsidP="0060616D">
      <w:pPr>
        <w:spacing w:line="300" w:lineRule="auto"/>
        <w:jc w:val="both"/>
        <w:rPr>
          <w:rFonts w:ascii="Calibri" w:eastAsia="Times New Roman" w:hAnsi="Calibri" w:cs="Calibri"/>
        </w:rPr>
      </w:pPr>
      <w:r w:rsidRPr="00966591">
        <w:rPr>
          <w:rFonts w:ascii="Calibri" w:hAnsi="Calibri"/>
        </w:rPr>
        <w:t xml:space="preserve">Dans le cadre de communications avec les employés, il est important de </w:t>
      </w:r>
      <w:r w:rsidR="004E19FC" w:rsidRPr="00966591">
        <w:rPr>
          <w:rFonts w:ascii="Calibri" w:hAnsi="Calibri"/>
        </w:rPr>
        <w:t>sensibiliser les</w:t>
      </w:r>
      <w:r w:rsidR="001B2229" w:rsidRPr="00966591">
        <w:rPr>
          <w:rFonts w:ascii="Calibri" w:hAnsi="Calibri"/>
        </w:rPr>
        <w:t xml:space="preserve"> employés </w:t>
      </w:r>
      <w:r w:rsidR="00966591">
        <w:rPr>
          <w:rFonts w:ascii="Calibri" w:hAnsi="Calibri"/>
        </w:rPr>
        <w:t>aux attentes de l’organisation ainsi qu’aux changements qui les attendent.</w:t>
      </w:r>
      <w:r w:rsidR="001B2229" w:rsidRPr="003578DC">
        <w:rPr>
          <w:rFonts w:ascii="Calibri" w:hAnsi="Calibri"/>
        </w:rPr>
        <w:t xml:space="preserve"> </w:t>
      </w:r>
      <w:r>
        <w:rPr>
          <w:rFonts w:ascii="Calibri" w:hAnsi="Calibri"/>
        </w:rPr>
        <w:t>V</w:t>
      </w:r>
      <w:r w:rsidR="001B2229" w:rsidRPr="003578DC">
        <w:rPr>
          <w:rFonts w:ascii="Calibri" w:hAnsi="Calibri"/>
        </w:rPr>
        <w:t xml:space="preserve">ous devrez expliquer le </w:t>
      </w:r>
      <w:r w:rsidR="001B2229" w:rsidRPr="003578DC">
        <w:rPr>
          <w:rFonts w:ascii="Calibri" w:hAnsi="Calibri"/>
          <w:b/>
        </w:rPr>
        <w:t>POURQUOI</w:t>
      </w:r>
      <w:r w:rsidR="003578DC" w:rsidRPr="003578DC">
        <w:rPr>
          <w:rFonts w:ascii="Calibri" w:hAnsi="Calibri"/>
        </w:rPr>
        <w:t xml:space="preserve"> </w:t>
      </w:r>
      <w:r w:rsidR="00A37746">
        <w:rPr>
          <w:rFonts w:ascii="Calibri" w:hAnsi="Calibri"/>
        </w:rPr>
        <w:t xml:space="preserve">et le </w:t>
      </w:r>
      <w:r w:rsidR="00A37746" w:rsidRPr="00A37746">
        <w:rPr>
          <w:rFonts w:ascii="Calibri" w:hAnsi="Calibri"/>
          <w:b/>
          <w:bCs/>
        </w:rPr>
        <w:t xml:space="preserve">COMMENT </w:t>
      </w:r>
      <w:r w:rsidR="003578DC" w:rsidRPr="003578DC">
        <w:rPr>
          <w:rFonts w:ascii="Calibri" w:hAnsi="Calibri"/>
        </w:rPr>
        <w:t>du retour</w:t>
      </w:r>
      <w:r w:rsidR="001B2229" w:rsidRPr="003578DC">
        <w:rPr>
          <w:rFonts w:ascii="Calibri" w:hAnsi="Calibri"/>
        </w:rPr>
        <w:t xml:space="preserve">, et </w:t>
      </w:r>
      <w:r w:rsidR="00AC5AED">
        <w:rPr>
          <w:rFonts w:ascii="Calibri" w:hAnsi="Calibri"/>
        </w:rPr>
        <w:t xml:space="preserve">surtout </w:t>
      </w:r>
      <w:r w:rsidR="003052B7">
        <w:rPr>
          <w:rFonts w:ascii="Calibri" w:hAnsi="Calibri"/>
          <w:b/>
        </w:rPr>
        <w:t>COMMENT</w:t>
      </w:r>
      <w:r w:rsidR="001B2229" w:rsidRPr="003578DC">
        <w:rPr>
          <w:rFonts w:ascii="Calibri" w:hAnsi="Calibri"/>
        </w:rPr>
        <w:t xml:space="preserve"> les employés </w:t>
      </w:r>
      <w:r w:rsidR="003052B7">
        <w:rPr>
          <w:rFonts w:ascii="Calibri" w:hAnsi="Calibri"/>
        </w:rPr>
        <w:t>seront soutenus tout au long de cette période de changement</w:t>
      </w:r>
      <w:r w:rsidR="001B2229" w:rsidRPr="003578DC">
        <w:rPr>
          <w:rFonts w:ascii="Calibri" w:hAnsi="Calibri"/>
        </w:rPr>
        <w:t>. Avant de planifier et de mettre en œuvre les communication</w:t>
      </w:r>
      <w:r>
        <w:rPr>
          <w:rFonts w:ascii="Calibri" w:hAnsi="Calibri"/>
        </w:rPr>
        <w:t>s</w:t>
      </w:r>
      <w:r w:rsidR="001B2229" w:rsidRPr="003578DC">
        <w:rPr>
          <w:rFonts w:ascii="Calibri" w:hAnsi="Calibri"/>
        </w:rPr>
        <w:t xml:space="preserve"> avec les employés </w:t>
      </w:r>
      <w:r>
        <w:rPr>
          <w:rFonts w:ascii="Calibri" w:hAnsi="Calibri"/>
        </w:rPr>
        <w:t xml:space="preserve">concernant </w:t>
      </w:r>
      <w:r w:rsidR="003578DC" w:rsidRPr="003578DC">
        <w:rPr>
          <w:rFonts w:ascii="Calibri" w:hAnsi="Calibri"/>
        </w:rPr>
        <w:t xml:space="preserve">le retour </w:t>
      </w:r>
      <w:r w:rsidR="003052B7">
        <w:rPr>
          <w:rFonts w:ascii="Calibri" w:hAnsi="Calibri"/>
        </w:rPr>
        <w:t>en</w:t>
      </w:r>
      <w:r w:rsidR="001B2229" w:rsidRPr="003578DC">
        <w:rPr>
          <w:rFonts w:ascii="Calibri" w:hAnsi="Calibri"/>
        </w:rPr>
        <w:t xml:space="preserve"> milieu de travail, il convient de</w:t>
      </w:r>
      <w:r w:rsidR="001B2229">
        <w:rPr>
          <w:rFonts w:ascii="Calibri" w:hAnsi="Calibri"/>
        </w:rPr>
        <w:t xml:space="preserve"> définir les éléments suivants</w:t>
      </w:r>
      <w:r>
        <w:rPr>
          <w:rFonts w:ascii="Calibri" w:hAnsi="Calibri"/>
        </w:rPr>
        <w:t> :</w:t>
      </w:r>
    </w:p>
    <w:p w14:paraId="440E3946" w14:textId="7A8486F1" w:rsidR="001B2229" w:rsidRPr="006B582C" w:rsidRDefault="004E19FC" w:rsidP="0060616D">
      <w:pPr>
        <w:numPr>
          <w:ilvl w:val="0"/>
          <w:numId w:val="14"/>
        </w:numPr>
        <w:spacing w:line="300" w:lineRule="auto"/>
        <w:contextualSpacing/>
        <w:jc w:val="both"/>
        <w:rPr>
          <w:rFonts w:ascii="Calibri" w:eastAsia="Times New Roman" w:hAnsi="Calibri" w:cs="Calibri"/>
        </w:rPr>
      </w:pPr>
      <w:r>
        <w:lastRenderedPageBreak/>
        <w:t>L</w:t>
      </w:r>
      <w:r w:rsidR="00264A1B">
        <w:t>’</w:t>
      </w:r>
      <w:r w:rsidR="00492509">
        <w:t xml:space="preserve">organisation </w:t>
      </w:r>
      <w:r>
        <w:t>doit avoir</w:t>
      </w:r>
      <w:r w:rsidR="00492509">
        <w:t xml:space="preserve"> une vision clairement </w:t>
      </w:r>
      <w:r w:rsidR="00492509" w:rsidRPr="00505E4D">
        <w:t>définie d</w:t>
      </w:r>
      <w:r w:rsidR="003578DC" w:rsidRPr="00505E4D">
        <w:t xml:space="preserve">u retour </w:t>
      </w:r>
      <w:r w:rsidR="003052B7">
        <w:t>en</w:t>
      </w:r>
      <w:r w:rsidR="00492509" w:rsidRPr="00505E4D">
        <w:t xml:space="preserve"> milieu de travail,</w:t>
      </w:r>
      <w:r w:rsidR="003578DC" w:rsidRPr="00505E4D">
        <w:t xml:space="preserve"> que ce</w:t>
      </w:r>
      <w:r w:rsidR="003578DC">
        <w:t xml:space="preserve"> soit dans un milieu modernisé ou non</w:t>
      </w:r>
      <w:r w:rsidR="00492509">
        <w:t>.</w:t>
      </w:r>
    </w:p>
    <w:p w14:paraId="70B800BA" w14:textId="4D2156ED" w:rsidR="001B2229" w:rsidRPr="006B582C" w:rsidRDefault="0045007F" w:rsidP="0060616D">
      <w:pPr>
        <w:numPr>
          <w:ilvl w:val="0"/>
          <w:numId w:val="14"/>
        </w:numPr>
        <w:spacing w:line="300" w:lineRule="auto"/>
        <w:contextualSpacing/>
        <w:jc w:val="both"/>
        <w:rPr>
          <w:rFonts w:ascii="Calibri" w:eastAsia="Times New Roman" w:hAnsi="Calibri" w:cs="Calibri"/>
        </w:rPr>
      </w:pPr>
      <w:r>
        <w:rPr>
          <w:rFonts w:ascii="Calibri" w:hAnsi="Calibri"/>
        </w:rPr>
        <w:t xml:space="preserve">Un parrain </w:t>
      </w:r>
      <w:r w:rsidRPr="0045007F">
        <w:rPr>
          <w:rFonts w:ascii="Calibri" w:hAnsi="Calibri"/>
        </w:rPr>
        <w:t>et/ou</w:t>
      </w:r>
      <w:r w:rsidRPr="00C02623">
        <w:rPr>
          <w:rFonts w:ascii="Calibri" w:hAnsi="Calibri"/>
        </w:rPr>
        <w:t xml:space="preserve"> champion</w:t>
      </w:r>
      <w:r w:rsidRPr="0045007F">
        <w:rPr>
          <w:rFonts w:ascii="Calibri" w:hAnsi="Calibri"/>
        </w:rPr>
        <w:t xml:space="preserve">(s) </w:t>
      </w:r>
      <w:r>
        <w:rPr>
          <w:rFonts w:ascii="Calibri" w:hAnsi="Calibri"/>
        </w:rPr>
        <w:t>devraient</w:t>
      </w:r>
      <w:r w:rsidR="00AC5AED">
        <w:rPr>
          <w:rFonts w:ascii="Calibri" w:hAnsi="Calibri"/>
        </w:rPr>
        <w:t xml:space="preserve"> être</w:t>
      </w:r>
      <w:r>
        <w:rPr>
          <w:rFonts w:ascii="Calibri" w:hAnsi="Calibri"/>
        </w:rPr>
        <w:t xml:space="preserve"> désignés pour communiquer les messages. Les pratiques exemplaires prévoient que les premiers messages sur la vision du retour devraient être communiqués par le plus haut dirigeant de l’organisation. </w:t>
      </w:r>
    </w:p>
    <w:p w14:paraId="5E00D8A7" w14:textId="15D1C27E" w:rsidR="001B2229" w:rsidRPr="006B582C" w:rsidRDefault="001B2229" w:rsidP="0060616D">
      <w:pPr>
        <w:numPr>
          <w:ilvl w:val="0"/>
          <w:numId w:val="14"/>
        </w:numPr>
        <w:spacing w:line="300" w:lineRule="auto"/>
        <w:contextualSpacing/>
        <w:jc w:val="both"/>
        <w:rPr>
          <w:rFonts w:ascii="Calibri" w:eastAsia="Times New Roman" w:hAnsi="Calibri" w:cs="Calibri"/>
        </w:rPr>
      </w:pPr>
      <w:r>
        <w:rPr>
          <w:rFonts w:ascii="Calibri" w:hAnsi="Calibri"/>
        </w:rPr>
        <w:t>Assurez-vous d</w:t>
      </w:r>
      <w:r w:rsidR="00264A1B">
        <w:rPr>
          <w:rFonts w:ascii="Calibri" w:hAnsi="Calibri"/>
        </w:rPr>
        <w:t>’</w:t>
      </w:r>
      <w:r>
        <w:rPr>
          <w:rFonts w:ascii="Calibri" w:hAnsi="Calibri"/>
        </w:rPr>
        <w:t xml:space="preserve">avoir les réponses aux questions suivantes, car elles constitueront la base de votre message qui devra être </w:t>
      </w:r>
      <w:r w:rsidR="00FF553C">
        <w:rPr>
          <w:rFonts w:ascii="Calibri" w:hAnsi="Calibri"/>
        </w:rPr>
        <w:t>orienté en fonction de</w:t>
      </w:r>
      <w:r>
        <w:rPr>
          <w:rFonts w:ascii="Calibri" w:hAnsi="Calibri"/>
        </w:rPr>
        <w:t xml:space="preserve"> la vision de l</w:t>
      </w:r>
      <w:r w:rsidR="00264A1B">
        <w:rPr>
          <w:rFonts w:ascii="Calibri" w:hAnsi="Calibri"/>
        </w:rPr>
        <w:t>’</w:t>
      </w:r>
      <w:r>
        <w:rPr>
          <w:rFonts w:ascii="Calibri" w:hAnsi="Calibri"/>
        </w:rPr>
        <w:t>organisation</w:t>
      </w:r>
      <w:r w:rsidR="003074D9">
        <w:rPr>
          <w:rFonts w:ascii="Calibri" w:hAnsi="Calibri"/>
        </w:rPr>
        <w:t xml:space="preserve"> </w:t>
      </w:r>
      <w:r>
        <w:rPr>
          <w:rFonts w:ascii="Calibri" w:hAnsi="Calibri"/>
        </w:rPr>
        <w:t xml:space="preserve">: </w:t>
      </w:r>
    </w:p>
    <w:p w14:paraId="4DFB6D88" w14:textId="6D8E29A1" w:rsidR="00D7174C" w:rsidRPr="003074D9" w:rsidRDefault="00D7174C" w:rsidP="0060616D">
      <w:pPr>
        <w:numPr>
          <w:ilvl w:val="1"/>
          <w:numId w:val="15"/>
        </w:numPr>
        <w:spacing w:after="0" w:line="240" w:lineRule="auto"/>
        <w:contextualSpacing/>
        <w:jc w:val="both"/>
        <w:textAlignment w:val="center"/>
        <w:rPr>
          <w:rFonts w:ascii="Calibri" w:eastAsia="Times New Roman" w:hAnsi="Calibri" w:cs="Calibri"/>
          <w:color w:val="757070"/>
        </w:rPr>
      </w:pPr>
      <w:r w:rsidRPr="003074D9">
        <w:rPr>
          <w:rFonts w:ascii="Calibri" w:hAnsi="Calibri"/>
        </w:rPr>
        <w:t xml:space="preserve">Quels sont les objectifs visés par le retour </w:t>
      </w:r>
      <w:r>
        <w:rPr>
          <w:rFonts w:ascii="Calibri" w:hAnsi="Calibri"/>
        </w:rPr>
        <w:t>en</w:t>
      </w:r>
      <w:r w:rsidRPr="003074D9">
        <w:rPr>
          <w:rFonts w:ascii="Calibri" w:hAnsi="Calibri"/>
        </w:rPr>
        <w:t xml:space="preserve"> milieu de travail?</w:t>
      </w:r>
      <w:r w:rsidR="005E22DD">
        <w:rPr>
          <w:rFonts w:ascii="Calibri" w:hAnsi="Calibri"/>
        </w:rPr>
        <w:t xml:space="preserve"> </w:t>
      </w:r>
    </w:p>
    <w:p w14:paraId="41A5E45B" w14:textId="77777777" w:rsidR="00D7174C" w:rsidRPr="003074D9" w:rsidRDefault="00D7174C" w:rsidP="0060616D">
      <w:pPr>
        <w:numPr>
          <w:ilvl w:val="1"/>
          <w:numId w:val="15"/>
        </w:numPr>
        <w:spacing w:after="0" w:line="240" w:lineRule="auto"/>
        <w:contextualSpacing/>
        <w:jc w:val="both"/>
        <w:textAlignment w:val="center"/>
        <w:rPr>
          <w:rFonts w:ascii="Calibri" w:eastAsia="Times New Roman" w:hAnsi="Calibri" w:cs="Calibri"/>
          <w:color w:val="757070"/>
        </w:rPr>
      </w:pPr>
      <w:r w:rsidRPr="003074D9">
        <w:rPr>
          <w:rFonts w:ascii="Calibri" w:hAnsi="Calibri"/>
        </w:rPr>
        <w:t>Quel sera l’impact de ce retour sur l’organisation et sur les employés?</w:t>
      </w:r>
    </w:p>
    <w:p w14:paraId="22777876" w14:textId="77777777" w:rsidR="00D7174C" w:rsidRPr="00D7174C" w:rsidRDefault="00D7174C" w:rsidP="0060616D">
      <w:pPr>
        <w:numPr>
          <w:ilvl w:val="1"/>
          <w:numId w:val="15"/>
        </w:numPr>
        <w:spacing w:after="0" w:line="240" w:lineRule="auto"/>
        <w:contextualSpacing/>
        <w:jc w:val="both"/>
        <w:textAlignment w:val="center"/>
        <w:rPr>
          <w:rFonts w:ascii="Calibri" w:eastAsia="Times New Roman" w:hAnsi="Calibri" w:cs="Calibri"/>
          <w:color w:val="757070"/>
        </w:rPr>
      </w:pPr>
      <w:r w:rsidRPr="003074D9">
        <w:rPr>
          <w:rFonts w:ascii="Calibri" w:hAnsi="Calibri"/>
        </w:rPr>
        <w:t>Quels seront les avantages pour l’organisation et ses employés?</w:t>
      </w:r>
      <w:r w:rsidRPr="00D7174C">
        <w:rPr>
          <w:rFonts w:ascii="Calibri" w:hAnsi="Calibri"/>
        </w:rPr>
        <w:t xml:space="preserve"> </w:t>
      </w:r>
    </w:p>
    <w:p w14:paraId="14364AC2" w14:textId="3377801D" w:rsidR="00D7174C" w:rsidRPr="00D7174C" w:rsidRDefault="00D7174C" w:rsidP="0060616D">
      <w:pPr>
        <w:numPr>
          <w:ilvl w:val="1"/>
          <w:numId w:val="15"/>
        </w:numPr>
        <w:spacing w:after="0" w:line="240" w:lineRule="auto"/>
        <w:contextualSpacing/>
        <w:jc w:val="both"/>
        <w:textAlignment w:val="center"/>
        <w:rPr>
          <w:rFonts w:ascii="Calibri" w:eastAsia="Times New Roman" w:hAnsi="Calibri" w:cs="Calibri"/>
          <w:color w:val="757070"/>
        </w:rPr>
      </w:pPr>
      <w:r w:rsidRPr="00A239B2">
        <w:rPr>
          <w:rFonts w:ascii="Calibri" w:hAnsi="Calibri"/>
        </w:rPr>
        <w:t>Quelle est l’expérience en milieu de travail recherchée? Comment cela contribue-t-il à concrétiser la vision de l’organisation?</w:t>
      </w:r>
    </w:p>
    <w:p w14:paraId="4F3A7B74" w14:textId="05DFC8FE" w:rsidR="00966591" w:rsidRPr="00966591" w:rsidRDefault="00966591" w:rsidP="0060616D">
      <w:pPr>
        <w:numPr>
          <w:ilvl w:val="1"/>
          <w:numId w:val="15"/>
        </w:numPr>
        <w:spacing w:after="0" w:line="240" w:lineRule="auto"/>
        <w:contextualSpacing/>
        <w:jc w:val="both"/>
        <w:textAlignment w:val="center"/>
        <w:rPr>
          <w:rFonts w:ascii="Calibri" w:eastAsia="Times New Roman" w:hAnsi="Calibri" w:cs="Calibri"/>
          <w:color w:val="757070"/>
        </w:rPr>
      </w:pPr>
      <w:r>
        <w:rPr>
          <w:rFonts w:ascii="Calibri" w:hAnsi="Calibri"/>
        </w:rPr>
        <w:t xml:space="preserve">Quel niveau de flexibilité sera accordé aux employés quant au choix de l’endroit où ils préfèrent travailler? </w:t>
      </w:r>
      <w:r w:rsidR="00AC5AED">
        <w:rPr>
          <w:rFonts w:ascii="Calibri" w:hAnsi="Calibri"/>
        </w:rPr>
        <w:t xml:space="preserve">Est-ce que les employés auront accès à d’autres endroits pour travailler comme les sites </w:t>
      </w:r>
      <w:proofErr w:type="spellStart"/>
      <w:r w:rsidR="00AC5AED">
        <w:rPr>
          <w:rFonts w:ascii="Calibri" w:hAnsi="Calibri"/>
        </w:rPr>
        <w:t>cotravailGC</w:t>
      </w:r>
      <w:proofErr w:type="spellEnd"/>
      <w:r w:rsidR="00AC5AED">
        <w:rPr>
          <w:rFonts w:ascii="Calibri" w:hAnsi="Calibri"/>
        </w:rPr>
        <w:t>?</w:t>
      </w:r>
    </w:p>
    <w:p w14:paraId="074D82E9" w14:textId="76DD245F" w:rsidR="003578DC" w:rsidRPr="003074D9" w:rsidRDefault="003074D9" w:rsidP="0060616D">
      <w:pPr>
        <w:numPr>
          <w:ilvl w:val="1"/>
          <w:numId w:val="15"/>
        </w:numPr>
        <w:spacing w:after="0" w:line="240" w:lineRule="auto"/>
        <w:contextualSpacing/>
        <w:jc w:val="both"/>
        <w:textAlignment w:val="center"/>
        <w:rPr>
          <w:rFonts w:ascii="Calibri" w:eastAsia="Times New Roman" w:hAnsi="Calibri" w:cs="Calibri"/>
          <w:color w:val="757070"/>
        </w:rPr>
      </w:pPr>
      <w:r w:rsidRPr="003074D9">
        <w:rPr>
          <w:rFonts w:ascii="Calibri" w:hAnsi="Calibri"/>
        </w:rPr>
        <w:t>Est-ce un</w:t>
      </w:r>
      <w:r w:rsidR="00D7174C">
        <w:rPr>
          <w:rFonts w:ascii="Calibri" w:hAnsi="Calibri"/>
        </w:rPr>
        <w:t xml:space="preserve"> retour dans un milieu de travail modernisé ou traditionnel? </w:t>
      </w:r>
    </w:p>
    <w:p w14:paraId="36188D35" w14:textId="4DDFC1A1" w:rsidR="00D7174C" w:rsidRPr="00D7174C" w:rsidRDefault="00D7174C" w:rsidP="0060616D">
      <w:pPr>
        <w:numPr>
          <w:ilvl w:val="1"/>
          <w:numId w:val="15"/>
        </w:numPr>
        <w:spacing w:after="0" w:line="240" w:lineRule="auto"/>
        <w:contextualSpacing/>
        <w:jc w:val="both"/>
        <w:textAlignment w:val="center"/>
        <w:rPr>
          <w:rFonts w:ascii="Calibri" w:eastAsia="Times New Roman" w:hAnsi="Calibri" w:cs="Calibri"/>
          <w:color w:val="757070"/>
        </w:rPr>
      </w:pPr>
      <w:r w:rsidRPr="003074D9">
        <w:rPr>
          <w:rFonts w:ascii="Calibri" w:hAnsi="Calibri"/>
        </w:rPr>
        <w:t>Y</w:t>
      </w:r>
      <w:r>
        <w:rPr>
          <w:rFonts w:ascii="Calibri" w:hAnsi="Calibri"/>
        </w:rPr>
        <w:t xml:space="preserve"> </w:t>
      </w:r>
      <w:r w:rsidRPr="003074D9">
        <w:rPr>
          <w:rFonts w:ascii="Calibri" w:hAnsi="Calibri"/>
        </w:rPr>
        <w:t>a</w:t>
      </w:r>
      <w:r>
        <w:rPr>
          <w:rFonts w:ascii="Calibri" w:hAnsi="Calibri"/>
        </w:rPr>
        <w:t>ura</w:t>
      </w:r>
      <w:r w:rsidRPr="003074D9">
        <w:rPr>
          <w:rFonts w:ascii="Calibri" w:hAnsi="Calibri"/>
        </w:rPr>
        <w:t>-t ’il un changement dans la façon de travailler</w:t>
      </w:r>
      <w:r>
        <w:rPr>
          <w:rFonts w:ascii="Calibri" w:hAnsi="Calibri"/>
        </w:rPr>
        <w:t xml:space="preserve"> pour les employés</w:t>
      </w:r>
      <w:r w:rsidRPr="003074D9">
        <w:rPr>
          <w:rFonts w:ascii="Calibri" w:hAnsi="Calibri"/>
        </w:rPr>
        <w:t xml:space="preserve">? </w:t>
      </w:r>
      <w:r>
        <w:rPr>
          <w:rFonts w:ascii="Calibri" w:hAnsi="Calibri"/>
        </w:rPr>
        <w:t xml:space="preserve">Si oui, </w:t>
      </w:r>
      <w:r w:rsidR="003A4238">
        <w:rPr>
          <w:rFonts w:ascii="Calibri" w:hAnsi="Calibri"/>
        </w:rPr>
        <w:t>lequel?</w:t>
      </w:r>
    </w:p>
    <w:p w14:paraId="18B512A4" w14:textId="77777777" w:rsidR="00A239B2" w:rsidRPr="00A239B2" w:rsidRDefault="00A239B2" w:rsidP="00A239B2">
      <w:pPr>
        <w:spacing w:after="0" w:line="240" w:lineRule="auto"/>
        <w:contextualSpacing/>
        <w:textAlignment w:val="center"/>
        <w:rPr>
          <w:rFonts w:cstheme="minorHAnsi"/>
          <w:b/>
          <w:color w:val="4CB6A0" w:themeColor="accent2"/>
          <w:sz w:val="28"/>
        </w:rPr>
      </w:pPr>
    </w:p>
    <w:p w14:paraId="5FA7BB7F" w14:textId="5931124E" w:rsidR="001772B7" w:rsidRPr="006B582C" w:rsidRDefault="00A239B2" w:rsidP="00A239B2">
      <w:pPr>
        <w:spacing w:after="0" w:line="240" w:lineRule="auto"/>
        <w:contextualSpacing/>
        <w:textAlignment w:val="center"/>
        <w:rPr>
          <w:rFonts w:cstheme="minorHAnsi"/>
          <w:b/>
          <w:color w:val="4CB6A0" w:themeColor="accent2"/>
          <w:sz w:val="28"/>
        </w:rPr>
      </w:pPr>
      <w:r>
        <w:rPr>
          <w:b/>
          <w:color w:val="4CB6A0" w:themeColor="accent2"/>
          <w:sz w:val="28"/>
        </w:rPr>
        <w:t xml:space="preserve"> </w:t>
      </w:r>
      <w:r w:rsidR="00BA033E">
        <w:rPr>
          <w:b/>
          <w:color w:val="4CB6A0" w:themeColor="accent2"/>
          <w:sz w:val="28"/>
        </w:rPr>
        <w:t>Conseils utiles</w:t>
      </w:r>
      <w:r w:rsidR="00AC2448">
        <w:rPr>
          <w:b/>
          <w:color w:val="4CB6A0" w:themeColor="accent2"/>
          <w:sz w:val="28"/>
        </w:rPr>
        <w:t xml:space="preserve"> et considérations</w:t>
      </w:r>
      <w:r w:rsidR="00E8642B">
        <w:rPr>
          <w:b/>
          <w:color w:val="4CB6A0" w:themeColor="accent2"/>
          <w:sz w:val="28"/>
        </w:rPr>
        <w:t xml:space="preserve"> </w:t>
      </w:r>
      <w:r w:rsidR="00E8642B">
        <w:rPr>
          <w:noProof/>
          <w:lang w:val="en-CA" w:eastAsia="en-CA"/>
        </w:rPr>
        <w:drawing>
          <wp:inline distT="0" distB="0" distL="0" distR="0" wp14:anchorId="3D6F66FC" wp14:editId="5CA43979">
            <wp:extent cx="278296" cy="267383"/>
            <wp:effectExtent l="0" t="0" r="7620" b="0"/>
            <wp:docPr id="1" name="Picture 1" descr="icone conseils u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052" cy="312305"/>
                    </a:xfrm>
                    <a:prstGeom prst="rect">
                      <a:avLst/>
                    </a:prstGeom>
                  </pic:spPr>
                </pic:pic>
              </a:graphicData>
            </a:graphic>
          </wp:inline>
        </w:drawing>
      </w:r>
    </w:p>
    <w:p w14:paraId="12AB1284" w14:textId="3CAA8638" w:rsidR="006C2851" w:rsidRDefault="006C2851" w:rsidP="006C2851">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sidRPr="00450CCC">
        <w:rPr>
          <w:rFonts w:ascii="Calibri" w:hAnsi="Calibri"/>
          <w:bCs/>
          <w:iCs/>
          <w:sz w:val="21"/>
          <w:szCs w:val="21"/>
        </w:rPr>
        <w:t xml:space="preserve">La pandémie de COVID-19 a changé radicalement la façon dont nous travaillons depuis déjà deux ans. Le retour </w:t>
      </w:r>
      <w:r w:rsidR="00966591" w:rsidRPr="00450CCC">
        <w:rPr>
          <w:rFonts w:ascii="Calibri" w:hAnsi="Calibri"/>
          <w:bCs/>
          <w:iCs/>
          <w:sz w:val="21"/>
          <w:szCs w:val="21"/>
        </w:rPr>
        <w:t>en</w:t>
      </w:r>
      <w:r w:rsidRPr="00450CCC">
        <w:rPr>
          <w:rFonts w:ascii="Calibri" w:hAnsi="Calibri"/>
          <w:bCs/>
          <w:iCs/>
          <w:sz w:val="21"/>
          <w:szCs w:val="21"/>
        </w:rPr>
        <w:t xml:space="preserve"> milieu de travail </w:t>
      </w:r>
      <w:r w:rsidR="00966591" w:rsidRPr="00450CCC">
        <w:rPr>
          <w:rFonts w:ascii="Calibri" w:hAnsi="Calibri"/>
          <w:bCs/>
          <w:iCs/>
          <w:sz w:val="21"/>
          <w:szCs w:val="21"/>
        </w:rPr>
        <w:t xml:space="preserve">pourrait </w:t>
      </w:r>
      <w:r w:rsidRPr="00450CCC">
        <w:rPr>
          <w:rFonts w:ascii="Calibri" w:hAnsi="Calibri"/>
          <w:bCs/>
          <w:iCs/>
          <w:sz w:val="21"/>
          <w:szCs w:val="21"/>
        </w:rPr>
        <w:t xml:space="preserve">être </w:t>
      </w:r>
      <w:r w:rsidR="00966591" w:rsidRPr="00450CCC">
        <w:rPr>
          <w:rFonts w:ascii="Calibri" w:hAnsi="Calibri"/>
          <w:bCs/>
          <w:iCs/>
          <w:sz w:val="21"/>
          <w:szCs w:val="21"/>
        </w:rPr>
        <w:t>une source d</w:t>
      </w:r>
      <w:r w:rsidRPr="00450CCC">
        <w:rPr>
          <w:rFonts w:ascii="Calibri" w:hAnsi="Calibri"/>
          <w:bCs/>
          <w:iCs/>
          <w:sz w:val="21"/>
          <w:szCs w:val="21"/>
        </w:rPr>
        <w:t xml:space="preserve">’anxiété </w:t>
      </w:r>
      <w:r w:rsidR="00966591" w:rsidRPr="00450CCC">
        <w:rPr>
          <w:rFonts w:ascii="Calibri" w:hAnsi="Calibri"/>
          <w:bCs/>
          <w:iCs/>
          <w:sz w:val="21"/>
          <w:szCs w:val="21"/>
        </w:rPr>
        <w:t xml:space="preserve">pour </w:t>
      </w:r>
      <w:r w:rsidR="00CC7643" w:rsidRPr="00450CCC">
        <w:rPr>
          <w:rFonts w:ascii="Calibri" w:hAnsi="Calibri"/>
          <w:bCs/>
          <w:iCs/>
          <w:sz w:val="21"/>
          <w:szCs w:val="21"/>
        </w:rPr>
        <w:t>certains</w:t>
      </w:r>
      <w:r w:rsidRPr="00450CCC">
        <w:rPr>
          <w:rFonts w:ascii="Calibri" w:hAnsi="Calibri"/>
          <w:bCs/>
          <w:iCs/>
          <w:sz w:val="21"/>
          <w:szCs w:val="21"/>
        </w:rPr>
        <w:t xml:space="preserve"> employés. Il est donc important de </w:t>
      </w:r>
      <w:r w:rsidRPr="00450CCC">
        <w:rPr>
          <w:rFonts w:ascii="Calibri" w:hAnsi="Calibri"/>
          <w:b/>
          <w:iCs/>
          <w:sz w:val="21"/>
          <w:szCs w:val="21"/>
        </w:rPr>
        <w:t>considérer les défis et situations particulières que la pandémie a laissé comme trace</w:t>
      </w:r>
      <w:r w:rsidRPr="00450CCC">
        <w:rPr>
          <w:rFonts w:ascii="Calibri" w:hAnsi="Calibri"/>
          <w:bCs/>
          <w:iCs/>
          <w:sz w:val="21"/>
          <w:szCs w:val="21"/>
        </w:rPr>
        <w:t>.</w:t>
      </w:r>
      <w:r w:rsidRPr="00DD38BD">
        <w:rPr>
          <w:rFonts w:ascii="Calibri" w:eastAsia="Times New Roman" w:hAnsi="Calibri" w:cs="Times New Roman"/>
          <w:bCs/>
          <w:iCs/>
          <w:sz w:val="21"/>
          <w:szCs w:val="21"/>
        </w:rPr>
        <w:t xml:space="preserve"> </w:t>
      </w:r>
      <w:r w:rsidR="003A4238">
        <w:rPr>
          <w:rFonts w:ascii="Calibri" w:eastAsia="Times New Roman" w:hAnsi="Calibri" w:cs="Times New Roman"/>
          <w:bCs/>
          <w:iCs/>
          <w:sz w:val="21"/>
          <w:szCs w:val="21"/>
        </w:rPr>
        <w:t xml:space="preserve">Il peut être intéressant d’utiliser des </w:t>
      </w:r>
      <w:proofErr w:type="spellStart"/>
      <w:r w:rsidR="003A4238">
        <w:rPr>
          <w:rFonts w:ascii="Calibri" w:eastAsia="Times New Roman" w:hAnsi="Calibri" w:cs="Times New Roman"/>
          <w:bCs/>
          <w:iCs/>
          <w:sz w:val="21"/>
          <w:szCs w:val="21"/>
        </w:rPr>
        <w:t>personas</w:t>
      </w:r>
      <w:proofErr w:type="spellEnd"/>
      <w:r w:rsidR="003A4238">
        <w:rPr>
          <w:rFonts w:ascii="Calibri" w:eastAsia="Times New Roman" w:hAnsi="Calibri" w:cs="Times New Roman"/>
          <w:bCs/>
          <w:iCs/>
          <w:sz w:val="21"/>
          <w:szCs w:val="21"/>
        </w:rPr>
        <w:t xml:space="preserve"> pour mieux comprendre les points de vue des différents types d’employés, comme celles proposées dans ce </w:t>
      </w:r>
      <w:r w:rsidR="003A4238" w:rsidRPr="007F3FC0">
        <w:rPr>
          <w:rFonts w:ascii="Calibri" w:eastAsia="Times New Roman" w:hAnsi="Calibri" w:cs="Times New Roman"/>
          <w:bCs/>
          <w:iCs/>
          <w:sz w:val="21"/>
          <w:szCs w:val="21"/>
        </w:rPr>
        <w:t>document créé par BGIS</w:t>
      </w:r>
      <w:r w:rsidR="007F3FC0">
        <w:rPr>
          <w:rFonts w:ascii="Calibri" w:eastAsia="Times New Roman" w:hAnsi="Calibri" w:cs="Times New Roman"/>
          <w:bCs/>
          <w:iCs/>
          <w:sz w:val="21"/>
          <w:szCs w:val="21"/>
        </w:rPr>
        <w:t xml:space="preserve"> : </w:t>
      </w:r>
      <w:hyperlink r:id="rId10" w:history="1">
        <w:r w:rsidR="007F3FC0" w:rsidRPr="007F3FC0">
          <w:rPr>
            <w:rStyle w:val="Hyperlink"/>
            <w:rFonts w:ascii="Calibri" w:eastAsia="Times New Roman" w:hAnsi="Calibri" w:cs="Times New Roman"/>
            <w:bCs/>
            <w:iCs/>
            <w:sz w:val="21"/>
            <w:szCs w:val="21"/>
          </w:rPr>
          <w:t>Guide d'expérience employé</w:t>
        </w:r>
      </w:hyperlink>
      <w:r w:rsidR="007F3FC0">
        <w:rPr>
          <w:rFonts w:ascii="Calibri" w:eastAsia="Times New Roman" w:hAnsi="Calibri" w:cs="Times New Roman"/>
          <w:bCs/>
          <w:iCs/>
          <w:sz w:val="21"/>
          <w:szCs w:val="21"/>
        </w:rPr>
        <w:t>.</w:t>
      </w:r>
    </w:p>
    <w:p w14:paraId="28915A1A" w14:textId="2E880DBE" w:rsidR="001772B7" w:rsidRPr="003074D9" w:rsidRDefault="001772B7" w:rsidP="00492509">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Cs/>
          <w:iCs/>
          <w:sz w:val="21"/>
          <w:szCs w:val="21"/>
        </w:rPr>
        <w:t>Le changement est souvent vecteur d</w:t>
      </w:r>
      <w:r w:rsidR="00264A1B">
        <w:rPr>
          <w:rFonts w:ascii="Calibri" w:hAnsi="Calibri"/>
          <w:bCs/>
          <w:iCs/>
          <w:sz w:val="21"/>
          <w:szCs w:val="21"/>
        </w:rPr>
        <w:t>’</w:t>
      </w:r>
      <w:r>
        <w:rPr>
          <w:rFonts w:ascii="Calibri" w:hAnsi="Calibri"/>
          <w:bCs/>
          <w:iCs/>
          <w:sz w:val="21"/>
          <w:szCs w:val="21"/>
        </w:rPr>
        <w:t>un certain degré d</w:t>
      </w:r>
      <w:r w:rsidR="00264A1B">
        <w:rPr>
          <w:rFonts w:ascii="Calibri" w:hAnsi="Calibri"/>
          <w:bCs/>
          <w:iCs/>
          <w:sz w:val="21"/>
          <w:szCs w:val="21"/>
        </w:rPr>
        <w:t>’</w:t>
      </w:r>
      <w:r>
        <w:rPr>
          <w:rFonts w:ascii="Calibri" w:hAnsi="Calibri"/>
          <w:bCs/>
          <w:iCs/>
          <w:sz w:val="21"/>
          <w:szCs w:val="21"/>
        </w:rPr>
        <w:t>incertitude chez les employés. Les dirigeants peuvent dissiper les rumeurs et atténuer l</w:t>
      </w:r>
      <w:r w:rsidR="00264A1B">
        <w:rPr>
          <w:rFonts w:ascii="Calibri" w:hAnsi="Calibri"/>
          <w:bCs/>
          <w:iCs/>
          <w:sz w:val="21"/>
          <w:szCs w:val="21"/>
        </w:rPr>
        <w:t>’</w:t>
      </w:r>
      <w:r>
        <w:rPr>
          <w:rFonts w:ascii="Calibri" w:hAnsi="Calibri"/>
          <w:bCs/>
          <w:iCs/>
          <w:sz w:val="21"/>
          <w:szCs w:val="21"/>
        </w:rPr>
        <w:t xml:space="preserve">anxiété en </w:t>
      </w:r>
      <w:r>
        <w:rPr>
          <w:rFonts w:ascii="Calibri" w:hAnsi="Calibri"/>
          <w:b/>
          <w:bCs/>
          <w:iCs/>
          <w:sz w:val="21"/>
          <w:szCs w:val="21"/>
        </w:rPr>
        <w:t>communiquant des messages clairs et cohérents</w:t>
      </w:r>
      <w:r>
        <w:rPr>
          <w:rFonts w:ascii="Calibri" w:hAnsi="Calibri"/>
          <w:bCs/>
          <w:iCs/>
          <w:sz w:val="21"/>
          <w:szCs w:val="21"/>
        </w:rPr>
        <w:t>.</w:t>
      </w:r>
    </w:p>
    <w:p w14:paraId="34840100" w14:textId="7A2C853B" w:rsidR="003074D9" w:rsidRPr="00DD38BD" w:rsidRDefault="00CC7643" w:rsidP="00DD38BD">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eastAsia="Times New Roman" w:hAnsi="Calibri" w:cs="Times New Roman"/>
          <w:bCs/>
          <w:iCs/>
          <w:sz w:val="21"/>
          <w:szCs w:val="21"/>
        </w:rPr>
        <w:t>Il est important d’</w:t>
      </w:r>
      <w:r w:rsidRPr="00DD38BD">
        <w:rPr>
          <w:rFonts w:ascii="Calibri" w:eastAsia="Times New Roman" w:hAnsi="Calibri" w:cs="Times New Roman"/>
          <w:b/>
          <w:iCs/>
          <w:sz w:val="21"/>
          <w:szCs w:val="21"/>
        </w:rPr>
        <w:t xml:space="preserve">utiliser les bons </w:t>
      </w:r>
      <w:r>
        <w:rPr>
          <w:rFonts w:ascii="Calibri" w:eastAsia="Times New Roman" w:hAnsi="Calibri" w:cs="Times New Roman"/>
          <w:b/>
          <w:iCs/>
          <w:sz w:val="21"/>
          <w:szCs w:val="21"/>
        </w:rPr>
        <w:t>termes</w:t>
      </w:r>
      <w:r w:rsidRPr="00DD38BD">
        <w:rPr>
          <w:rFonts w:ascii="Calibri" w:eastAsia="Times New Roman" w:hAnsi="Calibri" w:cs="Times New Roman"/>
          <w:b/>
          <w:iCs/>
          <w:sz w:val="21"/>
          <w:szCs w:val="21"/>
        </w:rPr>
        <w:t xml:space="preserve"> </w:t>
      </w:r>
      <w:r>
        <w:rPr>
          <w:rFonts w:ascii="Calibri" w:eastAsia="Times New Roman" w:hAnsi="Calibri" w:cs="Times New Roman"/>
          <w:bCs/>
          <w:iCs/>
          <w:sz w:val="21"/>
          <w:szCs w:val="21"/>
        </w:rPr>
        <w:t xml:space="preserve">dans les communications. </w:t>
      </w:r>
      <w:r w:rsidR="00DD38BD">
        <w:rPr>
          <w:rFonts w:ascii="Calibri" w:eastAsia="Times New Roman" w:hAnsi="Calibri" w:cs="Times New Roman"/>
          <w:bCs/>
          <w:iCs/>
          <w:sz w:val="21"/>
          <w:szCs w:val="21"/>
        </w:rPr>
        <w:t>Depuis les deux dernières années, les employés ont prouvé qu’ils pouvaient être aussi efficaces à la maison que dans leur milieu de travail original</w:t>
      </w:r>
      <w:r>
        <w:rPr>
          <w:rFonts w:ascii="Calibri" w:eastAsia="Times New Roman" w:hAnsi="Calibri" w:cs="Times New Roman"/>
          <w:bCs/>
          <w:iCs/>
          <w:sz w:val="21"/>
          <w:szCs w:val="21"/>
        </w:rPr>
        <w:t>; c</w:t>
      </w:r>
      <w:r w:rsidR="00DD38BD">
        <w:rPr>
          <w:rFonts w:ascii="Calibri" w:eastAsia="Times New Roman" w:hAnsi="Calibri" w:cs="Times New Roman"/>
          <w:bCs/>
          <w:iCs/>
          <w:sz w:val="21"/>
          <w:szCs w:val="21"/>
        </w:rPr>
        <w:t xml:space="preserve">e n’est donc pas un retour au travail, mais bien </w:t>
      </w:r>
      <w:r w:rsidR="00DD38BD" w:rsidRPr="003A4238">
        <w:rPr>
          <w:rFonts w:ascii="Calibri" w:eastAsia="Times New Roman" w:hAnsi="Calibri" w:cs="Times New Roman"/>
          <w:b/>
          <w:iCs/>
          <w:sz w:val="21"/>
          <w:szCs w:val="21"/>
        </w:rPr>
        <w:t>un retour en milieu de travail</w:t>
      </w:r>
      <w:r w:rsidR="00DD38BD">
        <w:rPr>
          <w:rFonts w:ascii="Calibri" w:eastAsia="Times New Roman" w:hAnsi="Calibri" w:cs="Times New Roman"/>
          <w:bCs/>
          <w:iCs/>
          <w:sz w:val="21"/>
          <w:szCs w:val="21"/>
        </w:rPr>
        <w:t xml:space="preserve">. </w:t>
      </w:r>
    </w:p>
    <w:p w14:paraId="6B3A6777" w14:textId="443A8E3D" w:rsidR="001772B7" w:rsidRPr="006B582C" w:rsidRDefault="00FD7A15"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sidRPr="00FD7A15">
        <w:rPr>
          <w:rFonts w:ascii="Calibri" w:hAnsi="Calibri"/>
          <w:b/>
          <w:bCs/>
          <w:iCs/>
          <w:sz w:val="21"/>
          <w:szCs w:val="21"/>
        </w:rPr>
        <w:t xml:space="preserve">Il n’est jamais trop tôt pour communiquer. </w:t>
      </w:r>
      <w:r w:rsidRPr="00FD7A15">
        <w:rPr>
          <w:rFonts w:ascii="Calibri" w:hAnsi="Calibri"/>
          <w:iCs/>
          <w:sz w:val="21"/>
          <w:szCs w:val="21"/>
        </w:rPr>
        <w:t xml:space="preserve">Si vous n’êtes pas en mesure d’annoncer une date précise, vous pouvez dire aux employés que X nombre de jours leur sera accordé avant de leur demander de retourner en milieu de travail (si c’est le cas). Ou simplement de leur annoncer qu’il n’y aura pas de décision prise avant X mois. Par contre, comme il est important de communiquer souvent avec les employés (surtout si plusieurs mois se sont écoulés depuis la dernière mise à jour sur le sujet de la part de la haute gestion), </w:t>
      </w:r>
      <w:r w:rsidRPr="00FD7A15">
        <w:rPr>
          <w:rFonts w:ascii="Calibri" w:hAnsi="Calibri"/>
          <w:b/>
          <w:bCs/>
          <w:iCs/>
          <w:sz w:val="21"/>
          <w:szCs w:val="21"/>
        </w:rPr>
        <w:t>gérer les attentes des employés devient primordial</w:t>
      </w:r>
      <w:r w:rsidRPr="00FD7A15">
        <w:rPr>
          <w:rFonts w:ascii="Calibri" w:hAnsi="Calibri"/>
          <w:iCs/>
          <w:sz w:val="21"/>
          <w:szCs w:val="21"/>
        </w:rPr>
        <w:t>.</w:t>
      </w:r>
    </w:p>
    <w:p w14:paraId="3AA04022" w14:textId="0E53542C" w:rsidR="001772B7" w:rsidRPr="00204B32" w:rsidRDefault="001772B7"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 xml:space="preserve">La </w:t>
      </w:r>
      <w:r w:rsidR="00FF553C">
        <w:rPr>
          <w:rFonts w:ascii="Calibri" w:hAnsi="Calibri"/>
          <w:b/>
          <w:bCs/>
          <w:iCs/>
          <w:sz w:val="21"/>
          <w:szCs w:val="21"/>
        </w:rPr>
        <w:t>consultation</w:t>
      </w:r>
      <w:r>
        <w:rPr>
          <w:rFonts w:ascii="Calibri" w:hAnsi="Calibri"/>
          <w:b/>
          <w:bCs/>
          <w:iCs/>
          <w:sz w:val="21"/>
          <w:szCs w:val="21"/>
        </w:rPr>
        <w:t xml:space="preserve"> des employés et les communications internes ne doivent pas être traitées comme des éléments ponctuels acquis </w:t>
      </w:r>
      <w:r w:rsidRPr="00450CCC">
        <w:rPr>
          <w:rFonts w:ascii="Calibri" w:hAnsi="Calibri"/>
          <w:iCs/>
          <w:sz w:val="21"/>
          <w:szCs w:val="21"/>
        </w:rPr>
        <w:t>une bonne fois pour toutes</w:t>
      </w:r>
      <w:r>
        <w:rPr>
          <w:rFonts w:ascii="Calibri" w:hAnsi="Calibri"/>
          <w:bCs/>
          <w:iCs/>
          <w:sz w:val="21"/>
          <w:szCs w:val="21"/>
        </w:rPr>
        <w:t xml:space="preserve">; au contraire, elles devraient constituer la base </w:t>
      </w:r>
      <w:r w:rsidR="006C2851">
        <w:rPr>
          <w:rFonts w:ascii="Calibri" w:hAnsi="Calibri"/>
          <w:bCs/>
          <w:iCs/>
          <w:sz w:val="21"/>
          <w:szCs w:val="21"/>
        </w:rPr>
        <w:t>de la stratégie de retour</w:t>
      </w:r>
      <w:r w:rsidR="00AC5AED">
        <w:rPr>
          <w:rFonts w:ascii="Calibri" w:hAnsi="Calibri"/>
          <w:bCs/>
          <w:iCs/>
          <w:sz w:val="21"/>
          <w:szCs w:val="21"/>
        </w:rPr>
        <w:t>.</w:t>
      </w:r>
    </w:p>
    <w:p w14:paraId="30C93497" w14:textId="0B3681D1" w:rsidR="001772B7" w:rsidRPr="006B582C" w:rsidRDefault="004F4CE9" w:rsidP="001772B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Communiquer</w:t>
      </w:r>
      <w:r w:rsidR="001772B7">
        <w:rPr>
          <w:rFonts w:ascii="Calibri" w:hAnsi="Calibri"/>
          <w:b/>
          <w:bCs/>
          <w:iCs/>
          <w:sz w:val="21"/>
          <w:szCs w:val="21"/>
        </w:rPr>
        <w:t xml:space="preserve"> les changements de comportement souhaités</w:t>
      </w:r>
      <w:r w:rsidR="001772B7">
        <w:rPr>
          <w:rFonts w:ascii="Calibri" w:hAnsi="Calibri"/>
          <w:bCs/>
          <w:iCs/>
          <w:sz w:val="21"/>
          <w:szCs w:val="21"/>
        </w:rPr>
        <w:t xml:space="preserve"> : si </w:t>
      </w:r>
      <w:r w:rsidR="001772B7" w:rsidRPr="00E92123">
        <w:rPr>
          <w:rFonts w:ascii="Calibri" w:hAnsi="Calibri"/>
          <w:bCs/>
          <w:iCs/>
          <w:sz w:val="21"/>
          <w:szCs w:val="21"/>
        </w:rPr>
        <w:t xml:space="preserve">le </w:t>
      </w:r>
      <w:r w:rsidR="00E92123" w:rsidRPr="00E92123">
        <w:rPr>
          <w:rFonts w:ascii="Calibri" w:hAnsi="Calibri"/>
          <w:bCs/>
          <w:iCs/>
          <w:sz w:val="21"/>
          <w:szCs w:val="21"/>
        </w:rPr>
        <w:t>retour</w:t>
      </w:r>
      <w:r w:rsidR="00E92123">
        <w:rPr>
          <w:rFonts w:ascii="Calibri" w:hAnsi="Calibri"/>
          <w:bCs/>
          <w:iCs/>
          <w:sz w:val="21"/>
          <w:szCs w:val="21"/>
        </w:rPr>
        <w:t xml:space="preserve"> prévu </w:t>
      </w:r>
      <w:r w:rsidR="001772B7">
        <w:rPr>
          <w:rFonts w:ascii="Calibri" w:hAnsi="Calibri"/>
          <w:bCs/>
          <w:iCs/>
          <w:sz w:val="21"/>
          <w:szCs w:val="21"/>
        </w:rPr>
        <w:t xml:space="preserve">nécessite une modification du comportement des employés, les communications internes devraient préciser quelles sont ces nouvelles attentes, pourquoi </w:t>
      </w:r>
      <w:r w:rsidR="00FF553C">
        <w:rPr>
          <w:rFonts w:ascii="Calibri" w:hAnsi="Calibri"/>
          <w:bCs/>
          <w:iCs/>
          <w:sz w:val="21"/>
          <w:szCs w:val="21"/>
        </w:rPr>
        <w:t>celles-ci sont</w:t>
      </w:r>
      <w:r w:rsidR="001772B7">
        <w:rPr>
          <w:rFonts w:ascii="Calibri" w:hAnsi="Calibri"/>
          <w:bCs/>
          <w:iCs/>
          <w:sz w:val="21"/>
          <w:szCs w:val="21"/>
        </w:rPr>
        <w:t xml:space="preserve"> important</w:t>
      </w:r>
      <w:r w:rsidR="00FF553C">
        <w:rPr>
          <w:rFonts w:ascii="Calibri" w:hAnsi="Calibri"/>
          <w:bCs/>
          <w:iCs/>
          <w:sz w:val="21"/>
          <w:szCs w:val="21"/>
        </w:rPr>
        <w:t>es</w:t>
      </w:r>
      <w:r w:rsidR="001772B7">
        <w:rPr>
          <w:rFonts w:ascii="Calibri" w:hAnsi="Calibri"/>
          <w:bCs/>
          <w:iCs/>
          <w:sz w:val="21"/>
          <w:szCs w:val="21"/>
        </w:rPr>
        <w:t xml:space="preserve"> pour l</w:t>
      </w:r>
      <w:r w:rsidR="00264A1B">
        <w:rPr>
          <w:rFonts w:ascii="Calibri" w:hAnsi="Calibri"/>
          <w:bCs/>
          <w:iCs/>
          <w:sz w:val="21"/>
          <w:szCs w:val="21"/>
        </w:rPr>
        <w:t>’</w:t>
      </w:r>
      <w:r w:rsidR="001772B7">
        <w:rPr>
          <w:rFonts w:ascii="Calibri" w:hAnsi="Calibri"/>
          <w:bCs/>
          <w:iCs/>
          <w:sz w:val="21"/>
          <w:szCs w:val="21"/>
        </w:rPr>
        <w:t xml:space="preserve">organisation et pour les personnes – </w:t>
      </w:r>
      <w:r w:rsidR="001772B7" w:rsidRPr="006C2851">
        <w:rPr>
          <w:rFonts w:ascii="Calibri" w:hAnsi="Calibri"/>
          <w:bCs/>
          <w:iCs/>
          <w:sz w:val="21"/>
          <w:szCs w:val="21"/>
        </w:rPr>
        <w:t>qu</w:t>
      </w:r>
      <w:r w:rsidR="00264A1B" w:rsidRPr="006C2851">
        <w:rPr>
          <w:rFonts w:ascii="Calibri" w:hAnsi="Calibri"/>
          <w:bCs/>
          <w:iCs/>
          <w:sz w:val="21"/>
          <w:szCs w:val="21"/>
        </w:rPr>
        <w:t>’</w:t>
      </w:r>
      <w:r w:rsidR="001772B7" w:rsidRPr="006C2851">
        <w:rPr>
          <w:rFonts w:ascii="Calibri" w:hAnsi="Calibri"/>
          <w:bCs/>
          <w:iCs/>
          <w:sz w:val="21"/>
          <w:szCs w:val="21"/>
        </w:rPr>
        <w:t>est-ce que j</w:t>
      </w:r>
      <w:r w:rsidR="00264A1B" w:rsidRPr="006C2851">
        <w:rPr>
          <w:rFonts w:ascii="Calibri" w:hAnsi="Calibri"/>
          <w:bCs/>
          <w:iCs/>
          <w:sz w:val="21"/>
          <w:szCs w:val="21"/>
        </w:rPr>
        <w:t>’</w:t>
      </w:r>
      <w:r w:rsidR="001772B7" w:rsidRPr="006C2851">
        <w:rPr>
          <w:rFonts w:ascii="Calibri" w:hAnsi="Calibri"/>
          <w:bCs/>
          <w:iCs/>
          <w:sz w:val="21"/>
          <w:szCs w:val="21"/>
        </w:rPr>
        <w:t>y gagne</w:t>
      </w:r>
      <w:r w:rsidR="001772B7">
        <w:rPr>
          <w:rFonts w:ascii="Calibri" w:hAnsi="Calibri"/>
          <w:bCs/>
          <w:iCs/>
          <w:sz w:val="21"/>
          <w:szCs w:val="21"/>
        </w:rPr>
        <w:t>?</w:t>
      </w:r>
    </w:p>
    <w:p w14:paraId="5E8CD8F5" w14:textId="0447778F" w:rsidR="001772B7" w:rsidRPr="004F4CE9" w:rsidRDefault="001772B7" w:rsidP="00EE257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Encourager la rétroaction en temps réel</w:t>
      </w:r>
      <w:r>
        <w:rPr>
          <w:rFonts w:ascii="Calibri" w:hAnsi="Calibri"/>
          <w:bCs/>
          <w:iCs/>
          <w:sz w:val="21"/>
          <w:szCs w:val="21"/>
        </w:rPr>
        <w:t> : cette rétroaction peut être recueillie de différentes manières, notamment par l</w:t>
      </w:r>
      <w:r w:rsidR="00FF553C">
        <w:rPr>
          <w:rFonts w:ascii="Calibri" w:hAnsi="Calibri"/>
          <w:bCs/>
          <w:iCs/>
          <w:sz w:val="21"/>
          <w:szCs w:val="21"/>
        </w:rPr>
        <w:t xml:space="preserve">’entremise </w:t>
      </w:r>
      <w:r>
        <w:rPr>
          <w:rFonts w:ascii="Calibri" w:hAnsi="Calibri"/>
          <w:bCs/>
          <w:iCs/>
          <w:sz w:val="21"/>
          <w:szCs w:val="21"/>
        </w:rPr>
        <w:t>de réunions individuelles entre le gestionnaire et l</w:t>
      </w:r>
      <w:r w:rsidR="00264A1B">
        <w:rPr>
          <w:rFonts w:ascii="Calibri" w:hAnsi="Calibri"/>
          <w:bCs/>
          <w:iCs/>
          <w:sz w:val="21"/>
          <w:szCs w:val="21"/>
        </w:rPr>
        <w:t>’</w:t>
      </w:r>
      <w:r>
        <w:rPr>
          <w:rFonts w:ascii="Calibri" w:hAnsi="Calibri"/>
          <w:bCs/>
          <w:iCs/>
          <w:sz w:val="21"/>
          <w:szCs w:val="21"/>
        </w:rPr>
        <w:t xml:space="preserve">employé ou </w:t>
      </w:r>
      <w:r w:rsidR="00AC5AED">
        <w:rPr>
          <w:rFonts w:ascii="Calibri" w:hAnsi="Calibri"/>
          <w:bCs/>
          <w:iCs/>
          <w:sz w:val="21"/>
          <w:szCs w:val="21"/>
        </w:rPr>
        <w:t xml:space="preserve">sous forme </w:t>
      </w:r>
      <w:r>
        <w:rPr>
          <w:rFonts w:ascii="Calibri" w:hAnsi="Calibri"/>
          <w:bCs/>
          <w:iCs/>
          <w:sz w:val="21"/>
          <w:szCs w:val="21"/>
        </w:rPr>
        <w:t xml:space="preserve">de </w:t>
      </w:r>
      <w:r w:rsidR="006C2851">
        <w:rPr>
          <w:rFonts w:ascii="Calibri" w:hAnsi="Calibri"/>
          <w:bCs/>
          <w:iCs/>
          <w:sz w:val="21"/>
          <w:szCs w:val="21"/>
        </w:rPr>
        <w:t>sondages.</w:t>
      </w:r>
      <w:r>
        <w:rPr>
          <w:rFonts w:ascii="Calibri" w:hAnsi="Calibri"/>
          <w:bCs/>
          <w:iCs/>
          <w:sz w:val="21"/>
          <w:szCs w:val="21"/>
        </w:rPr>
        <w:t xml:space="preserve"> La </w:t>
      </w:r>
      <w:r w:rsidR="00FF553C">
        <w:rPr>
          <w:rFonts w:ascii="Calibri" w:hAnsi="Calibri"/>
          <w:bCs/>
          <w:iCs/>
          <w:sz w:val="21"/>
          <w:szCs w:val="21"/>
        </w:rPr>
        <w:t>consultation</w:t>
      </w:r>
      <w:r>
        <w:rPr>
          <w:rFonts w:ascii="Calibri" w:hAnsi="Calibri"/>
          <w:bCs/>
          <w:iCs/>
          <w:sz w:val="21"/>
          <w:szCs w:val="21"/>
        </w:rPr>
        <w:t xml:space="preserve"> est optimale lorsque les employés ont le sentiment d</w:t>
      </w:r>
      <w:r w:rsidR="00264A1B">
        <w:rPr>
          <w:rFonts w:ascii="Calibri" w:hAnsi="Calibri"/>
          <w:bCs/>
          <w:iCs/>
          <w:sz w:val="21"/>
          <w:szCs w:val="21"/>
        </w:rPr>
        <w:t>’</w:t>
      </w:r>
      <w:r>
        <w:rPr>
          <w:rFonts w:ascii="Calibri" w:hAnsi="Calibri"/>
          <w:bCs/>
          <w:iCs/>
          <w:sz w:val="21"/>
          <w:szCs w:val="21"/>
        </w:rPr>
        <w:t>être entendus et que l</w:t>
      </w:r>
      <w:r w:rsidR="00264A1B">
        <w:rPr>
          <w:rFonts w:ascii="Calibri" w:hAnsi="Calibri"/>
          <w:bCs/>
          <w:iCs/>
          <w:sz w:val="21"/>
          <w:szCs w:val="21"/>
        </w:rPr>
        <w:t>’</w:t>
      </w:r>
      <w:r>
        <w:rPr>
          <w:rFonts w:ascii="Calibri" w:hAnsi="Calibri"/>
          <w:bCs/>
          <w:iCs/>
          <w:sz w:val="21"/>
          <w:szCs w:val="21"/>
        </w:rPr>
        <w:t xml:space="preserve">organisation assume la responsabilité de cette rétroaction. Cette </w:t>
      </w:r>
      <w:r>
        <w:rPr>
          <w:rFonts w:ascii="Calibri" w:hAnsi="Calibri"/>
          <w:bCs/>
          <w:iCs/>
          <w:sz w:val="21"/>
          <w:szCs w:val="21"/>
        </w:rPr>
        <w:lastRenderedPageBreak/>
        <w:t xml:space="preserve">méthode de </w:t>
      </w:r>
      <w:r w:rsidR="00FF553C">
        <w:rPr>
          <w:rFonts w:ascii="Calibri" w:hAnsi="Calibri"/>
          <w:bCs/>
          <w:iCs/>
          <w:sz w:val="21"/>
          <w:szCs w:val="21"/>
        </w:rPr>
        <w:t xml:space="preserve">consultation </w:t>
      </w:r>
      <w:r>
        <w:rPr>
          <w:rFonts w:ascii="Calibri" w:hAnsi="Calibri"/>
          <w:bCs/>
          <w:iCs/>
          <w:sz w:val="21"/>
          <w:szCs w:val="21"/>
        </w:rPr>
        <w:t>permet en outre de réagir en temps réel aux changements à mesure qu</w:t>
      </w:r>
      <w:r w:rsidR="00264A1B">
        <w:rPr>
          <w:rFonts w:ascii="Calibri" w:hAnsi="Calibri"/>
          <w:bCs/>
          <w:iCs/>
          <w:sz w:val="21"/>
          <w:szCs w:val="21"/>
        </w:rPr>
        <w:t>’</w:t>
      </w:r>
      <w:r>
        <w:rPr>
          <w:rFonts w:ascii="Calibri" w:hAnsi="Calibri"/>
          <w:bCs/>
          <w:iCs/>
          <w:sz w:val="21"/>
          <w:szCs w:val="21"/>
        </w:rPr>
        <w:t>ils se produisent, de sorte que l</w:t>
      </w:r>
      <w:r w:rsidR="00264A1B">
        <w:rPr>
          <w:rFonts w:ascii="Calibri" w:hAnsi="Calibri"/>
          <w:bCs/>
          <w:iCs/>
          <w:sz w:val="21"/>
          <w:szCs w:val="21"/>
        </w:rPr>
        <w:t>’</w:t>
      </w:r>
      <w:r>
        <w:rPr>
          <w:rFonts w:ascii="Calibri" w:hAnsi="Calibri"/>
          <w:bCs/>
          <w:iCs/>
          <w:sz w:val="21"/>
          <w:szCs w:val="21"/>
        </w:rPr>
        <w:t>organisation peut traiter les différents points sensibles lorsqu</w:t>
      </w:r>
      <w:r w:rsidR="00264A1B">
        <w:rPr>
          <w:rFonts w:ascii="Calibri" w:hAnsi="Calibri"/>
          <w:bCs/>
          <w:iCs/>
          <w:sz w:val="21"/>
          <w:szCs w:val="21"/>
        </w:rPr>
        <w:t>’</w:t>
      </w:r>
      <w:r>
        <w:rPr>
          <w:rFonts w:ascii="Calibri" w:hAnsi="Calibri"/>
          <w:bCs/>
          <w:iCs/>
          <w:sz w:val="21"/>
          <w:szCs w:val="21"/>
        </w:rPr>
        <w:t>ils apparaissent.</w:t>
      </w:r>
    </w:p>
    <w:p w14:paraId="4BE08699" w14:textId="3CB7F685" w:rsidR="004F4CE9" w:rsidRDefault="004F4CE9" w:rsidP="00EE257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 xml:space="preserve">S’assurer que les employés aient un point de repère </w:t>
      </w:r>
      <w:r w:rsidRPr="00450CCC">
        <w:rPr>
          <w:rFonts w:ascii="Calibri" w:hAnsi="Calibri"/>
          <w:iCs/>
          <w:sz w:val="21"/>
          <w:szCs w:val="21"/>
        </w:rPr>
        <w:t>(document</w:t>
      </w:r>
      <w:r w:rsidRPr="004F4CE9">
        <w:rPr>
          <w:rFonts w:ascii="Calibri" w:eastAsia="Times New Roman" w:hAnsi="Calibri" w:cs="Times New Roman"/>
          <w:iCs/>
          <w:sz w:val="21"/>
          <w:szCs w:val="21"/>
        </w:rPr>
        <w:t>,</w:t>
      </w:r>
      <w:r>
        <w:rPr>
          <w:rFonts w:ascii="Calibri" w:eastAsia="Times New Roman" w:hAnsi="Calibri" w:cs="Times New Roman"/>
          <w:bCs/>
          <w:iCs/>
          <w:sz w:val="21"/>
          <w:szCs w:val="21"/>
        </w:rPr>
        <w:t xml:space="preserve"> page intranet, guide, etc.) auquel se référer s’ils ont des questions (ex : </w:t>
      </w:r>
      <w:r w:rsidR="003E695B">
        <w:rPr>
          <w:rFonts w:ascii="Calibri" w:eastAsia="Times New Roman" w:hAnsi="Calibri" w:cs="Times New Roman"/>
          <w:bCs/>
          <w:iCs/>
          <w:sz w:val="21"/>
          <w:szCs w:val="21"/>
        </w:rPr>
        <w:t xml:space="preserve">où </w:t>
      </w:r>
      <w:r>
        <w:rPr>
          <w:rFonts w:ascii="Calibri" w:eastAsia="Times New Roman" w:hAnsi="Calibri" w:cs="Times New Roman"/>
          <w:bCs/>
          <w:iCs/>
          <w:sz w:val="21"/>
          <w:szCs w:val="21"/>
        </w:rPr>
        <w:t>se stationner, système de réservation, services disponibles dans l’édifice, mesures sanitaires en place, etc.). Il est important d’avoir ce</w:t>
      </w:r>
      <w:r w:rsidR="003E695B">
        <w:rPr>
          <w:rFonts w:ascii="Calibri" w:eastAsia="Times New Roman" w:hAnsi="Calibri" w:cs="Times New Roman"/>
          <w:bCs/>
          <w:iCs/>
          <w:sz w:val="21"/>
          <w:szCs w:val="21"/>
        </w:rPr>
        <w:t xml:space="preserve">s </w:t>
      </w:r>
      <w:r>
        <w:rPr>
          <w:rFonts w:ascii="Calibri" w:eastAsia="Times New Roman" w:hAnsi="Calibri" w:cs="Times New Roman"/>
          <w:bCs/>
          <w:iCs/>
          <w:sz w:val="21"/>
          <w:szCs w:val="21"/>
        </w:rPr>
        <w:t>information</w:t>
      </w:r>
      <w:r w:rsidR="003E695B">
        <w:rPr>
          <w:rFonts w:ascii="Calibri" w:eastAsia="Times New Roman" w:hAnsi="Calibri" w:cs="Times New Roman"/>
          <w:bCs/>
          <w:iCs/>
          <w:sz w:val="21"/>
          <w:szCs w:val="21"/>
        </w:rPr>
        <w:t>s</w:t>
      </w:r>
      <w:r>
        <w:rPr>
          <w:rFonts w:ascii="Calibri" w:eastAsia="Times New Roman" w:hAnsi="Calibri" w:cs="Times New Roman"/>
          <w:bCs/>
          <w:iCs/>
          <w:sz w:val="21"/>
          <w:szCs w:val="21"/>
        </w:rPr>
        <w:t xml:space="preserve"> disponible</w:t>
      </w:r>
      <w:r w:rsidR="003E695B">
        <w:rPr>
          <w:rFonts w:ascii="Calibri" w:eastAsia="Times New Roman" w:hAnsi="Calibri" w:cs="Times New Roman"/>
          <w:bCs/>
          <w:iCs/>
          <w:sz w:val="21"/>
          <w:szCs w:val="21"/>
        </w:rPr>
        <w:t>s</w:t>
      </w:r>
      <w:r>
        <w:rPr>
          <w:rFonts w:ascii="Calibri" w:eastAsia="Times New Roman" w:hAnsi="Calibri" w:cs="Times New Roman"/>
          <w:bCs/>
          <w:iCs/>
          <w:sz w:val="21"/>
          <w:szCs w:val="21"/>
        </w:rPr>
        <w:t xml:space="preserve"> pour les employés, par contre, </w:t>
      </w:r>
      <w:r w:rsidR="003E695B">
        <w:rPr>
          <w:rFonts w:ascii="Calibri" w:eastAsia="Times New Roman" w:hAnsi="Calibri" w:cs="Times New Roman"/>
          <w:bCs/>
          <w:iCs/>
          <w:sz w:val="21"/>
          <w:szCs w:val="21"/>
        </w:rPr>
        <w:t>elles ne devraient pas constituer le message principal des communications. L</w:t>
      </w:r>
      <w:r>
        <w:rPr>
          <w:rFonts w:ascii="Calibri" w:eastAsia="Times New Roman" w:hAnsi="Calibri" w:cs="Times New Roman"/>
          <w:bCs/>
          <w:iCs/>
          <w:sz w:val="21"/>
          <w:szCs w:val="21"/>
        </w:rPr>
        <w:t>e</w:t>
      </w:r>
      <w:r w:rsidR="003E695B">
        <w:rPr>
          <w:rFonts w:ascii="Calibri" w:eastAsia="Times New Roman" w:hAnsi="Calibri" w:cs="Times New Roman"/>
          <w:bCs/>
          <w:iCs/>
          <w:sz w:val="21"/>
          <w:szCs w:val="21"/>
        </w:rPr>
        <w:t>s</w:t>
      </w:r>
      <w:r>
        <w:rPr>
          <w:rFonts w:ascii="Calibri" w:eastAsia="Times New Roman" w:hAnsi="Calibri" w:cs="Times New Roman"/>
          <w:bCs/>
          <w:iCs/>
          <w:sz w:val="21"/>
          <w:szCs w:val="21"/>
        </w:rPr>
        <w:t xml:space="preserve"> message</w:t>
      </w:r>
      <w:r w:rsidR="003E695B">
        <w:rPr>
          <w:rFonts w:ascii="Calibri" w:eastAsia="Times New Roman" w:hAnsi="Calibri" w:cs="Times New Roman"/>
          <w:bCs/>
          <w:iCs/>
          <w:sz w:val="21"/>
          <w:szCs w:val="21"/>
        </w:rPr>
        <w:t>s</w:t>
      </w:r>
      <w:r>
        <w:rPr>
          <w:rFonts w:ascii="Calibri" w:eastAsia="Times New Roman" w:hAnsi="Calibri" w:cs="Times New Roman"/>
          <w:bCs/>
          <w:iCs/>
          <w:sz w:val="21"/>
          <w:szCs w:val="21"/>
        </w:rPr>
        <w:t xml:space="preserve"> devrai</w:t>
      </w:r>
      <w:r w:rsidR="003E695B">
        <w:rPr>
          <w:rFonts w:ascii="Calibri" w:eastAsia="Times New Roman" w:hAnsi="Calibri" w:cs="Times New Roman"/>
          <w:bCs/>
          <w:iCs/>
          <w:sz w:val="21"/>
          <w:szCs w:val="21"/>
        </w:rPr>
        <w:t>en</w:t>
      </w:r>
      <w:r>
        <w:rPr>
          <w:rFonts w:ascii="Calibri" w:eastAsia="Times New Roman" w:hAnsi="Calibri" w:cs="Times New Roman"/>
          <w:bCs/>
          <w:iCs/>
          <w:sz w:val="21"/>
          <w:szCs w:val="21"/>
        </w:rPr>
        <w:t xml:space="preserve">t </w:t>
      </w:r>
      <w:r w:rsidR="003E695B">
        <w:rPr>
          <w:rFonts w:ascii="Calibri" w:eastAsia="Times New Roman" w:hAnsi="Calibri" w:cs="Times New Roman"/>
          <w:bCs/>
          <w:iCs/>
          <w:sz w:val="21"/>
          <w:szCs w:val="21"/>
        </w:rPr>
        <w:t xml:space="preserve">plutôt </w:t>
      </w:r>
      <w:r>
        <w:rPr>
          <w:rFonts w:ascii="Calibri" w:eastAsia="Times New Roman" w:hAnsi="Calibri" w:cs="Times New Roman"/>
          <w:bCs/>
          <w:iCs/>
          <w:sz w:val="21"/>
          <w:szCs w:val="21"/>
        </w:rPr>
        <w:t>être centré</w:t>
      </w:r>
      <w:r w:rsidR="003E695B">
        <w:rPr>
          <w:rFonts w:ascii="Calibri" w:eastAsia="Times New Roman" w:hAnsi="Calibri" w:cs="Times New Roman"/>
          <w:bCs/>
          <w:iCs/>
          <w:sz w:val="21"/>
          <w:szCs w:val="21"/>
        </w:rPr>
        <w:t>s</w:t>
      </w:r>
      <w:r>
        <w:rPr>
          <w:rFonts w:ascii="Calibri" w:eastAsia="Times New Roman" w:hAnsi="Calibri" w:cs="Times New Roman"/>
          <w:bCs/>
          <w:iCs/>
          <w:sz w:val="21"/>
          <w:szCs w:val="21"/>
        </w:rPr>
        <w:t xml:space="preserve"> sur la vision </w:t>
      </w:r>
      <w:r w:rsidR="003E695B">
        <w:rPr>
          <w:rFonts w:ascii="Calibri" w:eastAsia="Times New Roman" w:hAnsi="Calibri" w:cs="Times New Roman"/>
          <w:bCs/>
          <w:iCs/>
          <w:sz w:val="21"/>
          <w:szCs w:val="21"/>
        </w:rPr>
        <w:t>et</w:t>
      </w:r>
      <w:r>
        <w:rPr>
          <w:rFonts w:ascii="Calibri" w:eastAsia="Times New Roman" w:hAnsi="Calibri" w:cs="Times New Roman"/>
          <w:bCs/>
          <w:iCs/>
          <w:sz w:val="21"/>
          <w:szCs w:val="21"/>
        </w:rPr>
        <w:t xml:space="preserve"> l’expérience employé.</w:t>
      </w:r>
    </w:p>
    <w:p w14:paraId="78792DA5" w14:textId="0BF84211" w:rsidR="00AC2448" w:rsidRPr="006B582C" w:rsidRDefault="00AC2448" w:rsidP="00EE2577">
      <w:pPr>
        <w:numPr>
          <w:ilvl w:val="0"/>
          <w:numId w:val="13"/>
        </w:numPr>
        <w:tabs>
          <w:tab w:val="num" w:pos="426"/>
        </w:tabs>
        <w:spacing w:after="0" w:line="276" w:lineRule="auto"/>
        <w:ind w:left="426" w:hanging="294"/>
        <w:jc w:val="both"/>
        <w:textAlignment w:val="center"/>
        <w:rPr>
          <w:rFonts w:ascii="Calibri" w:eastAsia="Times New Roman" w:hAnsi="Calibri" w:cs="Times New Roman"/>
          <w:bCs/>
          <w:iCs/>
          <w:sz w:val="21"/>
          <w:szCs w:val="21"/>
        </w:rPr>
      </w:pPr>
      <w:r>
        <w:rPr>
          <w:rFonts w:ascii="Calibri" w:hAnsi="Calibri"/>
          <w:b/>
          <w:bCs/>
          <w:iCs/>
          <w:sz w:val="21"/>
          <w:szCs w:val="21"/>
        </w:rPr>
        <w:t>Si le retour en milieu de travail s’effectue dans un milieu de travail qui a été modernisé, un plan de communication et formation devra être mis en place afin d’informer et éduquer les employés à comment utiliser ce nouvel espace</w:t>
      </w:r>
      <w:r w:rsidR="00CC1D76">
        <w:rPr>
          <w:rFonts w:ascii="Calibri" w:hAnsi="Calibri"/>
          <w:b/>
          <w:bCs/>
          <w:iCs/>
          <w:sz w:val="21"/>
          <w:szCs w:val="21"/>
        </w:rPr>
        <w:t xml:space="preserve"> et utiliser les outils et espaces de travail inclus</w:t>
      </w:r>
      <w:r w:rsidR="007F3FC0">
        <w:rPr>
          <w:rFonts w:ascii="Calibri" w:hAnsi="Calibri"/>
          <w:b/>
          <w:bCs/>
          <w:iCs/>
          <w:sz w:val="21"/>
          <w:szCs w:val="21"/>
        </w:rPr>
        <w:t xml:space="preserve">. </w:t>
      </w:r>
      <w:r w:rsidR="007F3FC0" w:rsidRPr="007F3FC0">
        <w:rPr>
          <w:sz w:val="21"/>
          <w:szCs w:val="21"/>
        </w:rPr>
        <w:t xml:space="preserve">Les étapes projets et de gestion de changement sont disponibles sous forme de tableau de bord dans le document suivant : </w:t>
      </w:r>
      <w:hyperlink r:id="rId11" w:history="1">
        <w:r w:rsidR="007F3FC0" w:rsidRPr="007F3FC0">
          <w:rPr>
            <w:rStyle w:val="Hyperlink"/>
            <w:sz w:val="21"/>
            <w:szCs w:val="21"/>
          </w:rPr>
          <w:t>Plan intégré de GP-GC</w:t>
        </w:r>
      </w:hyperlink>
      <w:r w:rsidR="007F3FC0" w:rsidRPr="007F3FC0">
        <w:rPr>
          <w:sz w:val="21"/>
          <w:szCs w:val="21"/>
        </w:rPr>
        <w:t>.</w:t>
      </w:r>
    </w:p>
    <w:p w14:paraId="3854D532" w14:textId="2983ADEA" w:rsidR="00557307" w:rsidRDefault="00557307" w:rsidP="00450CCC">
      <w:pPr>
        <w:spacing w:after="0" w:line="276" w:lineRule="auto"/>
        <w:jc w:val="both"/>
        <w:textAlignment w:val="center"/>
        <w:rPr>
          <w:rFonts w:ascii="Calibri" w:eastAsia="Times New Roman" w:hAnsi="Calibri" w:cs="Times New Roman"/>
          <w:bCs/>
          <w:iCs/>
          <w:color w:val="1C465C"/>
          <w:sz w:val="21"/>
          <w:szCs w:val="21"/>
          <w:lang w:eastAsia="en-CA"/>
        </w:rPr>
      </w:pPr>
    </w:p>
    <w:p w14:paraId="009D3A3C" w14:textId="2ACFBD95" w:rsidR="00557307" w:rsidRPr="00557307" w:rsidRDefault="00557307" w:rsidP="001772B7">
      <w:pPr>
        <w:spacing w:after="0" w:line="240" w:lineRule="auto"/>
        <w:textAlignment w:val="center"/>
        <w:rPr>
          <w:b/>
          <w:color w:val="4CB6A0" w:themeColor="accent2"/>
          <w:sz w:val="28"/>
        </w:rPr>
      </w:pPr>
      <w:r>
        <w:rPr>
          <w:b/>
          <w:color w:val="4CB6A0" w:themeColor="accent2"/>
          <w:sz w:val="28"/>
        </w:rPr>
        <w:t>P</w:t>
      </w:r>
      <w:r w:rsidRPr="00557307">
        <w:rPr>
          <w:b/>
          <w:color w:val="4CB6A0" w:themeColor="accent2"/>
          <w:sz w:val="28"/>
        </w:rPr>
        <w:t xml:space="preserve">roposition de liste d’activités et d’objectifs </w:t>
      </w:r>
    </w:p>
    <w:p w14:paraId="3E672E1E" w14:textId="0DB5941B" w:rsidR="001772B7" w:rsidRPr="006B582C" w:rsidRDefault="001772B7" w:rsidP="001772B7">
      <w:pPr>
        <w:spacing w:after="0" w:line="240" w:lineRule="auto"/>
        <w:textAlignment w:val="center"/>
        <w:rPr>
          <w:rFonts w:eastAsia="Times New Roman" w:cstheme="minorHAnsi"/>
          <w:b/>
          <w:i/>
        </w:rPr>
      </w:pPr>
      <w:r>
        <w:rPr>
          <w:b/>
          <w:i/>
        </w:rPr>
        <w:t xml:space="preserve">Remarque : Toutes les activités suivantes devraient être communiquées par le champion </w:t>
      </w:r>
      <w:r w:rsidR="0045007F">
        <w:rPr>
          <w:b/>
          <w:i/>
        </w:rPr>
        <w:t>e</w:t>
      </w:r>
      <w:r w:rsidR="003A4238">
        <w:rPr>
          <w:b/>
          <w:i/>
        </w:rPr>
        <w:t>t</w:t>
      </w:r>
      <w:r w:rsidR="0045007F">
        <w:rPr>
          <w:b/>
          <w:i/>
        </w:rPr>
        <w:t>/</w:t>
      </w:r>
      <w:r>
        <w:rPr>
          <w:b/>
          <w:i/>
        </w:rPr>
        <w:t xml:space="preserve">ou le </w:t>
      </w:r>
      <w:r w:rsidR="005204BA">
        <w:rPr>
          <w:b/>
          <w:i/>
        </w:rPr>
        <w:t>parrain</w:t>
      </w:r>
      <w:r w:rsidR="00FF553C">
        <w:rPr>
          <w:b/>
          <w:i/>
        </w:rPr>
        <w:t xml:space="preserve"> </w:t>
      </w:r>
      <w:r w:rsidR="0045007F">
        <w:rPr>
          <w:b/>
          <w:i/>
        </w:rPr>
        <w:t xml:space="preserve">de l’initiative </w:t>
      </w:r>
      <w:r>
        <w:rPr>
          <w:b/>
          <w:i/>
        </w:rPr>
        <w:t xml:space="preserve">du </w:t>
      </w:r>
      <w:r w:rsidR="00557307">
        <w:rPr>
          <w:b/>
          <w:i/>
        </w:rPr>
        <w:t>retour.</w:t>
      </w:r>
      <w:r>
        <w:rPr>
          <w:b/>
          <w:i/>
        </w:rPr>
        <w:t xml:space="preserve"> </w:t>
      </w:r>
    </w:p>
    <w:tbl>
      <w:tblPr>
        <w:tblStyle w:val="TableGrid"/>
        <w:tblW w:w="5000" w:type="pct"/>
        <w:tblLook w:val="04A0" w:firstRow="1" w:lastRow="0" w:firstColumn="1" w:lastColumn="0" w:noHBand="0" w:noVBand="1"/>
        <w:tblDescription w:val="Tableau activités et objectifs"/>
      </w:tblPr>
      <w:tblGrid>
        <w:gridCol w:w="5432"/>
        <w:gridCol w:w="5778"/>
      </w:tblGrid>
      <w:tr w:rsidR="001772B7" w:rsidRPr="006B582C" w14:paraId="4670A97E" w14:textId="77777777" w:rsidTr="00A239B2">
        <w:trPr>
          <w:tblHeader/>
        </w:trPr>
        <w:tc>
          <w:tcPr>
            <w:tcW w:w="2423" w:type="pct"/>
            <w:shd w:val="clear" w:color="auto" w:fill="E7E6E6" w:themeFill="background2"/>
          </w:tcPr>
          <w:p w14:paraId="1760FC15" w14:textId="2EEC602A" w:rsidR="001772B7" w:rsidRPr="006B582C" w:rsidRDefault="001772B7" w:rsidP="0058192A">
            <w:pPr>
              <w:rPr>
                <w:rFonts w:eastAsia="Times New Roman" w:cstheme="minorHAnsi"/>
                <w:b/>
                <w:sz w:val="19"/>
                <w:szCs w:val="19"/>
              </w:rPr>
            </w:pPr>
            <w:r>
              <w:rPr>
                <w:b/>
                <w:sz w:val="19"/>
                <w:szCs w:val="19"/>
              </w:rPr>
              <w:t>Activité</w:t>
            </w:r>
          </w:p>
        </w:tc>
        <w:tc>
          <w:tcPr>
            <w:tcW w:w="2577" w:type="pct"/>
            <w:shd w:val="clear" w:color="auto" w:fill="E7E6E6" w:themeFill="background2"/>
          </w:tcPr>
          <w:p w14:paraId="7EB37A88" w14:textId="78C8DE0B" w:rsidR="001772B7" w:rsidRPr="006B582C" w:rsidRDefault="001772B7" w:rsidP="0058192A">
            <w:pPr>
              <w:rPr>
                <w:rFonts w:eastAsia="Times New Roman" w:cstheme="minorHAnsi"/>
                <w:b/>
                <w:sz w:val="19"/>
                <w:szCs w:val="19"/>
              </w:rPr>
            </w:pPr>
            <w:r>
              <w:rPr>
                <w:b/>
                <w:sz w:val="19"/>
                <w:szCs w:val="19"/>
              </w:rPr>
              <w:t>Objectif(s)</w:t>
            </w:r>
          </w:p>
        </w:tc>
      </w:tr>
      <w:tr w:rsidR="001772B7" w:rsidRPr="006B582C" w14:paraId="5F08526C" w14:textId="77777777" w:rsidTr="0058192A">
        <w:tc>
          <w:tcPr>
            <w:tcW w:w="2423" w:type="pct"/>
          </w:tcPr>
          <w:p w14:paraId="6B232ACD" w14:textId="537A6F21" w:rsidR="001772B7" w:rsidRPr="006B582C" w:rsidRDefault="001772B7" w:rsidP="0058192A">
            <w:pPr>
              <w:rPr>
                <w:rFonts w:eastAsia="Times New Roman" w:cstheme="minorHAnsi"/>
                <w:sz w:val="19"/>
                <w:szCs w:val="19"/>
              </w:rPr>
            </w:pPr>
            <w:r>
              <w:rPr>
                <w:sz w:val="19"/>
                <w:szCs w:val="19"/>
              </w:rPr>
              <w:t>Définir la vision et les principes directeurs du</w:t>
            </w:r>
            <w:r w:rsidR="009A25FD">
              <w:rPr>
                <w:sz w:val="19"/>
                <w:szCs w:val="19"/>
              </w:rPr>
              <w:t xml:space="preserve"> retour </w:t>
            </w:r>
            <w:r w:rsidR="004A63AF">
              <w:rPr>
                <w:sz w:val="19"/>
                <w:szCs w:val="19"/>
              </w:rPr>
              <w:t>en</w:t>
            </w:r>
            <w:r>
              <w:rPr>
                <w:sz w:val="19"/>
                <w:szCs w:val="19"/>
              </w:rPr>
              <w:t xml:space="preserve"> milieu de travail</w:t>
            </w:r>
          </w:p>
        </w:tc>
        <w:tc>
          <w:tcPr>
            <w:tcW w:w="2577" w:type="pct"/>
          </w:tcPr>
          <w:p w14:paraId="24E65A62" w14:textId="6420ED86" w:rsidR="007041A1" w:rsidRPr="006B582C" w:rsidRDefault="007041A1" w:rsidP="003A1B36">
            <w:pPr>
              <w:pStyle w:val="ListParagraph"/>
              <w:numPr>
                <w:ilvl w:val="0"/>
                <w:numId w:val="16"/>
              </w:numPr>
              <w:tabs>
                <w:tab w:val="clear" w:pos="720"/>
              </w:tabs>
              <w:ind w:left="318" w:hanging="261"/>
              <w:rPr>
                <w:rFonts w:eastAsia="Times New Roman" w:cstheme="minorHAnsi"/>
                <w:sz w:val="19"/>
                <w:szCs w:val="19"/>
              </w:rPr>
            </w:pPr>
            <w:r>
              <w:rPr>
                <w:sz w:val="19"/>
                <w:szCs w:val="19"/>
              </w:rPr>
              <w:t xml:space="preserve">Mieux </w:t>
            </w:r>
            <w:r w:rsidR="00FF553C">
              <w:rPr>
                <w:sz w:val="19"/>
                <w:szCs w:val="19"/>
              </w:rPr>
              <w:t xml:space="preserve">orienter </w:t>
            </w:r>
            <w:r>
              <w:rPr>
                <w:sz w:val="19"/>
                <w:szCs w:val="19"/>
              </w:rPr>
              <w:t>l</w:t>
            </w:r>
            <w:r w:rsidR="007D43F6">
              <w:rPr>
                <w:sz w:val="19"/>
                <w:szCs w:val="19"/>
              </w:rPr>
              <w:t>a vision du retour au travail</w:t>
            </w:r>
          </w:p>
          <w:p w14:paraId="3F2DE71E" w14:textId="59CB6C68" w:rsidR="007041A1" w:rsidRPr="007D43F6" w:rsidRDefault="007041A1" w:rsidP="007D43F6">
            <w:pPr>
              <w:pStyle w:val="ListParagraph"/>
              <w:numPr>
                <w:ilvl w:val="0"/>
                <w:numId w:val="16"/>
              </w:numPr>
              <w:tabs>
                <w:tab w:val="clear" w:pos="720"/>
              </w:tabs>
              <w:ind w:left="318" w:hanging="261"/>
              <w:rPr>
                <w:rFonts w:eastAsia="Times New Roman" w:cstheme="minorHAnsi"/>
                <w:sz w:val="19"/>
                <w:szCs w:val="19"/>
              </w:rPr>
            </w:pPr>
            <w:r>
              <w:rPr>
                <w:sz w:val="19"/>
                <w:szCs w:val="19"/>
              </w:rPr>
              <w:t xml:space="preserve">Établir </w:t>
            </w:r>
            <w:r w:rsidR="007D43F6">
              <w:rPr>
                <w:sz w:val="19"/>
                <w:szCs w:val="19"/>
              </w:rPr>
              <w:t>des lignes directrices pour les employés</w:t>
            </w:r>
          </w:p>
        </w:tc>
      </w:tr>
      <w:tr w:rsidR="001772B7" w:rsidRPr="006B582C" w14:paraId="2A998B53" w14:textId="77777777" w:rsidTr="0058192A">
        <w:tc>
          <w:tcPr>
            <w:tcW w:w="2423" w:type="pct"/>
          </w:tcPr>
          <w:p w14:paraId="5D4EE1FC" w14:textId="65E49235" w:rsidR="001772B7" w:rsidRPr="006B582C" w:rsidRDefault="0045007F" w:rsidP="0058192A">
            <w:pPr>
              <w:rPr>
                <w:rFonts w:eastAsia="Times New Roman" w:cstheme="minorHAnsi"/>
                <w:sz w:val="19"/>
                <w:szCs w:val="19"/>
              </w:rPr>
            </w:pPr>
            <w:r>
              <w:rPr>
                <w:sz w:val="19"/>
                <w:szCs w:val="19"/>
              </w:rPr>
              <w:t>Assurer que l</w:t>
            </w:r>
            <w:r w:rsidR="00264A1B">
              <w:rPr>
                <w:sz w:val="19"/>
                <w:szCs w:val="19"/>
              </w:rPr>
              <w:t>’</w:t>
            </w:r>
            <w:r w:rsidR="001772B7">
              <w:rPr>
                <w:sz w:val="19"/>
                <w:szCs w:val="19"/>
              </w:rPr>
              <w:t xml:space="preserve">équipe dirigeante </w:t>
            </w:r>
            <w:r>
              <w:rPr>
                <w:sz w:val="19"/>
                <w:szCs w:val="19"/>
              </w:rPr>
              <w:t>adhère</w:t>
            </w:r>
            <w:r w:rsidR="001772B7">
              <w:rPr>
                <w:sz w:val="19"/>
                <w:szCs w:val="19"/>
              </w:rPr>
              <w:t xml:space="preserve"> à la vision du </w:t>
            </w:r>
            <w:r w:rsidR="009A25FD">
              <w:rPr>
                <w:sz w:val="19"/>
                <w:szCs w:val="19"/>
              </w:rPr>
              <w:t xml:space="preserve">retour </w:t>
            </w:r>
            <w:r w:rsidR="004A63AF">
              <w:rPr>
                <w:sz w:val="19"/>
                <w:szCs w:val="19"/>
              </w:rPr>
              <w:t>en</w:t>
            </w:r>
            <w:r w:rsidR="009A25FD">
              <w:rPr>
                <w:sz w:val="19"/>
                <w:szCs w:val="19"/>
              </w:rPr>
              <w:t xml:space="preserve"> milieu de travail</w:t>
            </w:r>
          </w:p>
        </w:tc>
        <w:tc>
          <w:tcPr>
            <w:tcW w:w="2577" w:type="pct"/>
          </w:tcPr>
          <w:p w14:paraId="364057D7" w14:textId="7C7E38DA" w:rsidR="001772B7" w:rsidRPr="006B582C" w:rsidRDefault="001772B7" w:rsidP="001772B7">
            <w:pPr>
              <w:pStyle w:val="ListParagraph"/>
              <w:numPr>
                <w:ilvl w:val="0"/>
                <w:numId w:val="16"/>
              </w:numPr>
              <w:tabs>
                <w:tab w:val="clear" w:pos="720"/>
              </w:tabs>
              <w:ind w:left="318" w:hanging="261"/>
              <w:rPr>
                <w:rFonts w:eastAsia="Times New Roman" w:cstheme="minorHAnsi"/>
                <w:sz w:val="19"/>
                <w:szCs w:val="19"/>
              </w:rPr>
            </w:pPr>
            <w:r>
              <w:rPr>
                <w:sz w:val="19"/>
                <w:szCs w:val="19"/>
              </w:rPr>
              <w:t>Obtenir l</w:t>
            </w:r>
            <w:r w:rsidR="00264A1B">
              <w:rPr>
                <w:sz w:val="19"/>
                <w:szCs w:val="19"/>
              </w:rPr>
              <w:t>’</w:t>
            </w:r>
            <w:r>
              <w:rPr>
                <w:sz w:val="19"/>
                <w:szCs w:val="19"/>
              </w:rPr>
              <w:t>adhésion des dirigeants et leur expliquer ce que l</w:t>
            </w:r>
            <w:r w:rsidR="00264A1B">
              <w:rPr>
                <w:sz w:val="19"/>
                <w:szCs w:val="19"/>
              </w:rPr>
              <w:t>’</w:t>
            </w:r>
            <w:r>
              <w:rPr>
                <w:sz w:val="19"/>
                <w:szCs w:val="19"/>
              </w:rPr>
              <w:t>on attend d</w:t>
            </w:r>
            <w:r w:rsidR="00264A1B">
              <w:rPr>
                <w:sz w:val="19"/>
                <w:szCs w:val="19"/>
              </w:rPr>
              <w:t>’</w:t>
            </w:r>
            <w:r>
              <w:rPr>
                <w:sz w:val="19"/>
                <w:szCs w:val="19"/>
              </w:rPr>
              <w:t>eux</w:t>
            </w:r>
          </w:p>
          <w:p w14:paraId="5D769E08" w14:textId="77777777" w:rsidR="001772B7" w:rsidRPr="006B582C" w:rsidRDefault="001772B7" w:rsidP="001772B7">
            <w:pPr>
              <w:pStyle w:val="ListParagraph"/>
              <w:numPr>
                <w:ilvl w:val="0"/>
                <w:numId w:val="16"/>
              </w:numPr>
              <w:tabs>
                <w:tab w:val="clear" w:pos="720"/>
              </w:tabs>
              <w:ind w:left="318" w:hanging="261"/>
              <w:rPr>
                <w:rFonts w:eastAsia="Times New Roman" w:cstheme="minorHAnsi"/>
                <w:sz w:val="19"/>
                <w:szCs w:val="19"/>
              </w:rPr>
            </w:pPr>
            <w:r>
              <w:rPr>
                <w:sz w:val="19"/>
                <w:szCs w:val="19"/>
              </w:rPr>
              <w:t>Fournir les messages clés</w:t>
            </w:r>
          </w:p>
        </w:tc>
      </w:tr>
      <w:tr w:rsidR="001772B7" w:rsidRPr="006B582C" w14:paraId="4E0573D6" w14:textId="77777777" w:rsidTr="0058192A">
        <w:tc>
          <w:tcPr>
            <w:tcW w:w="2423" w:type="pct"/>
          </w:tcPr>
          <w:p w14:paraId="5F82B0A3" w14:textId="02DF13E5" w:rsidR="001772B7" w:rsidRPr="006B582C" w:rsidRDefault="001772B7" w:rsidP="0058192A">
            <w:pPr>
              <w:rPr>
                <w:rFonts w:eastAsia="Times New Roman" w:cstheme="minorHAnsi"/>
                <w:sz w:val="19"/>
                <w:szCs w:val="19"/>
              </w:rPr>
            </w:pPr>
            <w:r>
              <w:rPr>
                <w:sz w:val="19"/>
                <w:szCs w:val="19"/>
              </w:rPr>
              <w:t>Informer l</w:t>
            </w:r>
            <w:r w:rsidR="00264A1B">
              <w:rPr>
                <w:sz w:val="19"/>
                <w:szCs w:val="19"/>
              </w:rPr>
              <w:t>’</w:t>
            </w:r>
            <w:r>
              <w:rPr>
                <w:sz w:val="19"/>
                <w:szCs w:val="19"/>
              </w:rPr>
              <w:t>équipe dirigeante de l</w:t>
            </w:r>
            <w:r w:rsidR="00264A1B">
              <w:rPr>
                <w:sz w:val="19"/>
                <w:szCs w:val="19"/>
              </w:rPr>
              <w:t>’</w:t>
            </w:r>
            <w:r>
              <w:rPr>
                <w:sz w:val="19"/>
                <w:szCs w:val="19"/>
              </w:rPr>
              <w:t xml:space="preserve">annonce du </w:t>
            </w:r>
            <w:r w:rsidR="004A63AF">
              <w:rPr>
                <w:sz w:val="19"/>
                <w:szCs w:val="19"/>
              </w:rPr>
              <w:t>retour en milieu de travail à venir</w:t>
            </w:r>
          </w:p>
        </w:tc>
        <w:tc>
          <w:tcPr>
            <w:tcW w:w="2577" w:type="pct"/>
          </w:tcPr>
          <w:p w14:paraId="33BF53FA" w14:textId="101B702B" w:rsidR="001772B7" w:rsidRPr="00D56019" w:rsidRDefault="00EA3B83" w:rsidP="00FF553C">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Préparer l</w:t>
            </w:r>
            <w:r w:rsidR="00264A1B" w:rsidRPr="00D56019">
              <w:rPr>
                <w:sz w:val="19"/>
                <w:szCs w:val="19"/>
              </w:rPr>
              <w:t>’</w:t>
            </w:r>
            <w:r w:rsidRPr="00D56019">
              <w:rPr>
                <w:sz w:val="19"/>
                <w:szCs w:val="19"/>
              </w:rPr>
              <w:t xml:space="preserve">équipe dirigeante aux prochaines étapes, aux jalons à venir, aux </w:t>
            </w:r>
            <w:r w:rsidR="007D43F6">
              <w:rPr>
                <w:sz w:val="19"/>
                <w:szCs w:val="19"/>
              </w:rPr>
              <w:t>communications</w:t>
            </w:r>
            <w:r w:rsidR="005D2FBA" w:rsidRPr="00D56019">
              <w:rPr>
                <w:sz w:val="19"/>
                <w:szCs w:val="19"/>
              </w:rPr>
              <w:t xml:space="preserve"> </w:t>
            </w:r>
            <w:r w:rsidRPr="00D56019">
              <w:rPr>
                <w:sz w:val="19"/>
                <w:szCs w:val="19"/>
              </w:rPr>
              <w:t>à venir et au rôle qu</w:t>
            </w:r>
            <w:r w:rsidR="00264A1B" w:rsidRPr="00D56019">
              <w:rPr>
                <w:sz w:val="19"/>
                <w:szCs w:val="19"/>
              </w:rPr>
              <w:t>’</w:t>
            </w:r>
            <w:r w:rsidRPr="00D56019">
              <w:rPr>
                <w:sz w:val="19"/>
                <w:szCs w:val="19"/>
              </w:rPr>
              <w:t>elle devra jouer</w:t>
            </w:r>
          </w:p>
        </w:tc>
      </w:tr>
      <w:tr w:rsidR="001772B7" w:rsidRPr="006B582C" w14:paraId="558516DA" w14:textId="77777777" w:rsidTr="0058192A">
        <w:tc>
          <w:tcPr>
            <w:tcW w:w="2423" w:type="pct"/>
          </w:tcPr>
          <w:p w14:paraId="4239C6AA" w14:textId="7FAC0D0A" w:rsidR="001772B7" w:rsidRPr="006B582C" w:rsidRDefault="001772B7" w:rsidP="0058192A">
            <w:pPr>
              <w:rPr>
                <w:rFonts w:eastAsia="Times New Roman" w:cstheme="minorHAnsi"/>
                <w:sz w:val="19"/>
                <w:szCs w:val="19"/>
              </w:rPr>
            </w:pPr>
            <w:r>
              <w:rPr>
                <w:sz w:val="19"/>
                <w:szCs w:val="19"/>
              </w:rPr>
              <w:t>Informer les cadres intermédiaires de l</w:t>
            </w:r>
            <w:r w:rsidR="00264A1B">
              <w:rPr>
                <w:sz w:val="19"/>
                <w:szCs w:val="19"/>
              </w:rPr>
              <w:t>’</w:t>
            </w:r>
            <w:r>
              <w:rPr>
                <w:sz w:val="19"/>
                <w:szCs w:val="19"/>
              </w:rPr>
              <w:t xml:space="preserve">annonce </w:t>
            </w:r>
            <w:r w:rsidR="004A63AF">
              <w:rPr>
                <w:sz w:val="19"/>
                <w:szCs w:val="19"/>
              </w:rPr>
              <w:t xml:space="preserve">du retour en milieu de travail </w:t>
            </w:r>
            <w:r>
              <w:rPr>
                <w:sz w:val="19"/>
                <w:szCs w:val="19"/>
              </w:rPr>
              <w:t>à venir</w:t>
            </w:r>
          </w:p>
        </w:tc>
        <w:tc>
          <w:tcPr>
            <w:tcW w:w="2577" w:type="pct"/>
          </w:tcPr>
          <w:p w14:paraId="3D872D24" w14:textId="429B82EC" w:rsidR="001772B7" w:rsidRPr="00D56019" w:rsidRDefault="00EA3B83" w:rsidP="001772B7">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 xml:space="preserve">Préparer les cadres intermédiaires aux prochaines étapes, aux jalons à venir, aux </w:t>
            </w:r>
            <w:r w:rsidR="007D43F6">
              <w:rPr>
                <w:sz w:val="19"/>
                <w:szCs w:val="19"/>
              </w:rPr>
              <w:t>communications</w:t>
            </w:r>
            <w:r w:rsidR="005D2FBA" w:rsidRPr="00D56019">
              <w:rPr>
                <w:sz w:val="19"/>
                <w:szCs w:val="19"/>
              </w:rPr>
              <w:t xml:space="preserve"> </w:t>
            </w:r>
            <w:r w:rsidRPr="00D56019">
              <w:rPr>
                <w:sz w:val="19"/>
                <w:szCs w:val="19"/>
              </w:rPr>
              <w:t>à venir et leur expliquer ce que l</w:t>
            </w:r>
            <w:r w:rsidR="00264A1B" w:rsidRPr="00D56019">
              <w:rPr>
                <w:sz w:val="19"/>
                <w:szCs w:val="19"/>
              </w:rPr>
              <w:t>’</w:t>
            </w:r>
            <w:r w:rsidRPr="00D56019">
              <w:rPr>
                <w:sz w:val="19"/>
                <w:szCs w:val="19"/>
              </w:rPr>
              <w:t>on attend d</w:t>
            </w:r>
            <w:r w:rsidR="00264A1B" w:rsidRPr="00D56019">
              <w:rPr>
                <w:sz w:val="19"/>
                <w:szCs w:val="19"/>
              </w:rPr>
              <w:t>’</w:t>
            </w:r>
            <w:r w:rsidRPr="00D56019">
              <w:rPr>
                <w:sz w:val="19"/>
                <w:szCs w:val="19"/>
              </w:rPr>
              <w:t>eux</w:t>
            </w:r>
          </w:p>
          <w:p w14:paraId="05DB9F90" w14:textId="77777777" w:rsidR="001772B7" w:rsidRPr="00D56019" w:rsidRDefault="001772B7" w:rsidP="001772B7">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Fournir les messages clés</w:t>
            </w:r>
          </w:p>
        </w:tc>
      </w:tr>
      <w:tr w:rsidR="001772B7" w:rsidRPr="006B582C" w14:paraId="52B695C3" w14:textId="77777777" w:rsidTr="0058192A">
        <w:tc>
          <w:tcPr>
            <w:tcW w:w="2423" w:type="pct"/>
          </w:tcPr>
          <w:p w14:paraId="6DCA843B" w14:textId="77777777" w:rsidR="001772B7" w:rsidRPr="006B582C" w:rsidRDefault="001772B7" w:rsidP="0058192A">
            <w:pPr>
              <w:rPr>
                <w:rFonts w:eastAsia="Times New Roman" w:cstheme="minorHAnsi"/>
                <w:sz w:val="19"/>
                <w:szCs w:val="19"/>
              </w:rPr>
            </w:pPr>
            <w:r>
              <w:rPr>
                <w:sz w:val="19"/>
                <w:szCs w:val="19"/>
              </w:rPr>
              <w:t>Envoyer la première communication à tous les employés</w:t>
            </w:r>
          </w:p>
        </w:tc>
        <w:tc>
          <w:tcPr>
            <w:tcW w:w="2577" w:type="pct"/>
          </w:tcPr>
          <w:p w14:paraId="0D3FBFE0" w14:textId="39897132" w:rsidR="001772B7" w:rsidRPr="00D56019" w:rsidRDefault="009A25FD" w:rsidP="001772B7">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Susciter l’intérêt</w:t>
            </w:r>
            <w:r w:rsidR="00EA3B83" w:rsidRPr="00D56019">
              <w:rPr>
                <w:sz w:val="19"/>
                <w:szCs w:val="19"/>
              </w:rPr>
              <w:t xml:space="preserve"> quant au contexte, à la vision, etc. </w:t>
            </w:r>
            <w:r w:rsidRPr="00D56019">
              <w:rPr>
                <w:sz w:val="19"/>
                <w:szCs w:val="19"/>
              </w:rPr>
              <w:t>du retour</w:t>
            </w:r>
          </w:p>
          <w:p w14:paraId="61B0B257" w14:textId="3C5DFD60" w:rsidR="001772B7" w:rsidRPr="00D56019" w:rsidRDefault="00EA3B83" w:rsidP="005D2FBA">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Informer les employés au sujet des prochaines étapes, des jalons à venir</w:t>
            </w:r>
            <w:r w:rsidR="007D43F6">
              <w:rPr>
                <w:sz w:val="19"/>
                <w:szCs w:val="19"/>
              </w:rPr>
              <w:t xml:space="preserve"> et</w:t>
            </w:r>
            <w:r w:rsidRPr="00D56019">
              <w:rPr>
                <w:sz w:val="19"/>
                <w:szCs w:val="19"/>
              </w:rPr>
              <w:t xml:space="preserve"> de ce que l</w:t>
            </w:r>
            <w:r w:rsidR="00264A1B" w:rsidRPr="00D56019">
              <w:rPr>
                <w:sz w:val="19"/>
                <w:szCs w:val="19"/>
              </w:rPr>
              <w:t>’</w:t>
            </w:r>
            <w:r w:rsidRPr="00D56019">
              <w:rPr>
                <w:sz w:val="19"/>
                <w:szCs w:val="19"/>
              </w:rPr>
              <w:t>on attend d</w:t>
            </w:r>
            <w:r w:rsidR="00264A1B" w:rsidRPr="00D56019">
              <w:rPr>
                <w:sz w:val="19"/>
                <w:szCs w:val="19"/>
              </w:rPr>
              <w:t>’</w:t>
            </w:r>
            <w:r w:rsidRPr="00D56019">
              <w:rPr>
                <w:sz w:val="19"/>
                <w:szCs w:val="19"/>
              </w:rPr>
              <w:t>eux</w:t>
            </w:r>
          </w:p>
        </w:tc>
      </w:tr>
      <w:tr w:rsidR="001772B7" w:rsidRPr="006B582C" w14:paraId="0BB9ECD4" w14:textId="77777777" w:rsidTr="0058192A">
        <w:tc>
          <w:tcPr>
            <w:tcW w:w="2423" w:type="pct"/>
          </w:tcPr>
          <w:p w14:paraId="419C31BB" w14:textId="14512288" w:rsidR="001772B7" w:rsidRPr="006B582C" w:rsidRDefault="001772B7" w:rsidP="0058192A">
            <w:pPr>
              <w:rPr>
                <w:rFonts w:eastAsia="Times New Roman" w:cstheme="minorHAnsi"/>
                <w:sz w:val="19"/>
                <w:szCs w:val="19"/>
              </w:rPr>
            </w:pPr>
            <w:r>
              <w:rPr>
                <w:sz w:val="19"/>
                <w:szCs w:val="19"/>
              </w:rPr>
              <w:t>Organiser une réunion générale avec tous les employés</w:t>
            </w:r>
          </w:p>
          <w:p w14:paraId="202CAF3F" w14:textId="77777777" w:rsidR="001772B7" w:rsidRPr="006B582C" w:rsidRDefault="001772B7" w:rsidP="0058192A">
            <w:pPr>
              <w:rPr>
                <w:rFonts w:eastAsia="Times New Roman" w:cstheme="minorHAnsi"/>
                <w:sz w:val="19"/>
                <w:szCs w:val="19"/>
                <w:lang w:eastAsia="en-CA"/>
              </w:rPr>
            </w:pPr>
          </w:p>
        </w:tc>
        <w:tc>
          <w:tcPr>
            <w:tcW w:w="2577" w:type="pct"/>
          </w:tcPr>
          <w:p w14:paraId="6D4BD555" w14:textId="7CCE2689" w:rsidR="001772B7" w:rsidRPr="00D56019" w:rsidRDefault="009A25FD" w:rsidP="001772B7">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Susciter l’intérêt</w:t>
            </w:r>
            <w:r w:rsidR="00EA3B83" w:rsidRPr="00D56019">
              <w:rPr>
                <w:sz w:val="19"/>
                <w:szCs w:val="19"/>
              </w:rPr>
              <w:t xml:space="preserve"> quant au contexte, à la vision, etc. du </w:t>
            </w:r>
            <w:r w:rsidRPr="00D56019">
              <w:rPr>
                <w:sz w:val="19"/>
                <w:szCs w:val="19"/>
              </w:rPr>
              <w:t>retour</w:t>
            </w:r>
          </w:p>
          <w:p w14:paraId="3B6B4261" w14:textId="675D650C" w:rsidR="0045007F" w:rsidRPr="00450CCC" w:rsidRDefault="007041A1" w:rsidP="0045007F">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Informer les employés au sujet des prochaines étapes, des jalons à venir</w:t>
            </w:r>
            <w:r w:rsidR="007D43F6">
              <w:rPr>
                <w:sz w:val="19"/>
                <w:szCs w:val="19"/>
              </w:rPr>
              <w:t xml:space="preserve"> </w:t>
            </w:r>
            <w:r w:rsidRPr="00D56019">
              <w:rPr>
                <w:sz w:val="19"/>
                <w:szCs w:val="19"/>
              </w:rPr>
              <w:t>et de ce que l</w:t>
            </w:r>
            <w:r w:rsidR="00264A1B" w:rsidRPr="00D56019">
              <w:rPr>
                <w:sz w:val="19"/>
                <w:szCs w:val="19"/>
              </w:rPr>
              <w:t>’</w:t>
            </w:r>
            <w:r w:rsidRPr="00D56019">
              <w:rPr>
                <w:sz w:val="19"/>
                <w:szCs w:val="19"/>
              </w:rPr>
              <w:t>on attend d</w:t>
            </w:r>
            <w:r w:rsidR="00264A1B" w:rsidRPr="00D56019">
              <w:rPr>
                <w:sz w:val="19"/>
                <w:szCs w:val="19"/>
              </w:rPr>
              <w:t>’</w:t>
            </w:r>
            <w:r w:rsidRPr="00D56019">
              <w:rPr>
                <w:sz w:val="19"/>
                <w:szCs w:val="19"/>
              </w:rPr>
              <w:t>eux</w:t>
            </w:r>
          </w:p>
          <w:p w14:paraId="100879D6" w14:textId="1661EA0D" w:rsidR="0045007F" w:rsidRPr="00537674" w:rsidRDefault="0045007F" w:rsidP="0045007F">
            <w:pPr>
              <w:pStyle w:val="ListParagraph"/>
              <w:numPr>
                <w:ilvl w:val="0"/>
                <w:numId w:val="16"/>
              </w:numPr>
              <w:tabs>
                <w:tab w:val="clear" w:pos="720"/>
              </w:tabs>
              <w:ind w:left="318" w:hanging="261"/>
              <w:rPr>
                <w:rFonts w:eastAsia="Times New Roman" w:cstheme="minorHAnsi"/>
                <w:sz w:val="19"/>
                <w:szCs w:val="19"/>
              </w:rPr>
            </w:pPr>
            <w:r w:rsidRPr="00537674">
              <w:rPr>
                <w:sz w:val="19"/>
                <w:szCs w:val="19"/>
              </w:rPr>
              <w:t xml:space="preserve">Informer les employés sur la manière dont ils </w:t>
            </w:r>
            <w:r w:rsidR="007D43F6">
              <w:rPr>
                <w:sz w:val="19"/>
                <w:szCs w:val="19"/>
              </w:rPr>
              <w:t>seront incités ou non à revenir dans le milieu de travail</w:t>
            </w:r>
            <w:r w:rsidRPr="00537674">
              <w:rPr>
                <w:sz w:val="19"/>
                <w:szCs w:val="19"/>
              </w:rPr>
              <w:t xml:space="preserve"> </w:t>
            </w:r>
          </w:p>
          <w:p w14:paraId="5BE8C427" w14:textId="6F36D4F4" w:rsidR="001772B7" w:rsidRPr="00D56019" w:rsidRDefault="0045007F" w:rsidP="0045007F">
            <w:pPr>
              <w:pStyle w:val="ListParagraph"/>
              <w:numPr>
                <w:ilvl w:val="0"/>
                <w:numId w:val="16"/>
              </w:numPr>
              <w:tabs>
                <w:tab w:val="clear" w:pos="720"/>
              </w:tabs>
              <w:ind w:left="318" w:hanging="261"/>
              <w:rPr>
                <w:rFonts w:eastAsia="Times New Roman" w:cstheme="minorHAnsi"/>
                <w:sz w:val="19"/>
                <w:szCs w:val="19"/>
              </w:rPr>
            </w:pPr>
            <w:r w:rsidRPr="00537674">
              <w:rPr>
                <w:sz w:val="19"/>
                <w:szCs w:val="19"/>
              </w:rPr>
              <w:t xml:space="preserve">Informer les employés sur la manière dont ils seront soutenus et sensibilisés </w:t>
            </w:r>
            <w:r w:rsidR="007D43F6">
              <w:rPr>
                <w:sz w:val="19"/>
                <w:szCs w:val="19"/>
              </w:rPr>
              <w:t>tout au long du processus de retour en milieu</w:t>
            </w:r>
            <w:r w:rsidRPr="00537674">
              <w:rPr>
                <w:sz w:val="19"/>
                <w:szCs w:val="19"/>
              </w:rPr>
              <w:t xml:space="preserve"> de travail </w:t>
            </w:r>
          </w:p>
        </w:tc>
      </w:tr>
      <w:tr w:rsidR="001772B7" w:rsidRPr="006B582C" w14:paraId="51152557" w14:textId="77777777" w:rsidTr="0058192A">
        <w:tc>
          <w:tcPr>
            <w:tcW w:w="2423" w:type="pct"/>
          </w:tcPr>
          <w:p w14:paraId="76BF40A0" w14:textId="09B28B11" w:rsidR="001772B7" w:rsidRPr="00537674" w:rsidRDefault="001772B7" w:rsidP="0058192A">
            <w:pPr>
              <w:rPr>
                <w:rFonts w:eastAsia="Times New Roman" w:cstheme="minorHAnsi"/>
                <w:sz w:val="19"/>
                <w:szCs w:val="19"/>
              </w:rPr>
            </w:pPr>
            <w:r w:rsidRPr="00537674">
              <w:rPr>
                <w:sz w:val="19"/>
                <w:szCs w:val="19"/>
              </w:rPr>
              <w:t xml:space="preserve">Lancer </w:t>
            </w:r>
            <w:r w:rsidR="00537674" w:rsidRPr="00537674">
              <w:rPr>
                <w:sz w:val="19"/>
                <w:szCs w:val="19"/>
              </w:rPr>
              <w:t xml:space="preserve">un sondage </w:t>
            </w:r>
            <w:r w:rsidR="00AC2448">
              <w:rPr>
                <w:sz w:val="19"/>
                <w:szCs w:val="19"/>
              </w:rPr>
              <w:t>ou des groupe</w:t>
            </w:r>
            <w:r w:rsidR="00463E73">
              <w:rPr>
                <w:sz w:val="19"/>
                <w:szCs w:val="19"/>
              </w:rPr>
              <w:t>s</w:t>
            </w:r>
            <w:r w:rsidR="00AC2448">
              <w:rPr>
                <w:sz w:val="19"/>
                <w:szCs w:val="19"/>
              </w:rPr>
              <w:t xml:space="preserve"> de discussion</w:t>
            </w:r>
            <w:r w:rsidR="009349E0">
              <w:rPr>
                <w:sz w:val="19"/>
                <w:szCs w:val="19"/>
              </w:rPr>
              <w:t xml:space="preserve"> (en temps réel ou de façon asynchrone)</w:t>
            </w:r>
            <w:r w:rsidR="00AC2448">
              <w:rPr>
                <w:sz w:val="19"/>
                <w:szCs w:val="19"/>
              </w:rPr>
              <w:t xml:space="preserve"> </w:t>
            </w:r>
            <w:r w:rsidR="00537674" w:rsidRPr="00537674">
              <w:rPr>
                <w:sz w:val="19"/>
                <w:szCs w:val="19"/>
              </w:rPr>
              <w:t xml:space="preserve">afin de comprendre </w:t>
            </w:r>
            <w:r w:rsidR="00AC2448">
              <w:rPr>
                <w:sz w:val="19"/>
                <w:szCs w:val="19"/>
              </w:rPr>
              <w:t xml:space="preserve">les attentes et </w:t>
            </w:r>
            <w:r w:rsidR="0045007F">
              <w:rPr>
                <w:sz w:val="19"/>
                <w:szCs w:val="19"/>
              </w:rPr>
              <w:t>l’expérience des employés quant au retour en milieu de travail</w:t>
            </w:r>
          </w:p>
          <w:p w14:paraId="221F427F" w14:textId="77777777" w:rsidR="001772B7" w:rsidRPr="00537674" w:rsidRDefault="001772B7" w:rsidP="0058192A">
            <w:pPr>
              <w:rPr>
                <w:rFonts w:eastAsia="Times New Roman" w:cstheme="minorHAnsi"/>
                <w:sz w:val="19"/>
                <w:szCs w:val="19"/>
                <w:lang w:eastAsia="en-CA"/>
              </w:rPr>
            </w:pPr>
          </w:p>
        </w:tc>
        <w:tc>
          <w:tcPr>
            <w:tcW w:w="2577" w:type="pct"/>
          </w:tcPr>
          <w:p w14:paraId="2446CC18" w14:textId="7DC87E21" w:rsidR="001772B7" w:rsidRPr="00537674" w:rsidRDefault="00EA3B83" w:rsidP="001772B7">
            <w:pPr>
              <w:pStyle w:val="ListParagraph"/>
              <w:numPr>
                <w:ilvl w:val="0"/>
                <w:numId w:val="16"/>
              </w:numPr>
              <w:tabs>
                <w:tab w:val="clear" w:pos="720"/>
              </w:tabs>
              <w:ind w:left="318" w:hanging="261"/>
              <w:rPr>
                <w:rFonts w:eastAsia="Times New Roman" w:cstheme="minorHAnsi"/>
                <w:sz w:val="19"/>
                <w:szCs w:val="19"/>
              </w:rPr>
            </w:pPr>
            <w:r w:rsidRPr="00537674">
              <w:rPr>
                <w:sz w:val="19"/>
                <w:szCs w:val="19"/>
              </w:rPr>
              <w:t>Réitérer la vision du milieu de travail</w:t>
            </w:r>
          </w:p>
          <w:p w14:paraId="4B1072E9" w14:textId="7CD1826C" w:rsidR="001772B7" w:rsidRPr="00537674" w:rsidRDefault="00986C49" w:rsidP="003F5858">
            <w:pPr>
              <w:pStyle w:val="ListParagraph"/>
              <w:numPr>
                <w:ilvl w:val="0"/>
                <w:numId w:val="16"/>
              </w:numPr>
              <w:tabs>
                <w:tab w:val="clear" w:pos="720"/>
              </w:tabs>
              <w:ind w:left="318" w:hanging="261"/>
              <w:rPr>
                <w:rFonts w:eastAsia="Times New Roman" w:cstheme="minorHAnsi"/>
                <w:sz w:val="19"/>
                <w:szCs w:val="19"/>
              </w:rPr>
            </w:pPr>
            <w:r w:rsidRPr="00537674">
              <w:rPr>
                <w:sz w:val="19"/>
                <w:szCs w:val="19"/>
              </w:rPr>
              <w:t xml:space="preserve">Recueillir des données concernant </w:t>
            </w:r>
            <w:r w:rsidR="0045007F">
              <w:rPr>
                <w:sz w:val="19"/>
                <w:szCs w:val="19"/>
              </w:rPr>
              <w:t xml:space="preserve">l’expérience des employés qui sont retournés en milieu de travail, à temps plein ou en mode hybride, ainsi que ceux </w:t>
            </w:r>
            <w:r w:rsidR="007D43F6">
              <w:rPr>
                <w:sz w:val="19"/>
                <w:szCs w:val="19"/>
              </w:rPr>
              <w:t>qui travaillent à la maison, et veulent</w:t>
            </w:r>
            <w:r w:rsidR="0045007F">
              <w:rPr>
                <w:sz w:val="19"/>
                <w:szCs w:val="19"/>
              </w:rPr>
              <w:t xml:space="preserve"> continuer </w:t>
            </w:r>
            <w:r w:rsidR="007D43F6">
              <w:rPr>
                <w:sz w:val="19"/>
                <w:szCs w:val="19"/>
              </w:rPr>
              <w:t>à</w:t>
            </w:r>
            <w:r w:rsidR="0045007F">
              <w:rPr>
                <w:sz w:val="19"/>
                <w:szCs w:val="19"/>
              </w:rPr>
              <w:t xml:space="preserve"> travailler à la maison </w:t>
            </w:r>
          </w:p>
        </w:tc>
      </w:tr>
      <w:tr w:rsidR="001772B7" w:rsidRPr="006B582C" w14:paraId="1B31BF84" w14:textId="77777777" w:rsidTr="0058192A">
        <w:tc>
          <w:tcPr>
            <w:tcW w:w="2423" w:type="pct"/>
          </w:tcPr>
          <w:p w14:paraId="33466C7F" w14:textId="152FF3D6" w:rsidR="001772B7" w:rsidRPr="00537674" w:rsidRDefault="00AF7C5D" w:rsidP="0058192A">
            <w:pPr>
              <w:rPr>
                <w:rFonts w:eastAsia="Times New Roman" w:cstheme="minorHAnsi"/>
                <w:sz w:val="19"/>
                <w:szCs w:val="19"/>
              </w:rPr>
            </w:pPr>
            <w:r w:rsidRPr="00537674">
              <w:rPr>
                <w:sz w:val="19"/>
                <w:szCs w:val="19"/>
              </w:rPr>
              <w:t>Communiquer et expliquer les résultats du sondage</w:t>
            </w:r>
            <w:r w:rsidR="00AC2448">
              <w:rPr>
                <w:sz w:val="19"/>
                <w:szCs w:val="19"/>
              </w:rPr>
              <w:t xml:space="preserve"> ou des groupes de discussion</w:t>
            </w:r>
          </w:p>
          <w:p w14:paraId="2FBD2193" w14:textId="77777777" w:rsidR="001772B7" w:rsidRPr="00537674" w:rsidRDefault="001772B7" w:rsidP="0058192A">
            <w:pPr>
              <w:rPr>
                <w:rFonts w:eastAsia="Times New Roman" w:cstheme="minorHAnsi"/>
                <w:sz w:val="19"/>
                <w:szCs w:val="19"/>
                <w:lang w:eastAsia="en-CA"/>
              </w:rPr>
            </w:pPr>
          </w:p>
        </w:tc>
        <w:tc>
          <w:tcPr>
            <w:tcW w:w="2577" w:type="pct"/>
          </w:tcPr>
          <w:p w14:paraId="6CBC4A10" w14:textId="34175C00" w:rsidR="0045007F" w:rsidRPr="00450CCC" w:rsidRDefault="0045007F" w:rsidP="001772B7">
            <w:pPr>
              <w:pStyle w:val="ListParagraph"/>
              <w:numPr>
                <w:ilvl w:val="0"/>
                <w:numId w:val="16"/>
              </w:numPr>
              <w:tabs>
                <w:tab w:val="clear" w:pos="720"/>
              </w:tabs>
              <w:ind w:left="318" w:hanging="261"/>
              <w:rPr>
                <w:rFonts w:eastAsia="Times New Roman" w:cstheme="minorHAnsi"/>
                <w:sz w:val="19"/>
                <w:szCs w:val="19"/>
              </w:rPr>
            </w:pPr>
            <w:r>
              <w:rPr>
                <w:rFonts w:eastAsia="Times New Roman" w:cstheme="minorHAnsi"/>
                <w:sz w:val="19"/>
                <w:szCs w:val="19"/>
              </w:rPr>
              <w:t>Informer les employés sur les améliorations que l’organisation s’engage à prendre pour fournir une meilleure expérience employé (si nécessaire</w:t>
            </w:r>
            <w:r w:rsidR="007D43F6">
              <w:rPr>
                <w:rFonts w:eastAsia="Times New Roman" w:cstheme="minorHAnsi"/>
                <w:sz w:val="19"/>
                <w:szCs w:val="19"/>
              </w:rPr>
              <w:t>)</w:t>
            </w:r>
          </w:p>
          <w:p w14:paraId="0FA72B38" w14:textId="14CE7BAD" w:rsidR="001772B7" w:rsidRPr="007D43F6" w:rsidRDefault="0045007F" w:rsidP="00450CCC">
            <w:pPr>
              <w:pStyle w:val="ListParagraph"/>
              <w:numPr>
                <w:ilvl w:val="0"/>
                <w:numId w:val="16"/>
              </w:numPr>
              <w:tabs>
                <w:tab w:val="clear" w:pos="720"/>
              </w:tabs>
              <w:ind w:left="318" w:hanging="261"/>
              <w:rPr>
                <w:rFonts w:eastAsia="Times New Roman" w:cstheme="minorHAnsi"/>
                <w:sz w:val="19"/>
                <w:szCs w:val="19"/>
              </w:rPr>
            </w:pPr>
            <w:r w:rsidRPr="00D56019">
              <w:rPr>
                <w:sz w:val="19"/>
                <w:szCs w:val="19"/>
              </w:rPr>
              <w:t>Informer les employés au sujet des prochaines étapes, des jalons à venir</w:t>
            </w:r>
            <w:r w:rsidR="007D43F6">
              <w:rPr>
                <w:sz w:val="19"/>
                <w:szCs w:val="19"/>
              </w:rPr>
              <w:t xml:space="preserve"> et</w:t>
            </w:r>
            <w:r w:rsidRPr="00D56019">
              <w:rPr>
                <w:sz w:val="19"/>
                <w:szCs w:val="19"/>
              </w:rPr>
              <w:t xml:space="preserve"> de ce que l’on attend d’eux</w:t>
            </w:r>
          </w:p>
        </w:tc>
      </w:tr>
    </w:tbl>
    <w:p w14:paraId="5314DFDA" w14:textId="506B698C" w:rsidR="0045007F" w:rsidRDefault="0045007F">
      <w:pPr>
        <w:rPr>
          <w:b/>
          <w:color w:val="4CB6A0" w:themeColor="accent2"/>
          <w:sz w:val="28"/>
        </w:rPr>
      </w:pPr>
    </w:p>
    <w:p w14:paraId="45D7E1C6" w14:textId="77777777" w:rsidR="007D43F6" w:rsidRDefault="007D43F6">
      <w:pPr>
        <w:rPr>
          <w:sz w:val="28"/>
        </w:rPr>
      </w:pPr>
      <w:r>
        <w:rPr>
          <w:sz w:val="28"/>
        </w:rPr>
        <w:br w:type="page"/>
      </w:r>
    </w:p>
    <w:p w14:paraId="3F1F1D2F" w14:textId="43BD078F" w:rsidR="00EE2577" w:rsidRPr="006B582C" w:rsidRDefault="003A4238" w:rsidP="001A2385">
      <w:pPr>
        <w:rPr>
          <w:sz w:val="28"/>
        </w:rPr>
      </w:pPr>
      <w:r>
        <w:rPr>
          <w:sz w:val="28"/>
        </w:rPr>
        <w:lastRenderedPageBreak/>
        <w:t>Modèle</w:t>
      </w:r>
      <w:r w:rsidR="00EE2577">
        <w:rPr>
          <w:sz w:val="28"/>
        </w:rPr>
        <w:t xml:space="preserve"> d</w:t>
      </w:r>
      <w:r w:rsidR="00264A1B">
        <w:rPr>
          <w:sz w:val="28"/>
        </w:rPr>
        <w:t>’</w:t>
      </w:r>
      <w:r w:rsidR="00EE2577">
        <w:rPr>
          <w:sz w:val="28"/>
        </w:rPr>
        <w:t>annonce aux employés</w:t>
      </w:r>
    </w:p>
    <w:p w14:paraId="27AF5B42" w14:textId="5A114A0D" w:rsidR="00EE2577" w:rsidRPr="006B582C" w:rsidRDefault="0045007F" w:rsidP="00EE2577">
      <w:pPr>
        <w:rPr>
          <w:rFonts w:cstheme="minorHAnsi"/>
        </w:rPr>
      </w:pPr>
      <w:r>
        <w:rPr>
          <w:noProof/>
          <w:lang w:val="en-CA" w:eastAsia="en-CA"/>
        </w:rPr>
        <mc:AlternateContent>
          <mc:Choice Requires="wps">
            <w:drawing>
              <wp:anchor distT="0" distB="0" distL="114300" distR="114300" simplePos="0" relativeHeight="251666432" behindDoc="1" locked="0" layoutInCell="1" allowOverlap="1" wp14:anchorId="71A74792" wp14:editId="4CB683BB">
                <wp:simplePos x="0" y="0"/>
                <wp:positionH relativeFrom="margin">
                  <wp:align>left</wp:align>
                </wp:positionH>
                <wp:positionV relativeFrom="paragraph">
                  <wp:posOffset>382905</wp:posOffset>
                </wp:positionV>
                <wp:extent cx="6981825" cy="2085975"/>
                <wp:effectExtent l="0" t="0" r="66675" b="28575"/>
                <wp:wrapNone/>
                <wp:docPr id="2" name="Carré corné 19" descr="carré gris"/>
                <wp:cNvGraphicFramePr/>
                <a:graphic xmlns:a="http://schemas.openxmlformats.org/drawingml/2006/main">
                  <a:graphicData uri="http://schemas.microsoft.com/office/word/2010/wordprocessingShape">
                    <wps:wsp>
                      <wps:cNvSpPr/>
                      <wps:spPr>
                        <a:xfrm>
                          <a:off x="0" y="0"/>
                          <a:ext cx="6981825" cy="2085975"/>
                        </a:xfrm>
                        <a:prstGeom prst="foldedCorner">
                          <a:avLst>
                            <a:gd name="adj" fmla="val 8948"/>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BA1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alt="carré gris" style="position:absolute;margin-left:0;margin-top:30.15pt;width:549.75pt;height:164.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" adj="19667" fillcolor="#eee [665]" strokecolor="#aeabab [3209]" strokeweight=".5pt">
                <v:stroke joinstyle="miter"/>
                <w10:wrap anchorx="margin"/>
              </v:shape>
            </w:pict>
          </mc:Fallback>
        </mc:AlternateContent>
      </w:r>
      <w:r w:rsidR="003A4238">
        <w:t xml:space="preserve">Voici un exemple de modèle que vous pouvez adapter à votre situation. Les éléments suivants devraient figurer dans votre communication avec les employés : </w:t>
      </w:r>
    </w:p>
    <w:p w14:paraId="0D4CBBE3" w14:textId="60F791CB" w:rsidR="00EE2577" w:rsidRPr="006B582C" w:rsidRDefault="00986C49" w:rsidP="00EE2577">
      <w:pPr>
        <w:pStyle w:val="ListParagraph"/>
        <w:numPr>
          <w:ilvl w:val="0"/>
          <w:numId w:val="17"/>
        </w:numPr>
        <w:spacing w:line="300" w:lineRule="auto"/>
        <w:rPr>
          <w:rFonts w:cstheme="minorHAnsi"/>
        </w:rPr>
      </w:pPr>
      <w:r>
        <w:t xml:space="preserve">Le contexte du </w:t>
      </w:r>
      <w:r w:rsidR="009A25FD">
        <w:t>retour dans un milieu de travail</w:t>
      </w:r>
    </w:p>
    <w:p w14:paraId="53D09CD3" w14:textId="773732AF" w:rsidR="00EE2577" w:rsidRPr="006B582C" w:rsidRDefault="00986C49" w:rsidP="00EE2577">
      <w:pPr>
        <w:pStyle w:val="ListParagraph"/>
        <w:numPr>
          <w:ilvl w:val="0"/>
          <w:numId w:val="17"/>
        </w:numPr>
        <w:spacing w:line="300" w:lineRule="auto"/>
        <w:rPr>
          <w:rFonts w:cstheme="minorHAnsi"/>
        </w:rPr>
      </w:pPr>
      <w:r>
        <w:t xml:space="preserve">Le déclencheur du </w:t>
      </w:r>
      <w:r w:rsidR="009A25FD">
        <w:t>retour</w:t>
      </w:r>
      <w:r>
        <w:t> : le quoi, le pourquoi, le qui</w:t>
      </w:r>
    </w:p>
    <w:p w14:paraId="051D2EAF" w14:textId="5155F93D" w:rsidR="00EE2577" w:rsidRPr="006B582C" w:rsidRDefault="007C3A58" w:rsidP="00EE2577">
      <w:pPr>
        <w:pStyle w:val="ListParagraph"/>
        <w:numPr>
          <w:ilvl w:val="0"/>
          <w:numId w:val="17"/>
        </w:numPr>
        <w:spacing w:line="300" w:lineRule="auto"/>
        <w:rPr>
          <w:rFonts w:cstheme="minorHAnsi"/>
        </w:rPr>
      </w:pPr>
      <w:r w:rsidRPr="009A25FD">
        <w:t xml:space="preserve">Comment le </w:t>
      </w:r>
      <w:r w:rsidR="009A25FD" w:rsidRPr="009A25FD">
        <w:t>re</w:t>
      </w:r>
      <w:r w:rsidRPr="009A25FD">
        <w:t>t</w:t>
      </w:r>
      <w:r w:rsidR="009A25FD" w:rsidRPr="009A25FD">
        <w:t>our</w:t>
      </w:r>
      <w:r w:rsidRPr="009A25FD">
        <w:t xml:space="preserve"> affectera</w:t>
      </w:r>
      <w:r>
        <w:t xml:space="preserve"> les employés et l</w:t>
      </w:r>
      <w:r w:rsidR="00264A1B">
        <w:t>’</w:t>
      </w:r>
      <w:r>
        <w:t>organisation à court et long terme</w:t>
      </w:r>
    </w:p>
    <w:p w14:paraId="4B94B5DB" w14:textId="390427B7" w:rsidR="00EE2577" w:rsidRPr="006B582C" w:rsidRDefault="007C3A58" w:rsidP="00EE2577">
      <w:pPr>
        <w:pStyle w:val="ListParagraph"/>
        <w:numPr>
          <w:ilvl w:val="0"/>
          <w:numId w:val="17"/>
        </w:numPr>
        <w:spacing w:line="300" w:lineRule="auto"/>
        <w:rPr>
          <w:rFonts w:cstheme="minorHAnsi"/>
        </w:rPr>
      </w:pPr>
      <w:r>
        <w:t>Qu</w:t>
      </w:r>
      <w:r w:rsidR="00264A1B">
        <w:t>’</w:t>
      </w:r>
      <w:r>
        <w:t>est-ce que j</w:t>
      </w:r>
      <w:r w:rsidR="00264A1B">
        <w:t>’</w:t>
      </w:r>
      <w:r>
        <w:t>y gagne/qu</w:t>
      </w:r>
      <w:r w:rsidR="00264A1B">
        <w:t>’</w:t>
      </w:r>
      <w:r>
        <w:t>est-ce que nous y gagnons (avantages du point de vue des employés)</w:t>
      </w:r>
    </w:p>
    <w:p w14:paraId="23117AF0" w14:textId="178AC1E0" w:rsidR="00EE2577" w:rsidRPr="006B582C" w:rsidRDefault="007C3A58" w:rsidP="00EE2577">
      <w:pPr>
        <w:pStyle w:val="ListParagraph"/>
        <w:numPr>
          <w:ilvl w:val="0"/>
          <w:numId w:val="17"/>
        </w:numPr>
        <w:spacing w:line="300" w:lineRule="auto"/>
        <w:rPr>
          <w:rFonts w:cstheme="minorHAnsi"/>
        </w:rPr>
      </w:pPr>
      <w:r>
        <w:t>Une vision claire du milieu de travail</w:t>
      </w:r>
      <w:r w:rsidR="009A25FD">
        <w:t xml:space="preserve"> (que ce soit un milieu modernisé ou </w:t>
      </w:r>
      <w:r w:rsidR="00FD7A15">
        <w:t>non</w:t>
      </w:r>
      <w:r w:rsidR="009A25FD">
        <w:t>)</w:t>
      </w:r>
    </w:p>
    <w:p w14:paraId="421AD101" w14:textId="5EA8DDCF" w:rsidR="00EE2577" w:rsidRPr="0060616D" w:rsidRDefault="00F64E3C" w:rsidP="00EE2577">
      <w:pPr>
        <w:pStyle w:val="ListParagraph"/>
        <w:numPr>
          <w:ilvl w:val="0"/>
          <w:numId w:val="17"/>
        </w:numPr>
        <w:spacing w:line="300" w:lineRule="auto"/>
        <w:rPr>
          <w:rFonts w:cstheme="minorHAnsi"/>
        </w:rPr>
      </w:pPr>
      <w:r w:rsidRPr="0060616D">
        <w:t>Les attentes claires de la part de l</w:t>
      </w:r>
      <w:r w:rsidR="00264A1B" w:rsidRPr="0060616D">
        <w:t>’</w:t>
      </w:r>
      <w:r w:rsidRPr="0060616D">
        <w:t>organisation en ce qui concerne la participation des employés; ce qu</w:t>
      </w:r>
      <w:r w:rsidR="00264A1B" w:rsidRPr="0060616D">
        <w:t>’</w:t>
      </w:r>
      <w:r w:rsidRPr="0060616D">
        <w:t>elle attend d</w:t>
      </w:r>
      <w:r w:rsidR="00264A1B" w:rsidRPr="0060616D">
        <w:t>’</w:t>
      </w:r>
      <w:r w:rsidRPr="0060616D">
        <w:t>eux</w:t>
      </w:r>
    </w:p>
    <w:p w14:paraId="19D0ED6E" w14:textId="67024A24" w:rsidR="00EE2577" w:rsidRPr="0060616D" w:rsidRDefault="007C3A58" w:rsidP="00EE2577">
      <w:pPr>
        <w:pStyle w:val="ListParagraph"/>
        <w:numPr>
          <w:ilvl w:val="0"/>
          <w:numId w:val="17"/>
        </w:numPr>
        <w:spacing w:line="300" w:lineRule="auto"/>
        <w:rPr>
          <w:rFonts w:cstheme="minorHAnsi"/>
        </w:rPr>
      </w:pPr>
      <w:r w:rsidRPr="0060616D">
        <w:t>Comment l</w:t>
      </w:r>
      <w:r w:rsidR="00264A1B" w:rsidRPr="0060616D">
        <w:t>’</w:t>
      </w:r>
      <w:r w:rsidRPr="0060616D">
        <w:t>organisation comprend l</w:t>
      </w:r>
      <w:r w:rsidR="00264A1B" w:rsidRPr="0060616D">
        <w:t>’</w:t>
      </w:r>
      <w:r w:rsidRPr="0060616D">
        <w:t>éventail des émotions associées au changement et fait preuve d</w:t>
      </w:r>
      <w:r w:rsidR="00264A1B" w:rsidRPr="0060616D">
        <w:t>’</w:t>
      </w:r>
      <w:r w:rsidRPr="0060616D">
        <w:t>empathie</w:t>
      </w:r>
    </w:p>
    <w:p w14:paraId="73279959" w14:textId="61ACAF7C" w:rsidR="009A25FD" w:rsidRPr="0060616D" w:rsidRDefault="007C3A58" w:rsidP="00DD38BD">
      <w:pPr>
        <w:pStyle w:val="ListParagraph"/>
        <w:numPr>
          <w:ilvl w:val="0"/>
          <w:numId w:val="17"/>
        </w:numPr>
        <w:spacing w:line="300" w:lineRule="auto"/>
        <w:rPr>
          <w:rFonts w:cstheme="minorHAnsi"/>
        </w:rPr>
      </w:pPr>
      <w:r w:rsidRPr="0060616D">
        <w:t>Les prochaines étapes</w:t>
      </w:r>
    </w:p>
    <w:p w14:paraId="301E699A" w14:textId="77777777" w:rsidR="00D56019" w:rsidRPr="006B582C" w:rsidRDefault="00D56019" w:rsidP="00537674">
      <w:pPr>
        <w:spacing w:line="300" w:lineRule="auto"/>
        <w:rPr>
          <w:rFonts w:cstheme="minorHAnsi"/>
          <w:lang w:val="en-US"/>
        </w:rPr>
      </w:pPr>
    </w:p>
    <w:p w14:paraId="0277092C" w14:textId="77777777" w:rsidR="007C3A58" w:rsidRPr="006B582C" w:rsidRDefault="007C3A58" w:rsidP="00A64253">
      <w:pPr>
        <w:jc w:val="both"/>
      </w:pPr>
      <w:r>
        <w:t>Bonjour,</w:t>
      </w:r>
    </w:p>
    <w:p w14:paraId="55219EC4" w14:textId="30796C0B" w:rsidR="007C3A58" w:rsidRPr="006B582C" w:rsidRDefault="007C3A58" w:rsidP="00A64253">
      <w:pPr>
        <w:jc w:val="both"/>
      </w:pPr>
      <w:r>
        <w:t>Il semble difficile de croire que nous soyons déjà en </w:t>
      </w:r>
      <w:r w:rsidRPr="006C2851">
        <w:t>202</w:t>
      </w:r>
      <w:r w:rsidR="006C2851" w:rsidRPr="006C2851">
        <w:t>2</w:t>
      </w:r>
      <w:r>
        <w:t xml:space="preserve"> et que cela fait plus de [</w:t>
      </w:r>
      <w:r>
        <w:rPr>
          <w:i/>
          <w:highlight w:val="lightGray"/>
        </w:rPr>
        <w:t>X mois</w:t>
      </w:r>
      <w:r>
        <w:t xml:space="preserve">] que notre vie quotidienne et notre façon de travailler ont toutes deux profondément changé. Au cours de </w:t>
      </w:r>
      <w:r w:rsidR="00F0177B">
        <w:t xml:space="preserve">cette </w:t>
      </w:r>
      <w:r>
        <w:t>période, nous avons démontré qu</w:t>
      </w:r>
      <w:r w:rsidR="00264A1B">
        <w:t>’</w:t>
      </w:r>
      <w:r>
        <w:t>une grande partie de notre [</w:t>
      </w:r>
      <w:r>
        <w:rPr>
          <w:i/>
          <w:highlight w:val="lightGray"/>
        </w:rPr>
        <w:t>direction générale, division, secteur</w:t>
      </w:r>
      <w:r>
        <w:t>] pouvait travailler efficacement à domicile, tout en continuant à collaborer avec les parties prenantes, à faire avancer notre programme et à mettre en œuvre des initiatives importantes pour tous nos clients.</w:t>
      </w:r>
    </w:p>
    <w:p w14:paraId="4B393FE6" w14:textId="37CAC66C" w:rsidR="007C3A58" w:rsidRPr="006B582C" w:rsidRDefault="00DD38BD" w:rsidP="00A64253">
      <w:pPr>
        <w:jc w:val="both"/>
      </w:pPr>
      <w:r>
        <w:t xml:space="preserve">Les deux dernières années ont apporté des changements à un rythme accéléré et d’une manière que je n’aurais pas pu prédire. </w:t>
      </w:r>
      <w:r w:rsidR="003052B7">
        <w:t xml:space="preserve">Que nous le voulions ou non, cette situation nous offre véritablement des possibilités sans précédent de nous adapter positivement et de construire un milieu de travail meilleur. </w:t>
      </w:r>
      <w:r>
        <w:t>La résilience que je vois partout dans [</w:t>
      </w:r>
      <w:r w:rsidR="00A11259" w:rsidRPr="003052B7">
        <w:rPr>
          <w:i/>
          <w:iCs/>
          <w:highlight w:val="lightGray"/>
        </w:rPr>
        <w:t>nom de la direction générale ou du ministère</w:t>
      </w:r>
      <w:r>
        <w:t xml:space="preserve">] m’inspire énormément et j’apprécie sincèrement la compassion, la collaboration et l’ingéniosité dont vous faites preuve et que je continue à constater chaque jour malgré tant de mois d’incertitude. </w:t>
      </w:r>
      <w:r w:rsidRPr="00DD38BD">
        <w:t>Au cours des dernières semaines, de nombreuses provinces ont assouplies leurs mesures sanitaires, et la présidente du Conseil du Trésor a publié une déclaration sur la mise à jour des directives de santé au travail pour la fonction publique fédérale. Nous vous écrivons aujourd’hui au sujet des répercussions de ces développements à [</w:t>
      </w:r>
      <w:r w:rsidRPr="003052B7">
        <w:rPr>
          <w:i/>
          <w:iCs/>
          <w:highlight w:val="lightGray"/>
        </w:rPr>
        <w:t>nom de la direction générale ou du ministère</w:t>
      </w:r>
      <w:r w:rsidRPr="00DD38BD">
        <w:t>] et de la façon dont nous voyons les choses se dérouler dans les mois à venir</w:t>
      </w:r>
      <w:r>
        <w:t xml:space="preserve">. </w:t>
      </w:r>
    </w:p>
    <w:p w14:paraId="5A3EE3AE" w14:textId="77777777" w:rsidR="00E958B3" w:rsidRPr="006B582C" w:rsidRDefault="003052B7" w:rsidP="00E958B3">
      <w:pPr>
        <w:jc w:val="both"/>
      </w:pPr>
      <w:r>
        <w:t xml:space="preserve">Les milieux de travail et les façons de travailler ayant énormément changés, il est important de planifier un retour en milieu de travail qui combinera le télétravail et la présence au bureau, dans certaines instances. </w:t>
      </w:r>
      <w:r w:rsidR="00E958B3">
        <w:t>De plus, comme mentionné lors de la réunion [</w:t>
      </w:r>
      <w:r w:rsidR="00E958B3">
        <w:rPr>
          <w:i/>
          <w:highlight w:val="lightGray"/>
        </w:rPr>
        <w:t>nom de la réunion</w:t>
      </w:r>
      <w:r w:rsidR="00E958B3">
        <w:t xml:space="preserve">], la nature de notre travail a aussi considérablement évolué, ce qui aura un impact sur la façon dont nous utiliserons nos milieux de travail. </w:t>
      </w:r>
    </w:p>
    <w:p w14:paraId="6EEEC197" w14:textId="38A22F79" w:rsidR="007C3A58" w:rsidRPr="006B582C" w:rsidRDefault="005253DA" w:rsidP="00A64253">
      <w:pPr>
        <w:jc w:val="both"/>
      </w:pPr>
      <w:r>
        <w:t xml:space="preserve">Afin de commencer à planifier le retour dans nos milieux de travail </w:t>
      </w:r>
      <w:r w:rsidRPr="007D43F6">
        <w:rPr>
          <w:highlight w:val="lightGray"/>
        </w:rPr>
        <w:t>et la modernisation de [</w:t>
      </w:r>
      <w:r w:rsidRPr="007D43F6">
        <w:rPr>
          <w:i/>
          <w:highlight w:val="lightGray"/>
        </w:rPr>
        <w:t>nom du bâtiment/de l’espace</w:t>
      </w:r>
      <w:r w:rsidRPr="007D43F6">
        <w:rPr>
          <w:highlight w:val="lightGray"/>
        </w:rPr>
        <w:t>]</w:t>
      </w:r>
      <w:r>
        <w:t xml:space="preserve"> en considérant tous ces changements, [</w:t>
      </w:r>
      <w:r>
        <w:rPr>
          <w:i/>
          <w:highlight w:val="lightGray"/>
        </w:rPr>
        <w:t>nom de l’organisation</w:t>
      </w:r>
      <w:r>
        <w:t>] a travaillé avec [</w:t>
      </w:r>
      <w:r>
        <w:rPr>
          <w:i/>
          <w:highlight w:val="lightGray"/>
        </w:rPr>
        <w:t>nom de l’organisation</w:t>
      </w:r>
      <w:r>
        <w:t>], ainsi qu’avec [</w:t>
      </w:r>
      <w:r>
        <w:rPr>
          <w:i/>
          <w:highlight w:val="lightGray"/>
        </w:rPr>
        <w:t>nom de l’organisation</w:t>
      </w:r>
      <w:r>
        <w:t>]. Nous</w:t>
      </w:r>
      <w:r w:rsidR="007C3A58">
        <w:t xml:space="preserve"> travaill</w:t>
      </w:r>
      <w:r>
        <w:t>ons</w:t>
      </w:r>
      <w:r w:rsidR="007C3A58">
        <w:t xml:space="preserve"> à </w:t>
      </w:r>
      <w:r w:rsidR="003052B7">
        <w:t>[</w:t>
      </w:r>
      <w:r w:rsidR="003052B7" w:rsidRPr="003052B7">
        <w:rPr>
          <w:i/>
          <w:iCs/>
          <w:highlight w:val="lightGray"/>
        </w:rPr>
        <w:t>type de retour en milieu de travail</w:t>
      </w:r>
      <w:r w:rsidR="003052B7">
        <w:t>]</w:t>
      </w:r>
      <w:r w:rsidR="007C3A58">
        <w:t>. Notre but</w:t>
      </w:r>
      <w:r w:rsidR="0060616D">
        <w:t xml:space="preserve"> ultime</w:t>
      </w:r>
      <w:r w:rsidR="007C3A58">
        <w:t>, que vous avez entendu de vive voix de la part de notre [</w:t>
      </w:r>
      <w:r w:rsidR="007C3A58">
        <w:rPr>
          <w:i/>
          <w:highlight w:val="lightGray"/>
        </w:rPr>
        <w:t>titre du haut dirigeant</w:t>
      </w:r>
      <w:r w:rsidR="007C3A58">
        <w:t>], est d</w:t>
      </w:r>
      <w:r w:rsidR="00FF553C">
        <w:t>e présenter</w:t>
      </w:r>
      <w:r w:rsidR="007C3A58">
        <w:t xml:space="preserve"> [</w:t>
      </w:r>
      <w:r w:rsidR="007C3A58" w:rsidRPr="003052B7">
        <w:rPr>
          <w:i/>
          <w:iCs/>
          <w:highlight w:val="lightGray"/>
        </w:rPr>
        <w:t>vision du milieu de travail (p. ex.,</w:t>
      </w:r>
      <w:r w:rsidR="003052B7" w:rsidRPr="003052B7">
        <w:rPr>
          <w:i/>
          <w:iCs/>
          <w:highlight w:val="lightGray"/>
        </w:rPr>
        <w:t xml:space="preserve"> réaménagement dans le milieu de travail original, transition dans un espace de transition, transition dans les milieux modernisés</w:t>
      </w:r>
      <w:r w:rsidR="007C3A58">
        <w:t xml:space="preserve">]. </w:t>
      </w:r>
      <w:r w:rsidR="007D43F6">
        <w:t xml:space="preserve">Nous comptons atteindre </w:t>
      </w:r>
      <w:r w:rsidR="007D43F6">
        <w:lastRenderedPageBreak/>
        <w:t>celui-ci en [</w:t>
      </w:r>
      <w:r w:rsidR="007D43F6" w:rsidRPr="007D43F6">
        <w:rPr>
          <w:i/>
          <w:highlight w:val="lightGray"/>
        </w:rPr>
        <w:t>façon d’atteindre vos buts</w:t>
      </w:r>
      <w:r w:rsidR="007D43F6">
        <w:t xml:space="preserve">]. </w:t>
      </w:r>
      <w:r w:rsidR="007C3A58">
        <w:t xml:space="preserve">Je tiens à affirmer que je suis le champion de ce </w:t>
      </w:r>
      <w:r w:rsidR="009A25FD">
        <w:t>retour</w:t>
      </w:r>
      <w:r w:rsidR="007C3A58">
        <w:t xml:space="preserve"> pour [</w:t>
      </w:r>
      <w:r w:rsidR="007C3A58">
        <w:rPr>
          <w:i/>
          <w:highlight w:val="lightGray"/>
        </w:rPr>
        <w:t>nom de l</w:t>
      </w:r>
      <w:r w:rsidR="00264A1B">
        <w:rPr>
          <w:i/>
          <w:highlight w:val="lightGray"/>
        </w:rPr>
        <w:t>’</w:t>
      </w:r>
      <w:r w:rsidR="007C3A58">
        <w:rPr>
          <w:i/>
          <w:highlight w:val="lightGray"/>
        </w:rPr>
        <w:t>organisation</w:t>
      </w:r>
      <w:r w:rsidR="007C3A58">
        <w:t>], et que votre contribution pour nous aider à montrer l</w:t>
      </w:r>
      <w:r w:rsidR="00264A1B">
        <w:t>’</w:t>
      </w:r>
      <w:r w:rsidR="007C3A58">
        <w:t>exemple peut avoir une influence durable sur [</w:t>
      </w:r>
      <w:r w:rsidR="007C3A58">
        <w:rPr>
          <w:i/>
          <w:highlight w:val="lightGray"/>
        </w:rPr>
        <w:t>nom de l</w:t>
      </w:r>
      <w:r w:rsidR="00264A1B">
        <w:rPr>
          <w:i/>
          <w:highlight w:val="lightGray"/>
        </w:rPr>
        <w:t>’</w:t>
      </w:r>
      <w:r w:rsidR="007C3A58">
        <w:rPr>
          <w:i/>
          <w:highlight w:val="lightGray"/>
        </w:rPr>
        <w:t>organisation</w:t>
      </w:r>
      <w:r w:rsidR="007C3A58">
        <w:t>] et sur notre façon de travailler.</w:t>
      </w:r>
    </w:p>
    <w:p w14:paraId="4DBB4BDB" w14:textId="0B1FE128" w:rsidR="007C3A58" w:rsidRPr="006B582C" w:rsidRDefault="00A11259" w:rsidP="00A64253">
      <w:pPr>
        <w:jc w:val="both"/>
      </w:pPr>
      <w:r>
        <w:t>Plus de détails vous seront dévoilés dans les [</w:t>
      </w:r>
      <w:r w:rsidRPr="005253DA">
        <w:rPr>
          <w:i/>
          <w:highlight w:val="lightGray"/>
        </w:rPr>
        <w:t>semaines ou mois</w:t>
      </w:r>
      <w:r>
        <w:t xml:space="preserve">] à venir. </w:t>
      </w:r>
      <w:r w:rsidR="007C3A58">
        <w:t>Dans cette optique, il est temps d</w:t>
      </w:r>
      <w:r w:rsidR="00264A1B">
        <w:t>’</w:t>
      </w:r>
      <w:r w:rsidR="007C3A58">
        <w:t xml:space="preserve">avoir une conversation </w:t>
      </w:r>
      <w:r>
        <w:t xml:space="preserve">avec votre gestionnaire </w:t>
      </w:r>
      <w:r w:rsidR="007C3A58">
        <w:t>sur [</w:t>
      </w:r>
      <w:r w:rsidR="007C3A58">
        <w:rPr>
          <w:i/>
          <w:highlight w:val="lightGray"/>
        </w:rPr>
        <w:t>insérer ce qui est attendu (p.</w:t>
      </w:r>
      <w:r w:rsidR="00F34E18">
        <w:rPr>
          <w:i/>
          <w:highlight w:val="lightGray"/>
        </w:rPr>
        <w:t> ex.</w:t>
      </w:r>
      <w:r w:rsidR="007C3A58">
        <w:rPr>
          <w:i/>
          <w:highlight w:val="lightGray"/>
        </w:rPr>
        <w:t xml:space="preserve"> comment nous voulons travailler à l</w:t>
      </w:r>
      <w:r w:rsidR="00264A1B">
        <w:rPr>
          <w:i/>
          <w:highlight w:val="lightGray"/>
        </w:rPr>
        <w:t>’</w:t>
      </w:r>
      <w:r w:rsidR="007C3A58">
        <w:rPr>
          <w:i/>
          <w:highlight w:val="lightGray"/>
        </w:rPr>
        <w:t>avenir, comment nous envisageons d</w:t>
      </w:r>
      <w:r w:rsidR="00264A1B">
        <w:rPr>
          <w:i/>
          <w:highlight w:val="lightGray"/>
        </w:rPr>
        <w:t>’</w:t>
      </w:r>
      <w:r w:rsidR="007C3A58">
        <w:rPr>
          <w:i/>
          <w:highlight w:val="lightGray"/>
        </w:rPr>
        <w:t>utiliser l</w:t>
      </w:r>
      <w:r w:rsidR="00264A1B">
        <w:rPr>
          <w:i/>
          <w:highlight w:val="lightGray"/>
        </w:rPr>
        <w:t>’</w:t>
      </w:r>
      <w:r w:rsidR="007C3A58">
        <w:rPr>
          <w:i/>
          <w:highlight w:val="lightGray"/>
        </w:rPr>
        <w:t>espace de travail, comment la mobilité sera intégrée et soutenue)</w:t>
      </w:r>
      <w:r w:rsidR="007C3A58">
        <w:t xml:space="preserve">]. </w:t>
      </w:r>
      <w:r w:rsidR="00E958B3">
        <w:t>Ces conversations sont cruciales</w:t>
      </w:r>
      <w:r w:rsidR="0060616D">
        <w:t xml:space="preserve"> afin que le retour en milieu de travail se passe dans la fluidité</w:t>
      </w:r>
      <w:r w:rsidR="00E958B3">
        <w:t xml:space="preserve"> pour tous les parties impliquées.</w:t>
      </w:r>
    </w:p>
    <w:p w14:paraId="057CF864" w14:textId="1676C202" w:rsidR="007C3A58" w:rsidRPr="006B582C" w:rsidRDefault="007C3A58" w:rsidP="00A64253">
      <w:pPr>
        <w:spacing w:after="0" w:line="240" w:lineRule="auto"/>
        <w:jc w:val="both"/>
        <w:rPr>
          <w:rFonts w:eastAsia="Times New Roman" w:cstheme="minorHAnsi"/>
          <w:color w:val="000000"/>
        </w:rPr>
      </w:pPr>
      <w:r>
        <w:rPr>
          <w:color w:val="000000"/>
        </w:rPr>
        <w:t>Nous sommes à l</w:t>
      </w:r>
      <w:r w:rsidR="00264A1B">
        <w:rPr>
          <w:color w:val="000000"/>
        </w:rPr>
        <w:t>’</w:t>
      </w:r>
      <w:r>
        <w:rPr>
          <w:color w:val="000000"/>
        </w:rPr>
        <w:t>avant-garde dans [</w:t>
      </w:r>
      <w:r>
        <w:rPr>
          <w:i/>
          <w:color w:val="000000"/>
          <w:highlight w:val="lightGray"/>
        </w:rPr>
        <w:t>nom de l</w:t>
      </w:r>
      <w:r w:rsidR="00264A1B">
        <w:rPr>
          <w:i/>
          <w:color w:val="000000"/>
          <w:highlight w:val="lightGray"/>
        </w:rPr>
        <w:t>’</w:t>
      </w:r>
      <w:r>
        <w:rPr>
          <w:i/>
          <w:color w:val="000000"/>
          <w:highlight w:val="lightGray"/>
        </w:rPr>
        <w:t>organisation</w:t>
      </w:r>
      <w:r>
        <w:rPr>
          <w:color w:val="000000"/>
        </w:rPr>
        <w:t>] pour trouver de meilleures méthodes de travail et créer le meilleur environnement de travail possible. Vous avez déjà démontré à quel point vous acceptez bien le changement et les nouvelles façons de procéder, et je sais que vous appliquerez la même attention à cette initiative.</w:t>
      </w:r>
    </w:p>
    <w:p w14:paraId="2651D897" w14:textId="77777777" w:rsidR="007C3A58" w:rsidRPr="006B582C" w:rsidRDefault="007C3A58" w:rsidP="00A64253">
      <w:pPr>
        <w:spacing w:after="0" w:line="240" w:lineRule="auto"/>
        <w:jc w:val="both"/>
        <w:rPr>
          <w:rFonts w:eastAsia="Times New Roman" w:cstheme="minorHAnsi"/>
          <w:color w:val="000000"/>
        </w:rPr>
      </w:pPr>
      <w:r>
        <w:rPr>
          <w:color w:val="000000"/>
        </w:rPr>
        <w:t xml:space="preserve"> </w:t>
      </w:r>
    </w:p>
    <w:p w14:paraId="445EAE43" w14:textId="2603B36F" w:rsidR="009762D5" w:rsidRDefault="007C3A58" w:rsidP="00964723">
      <w:pPr>
        <w:spacing w:after="0" w:line="240" w:lineRule="auto"/>
        <w:jc w:val="both"/>
        <w:rPr>
          <w:color w:val="000000"/>
        </w:rPr>
      </w:pPr>
      <w:r>
        <w:rPr>
          <w:color w:val="000000"/>
        </w:rPr>
        <w:t>Merci et prenez soin de vous.</w:t>
      </w:r>
    </w:p>
    <w:p w14:paraId="770780D6" w14:textId="77777777" w:rsidR="009762D5" w:rsidRDefault="009762D5">
      <w:pPr>
        <w:rPr>
          <w:color w:val="000000"/>
        </w:rPr>
      </w:pPr>
      <w:r>
        <w:rPr>
          <w:color w:val="000000"/>
        </w:rPr>
        <w:br w:type="page"/>
      </w:r>
    </w:p>
    <w:p w14:paraId="2A29F0B2" w14:textId="77777777" w:rsidR="00A64253" w:rsidRPr="006B582C" w:rsidRDefault="00A64253" w:rsidP="00964723">
      <w:pPr>
        <w:spacing w:after="0" w:line="240" w:lineRule="auto"/>
        <w:jc w:val="both"/>
        <w:rPr>
          <w:rFonts w:eastAsia="Times New Roman" w:cstheme="minorHAnsi"/>
          <w:color w:val="000000"/>
        </w:rPr>
      </w:pPr>
    </w:p>
    <w:p w14:paraId="296BED27" w14:textId="37F11D14" w:rsidR="00964723" w:rsidRDefault="009762D5" w:rsidP="00A64253">
      <w:pPr>
        <w:jc w:val="both"/>
        <w:rPr>
          <w:b/>
          <w:color w:val="4CB6A0" w:themeColor="accent2"/>
          <w:sz w:val="28"/>
        </w:rPr>
      </w:pPr>
      <w:r w:rsidRPr="00557307">
        <w:rPr>
          <w:b/>
          <w:color w:val="4CB6A0" w:themeColor="accent2"/>
          <w:sz w:val="28"/>
        </w:rPr>
        <w:t xml:space="preserve">Annexe </w:t>
      </w:r>
      <w:r>
        <w:rPr>
          <w:b/>
          <w:color w:val="4CB6A0" w:themeColor="accent2"/>
          <w:sz w:val="28"/>
        </w:rPr>
        <w:t>A : Exemple de communication</w:t>
      </w:r>
    </w:p>
    <w:p w14:paraId="41039921" w14:textId="5BB49079" w:rsidR="005253DA" w:rsidRDefault="005253DA" w:rsidP="00A64253">
      <w:pPr>
        <w:jc w:val="both"/>
        <w:rPr>
          <w:b/>
          <w:color w:val="4CB6A0" w:themeColor="accent2"/>
          <w:sz w:val="28"/>
        </w:rPr>
      </w:pPr>
      <w:r>
        <w:rPr>
          <w:noProof/>
          <w:lang w:val="en-CA" w:eastAsia="en-CA"/>
        </w:rPr>
        <mc:AlternateContent>
          <mc:Choice Requires="wps">
            <w:drawing>
              <wp:anchor distT="0" distB="0" distL="114300" distR="114300" simplePos="0" relativeHeight="251668480" behindDoc="1" locked="0" layoutInCell="1" allowOverlap="1" wp14:anchorId="199FD936" wp14:editId="35686028">
                <wp:simplePos x="0" y="0"/>
                <wp:positionH relativeFrom="margin">
                  <wp:posOffset>-85726</wp:posOffset>
                </wp:positionH>
                <wp:positionV relativeFrom="paragraph">
                  <wp:posOffset>78740</wp:posOffset>
                </wp:positionV>
                <wp:extent cx="7257415" cy="2219325"/>
                <wp:effectExtent l="0" t="0" r="57785" b="28575"/>
                <wp:wrapNone/>
                <wp:docPr id="4" name="Carré corné 19" descr="carré gris"/>
                <wp:cNvGraphicFramePr/>
                <a:graphic xmlns:a="http://schemas.openxmlformats.org/drawingml/2006/main">
                  <a:graphicData uri="http://schemas.microsoft.com/office/word/2010/wordprocessingShape">
                    <wps:wsp>
                      <wps:cNvSpPr/>
                      <wps:spPr>
                        <a:xfrm>
                          <a:off x="0" y="0"/>
                          <a:ext cx="7257415" cy="2219325"/>
                        </a:xfrm>
                        <a:prstGeom prst="foldedCorner">
                          <a:avLst>
                            <a:gd name="adj" fmla="val 15925"/>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4FA3" id="Carré corné 19" o:spid="_x0000_s1026" type="#_x0000_t65" alt="carré gris" style="position:absolute;margin-left:-6.75pt;margin-top:6.2pt;width:571.45pt;height:174.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" adj="18160" fillcolor="#eee [665]" strokecolor="#aeabab [3209]" strokeweight=".5pt">
                <v:stroke joinstyle="miter"/>
                <w10:wrap anchorx="margin"/>
              </v:shape>
            </w:pict>
          </mc:Fallback>
        </mc:AlternateContent>
      </w:r>
    </w:p>
    <w:p w14:paraId="03CD0BBB" w14:textId="24920B92" w:rsidR="005253DA" w:rsidRPr="005253DA" w:rsidRDefault="005253DA" w:rsidP="005253DA">
      <w:pPr>
        <w:rPr>
          <w:i/>
          <w:iCs/>
        </w:rPr>
      </w:pPr>
      <w:r w:rsidRPr="005253DA">
        <w:rPr>
          <w:i/>
          <w:iCs/>
        </w:rPr>
        <w:t xml:space="preserve">Cet exemple est un très bon exemple de message clair et concis qui se fait assez tôt pour les employés, ce qui permet de gérer les attentes des employés vis-à-vis un retour dans le milieu de travail, sans mentionner une date de retour précise vu les incertitudes de temps actuels. </w:t>
      </w:r>
    </w:p>
    <w:p w14:paraId="6C47C166" w14:textId="2F71F1D8" w:rsidR="005253DA" w:rsidRPr="005253DA" w:rsidRDefault="005253DA" w:rsidP="005253DA">
      <w:pPr>
        <w:rPr>
          <w:i/>
          <w:iCs/>
        </w:rPr>
      </w:pPr>
      <w:r w:rsidRPr="005253DA">
        <w:rPr>
          <w:i/>
          <w:iCs/>
        </w:rPr>
        <w:t>Toutefois, quelques phrases mentionnant l’</w:t>
      </w:r>
      <w:r w:rsidRPr="005253DA">
        <w:rPr>
          <w:b/>
          <w:bCs/>
          <w:i/>
          <w:iCs/>
        </w:rPr>
        <w:t xml:space="preserve">exigence </w:t>
      </w:r>
      <w:r w:rsidRPr="005253DA">
        <w:rPr>
          <w:i/>
          <w:iCs/>
        </w:rPr>
        <w:t xml:space="preserve">de revenir progressivement au bureau sans plus d’explications quant aux nombres de jours et la détermination du </w:t>
      </w:r>
      <w:r w:rsidRPr="005253DA">
        <w:rPr>
          <w:b/>
          <w:bCs/>
          <w:i/>
          <w:iCs/>
        </w:rPr>
        <w:t xml:space="preserve">qui, quoi et comment, </w:t>
      </w:r>
      <w:r w:rsidRPr="005253DA">
        <w:rPr>
          <w:i/>
          <w:iCs/>
        </w:rPr>
        <w:t>peuvent être déroutantes pour les employés qui travaillent de la maison depuis deux ans déjà.</w:t>
      </w:r>
    </w:p>
    <w:p w14:paraId="17D3564D" w14:textId="4E7F9F19" w:rsidR="005253DA" w:rsidRPr="005253DA" w:rsidRDefault="005253DA" w:rsidP="005253DA">
      <w:pPr>
        <w:rPr>
          <w:b/>
          <w:i/>
          <w:iCs/>
          <w:color w:val="4CB6A0" w:themeColor="accent2"/>
          <w:sz w:val="28"/>
        </w:rPr>
      </w:pPr>
      <w:r w:rsidRPr="005253DA">
        <w:rPr>
          <w:i/>
          <w:iCs/>
        </w:rPr>
        <w:t>Ce genre d’annonce devrait être entourée de plus de contexte et d’explications afin que les employés comprennent exactement ce qui les attends.</w:t>
      </w:r>
    </w:p>
    <w:p w14:paraId="6DDE4A15" w14:textId="77777777" w:rsidR="005253DA" w:rsidRDefault="005253DA" w:rsidP="00A64253">
      <w:pPr>
        <w:jc w:val="both"/>
        <w:rPr>
          <w:b/>
          <w:color w:val="4CB6A0" w:themeColor="accent2"/>
          <w:sz w:val="28"/>
        </w:rPr>
      </w:pPr>
    </w:p>
    <w:p w14:paraId="61D6B420" w14:textId="77777777" w:rsidR="009762D5" w:rsidRPr="009762D5" w:rsidRDefault="009762D5" w:rsidP="009762D5">
      <w:pPr>
        <w:jc w:val="both"/>
        <w:rPr>
          <w:b/>
          <w:bCs/>
        </w:rPr>
      </w:pPr>
      <w:r w:rsidRPr="009762D5">
        <w:rPr>
          <w:b/>
          <w:bCs/>
        </w:rPr>
        <w:t>Trouver le juste équilibre dans un milieu de travail hybride</w:t>
      </w:r>
    </w:p>
    <w:p w14:paraId="3532F937" w14:textId="31E9CB6D" w:rsidR="009762D5" w:rsidRDefault="009762D5" w:rsidP="009762D5">
      <w:pPr>
        <w:jc w:val="both"/>
      </w:pPr>
      <w:r>
        <w:t xml:space="preserve">Au cours des dernières semaines, de nombreuses provinces ont assouplies leurs mesures sanitaires, et la présidente du Conseil du Trésor a publié une déclaration sur la mise à jour des directives de santé au travail pour la fonction publique fédérale. Nous vous écrivons aujourd’hui au sujet des répercussions de ces développements à </w:t>
      </w:r>
      <w:r w:rsidR="00874CCF">
        <w:rPr>
          <w:color w:val="000000"/>
        </w:rPr>
        <w:t>[</w:t>
      </w:r>
      <w:r w:rsidR="00874CCF">
        <w:rPr>
          <w:i/>
          <w:color w:val="000000"/>
          <w:highlight w:val="lightGray"/>
        </w:rPr>
        <w:t>nom de l’organisation</w:t>
      </w:r>
      <w:r w:rsidR="00874CCF">
        <w:rPr>
          <w:color w:val="000000"/>
        </w:rPr>
        <w:t xml:space="preserve">] </w:t>
      </w:r>
      <w:r>
        <w:t xml:space="preserve">et de la façon dont nous voyons les choses se dérouler dans les mois à venir. </w:t>
      </w:r>
    </w:p>
    <w:p w14:paraId="3FEC538A" w14:textId="0F724196" w:rsidR="009762D5" w:rsidRDefault="009762D5" w:rsidP="009762D5">
      <w:pPr>
        <w:jc w:val="both"/>
      </w:pPr>
      <w:r>
        <w:t xml:space="preserve">Tout d’abord, nous reconnaissons que nous n'avons aucune idée précise de ce à quoi ressemblera le résultat final de cette démarche. Par conséquent, celle-ci impliquera beaucoup d'apprentissage par la pratique, voire peut-être un peu d'expérimentation. </w:t>
      </w:r>
    </w:p>
    <w:p w14:paraId="08CB0649" w14:textId="3847D8C7" w:rsidR="009762D5" w:rsidRDefault="009762D5" w:rsidP="009762D5">
      <w:pPr>
        <w:jc w:val="both"/>
      </w:pPr>
      <w:r>
        <w:t xml:space="preserve">Par ailleurs, l'un des grands facteurs qui dictera nos modèles de travail sera l'efficience et l'efficacité avec lesquelles nous pourrons nous acquitter de notre mandat. Au cours des 2 dernières années, nous avons démontré clairement que nous pouvons accomplir notre travail même si nous ne sommes pas physiquement ensemble. Pourtant, nous sommes aussi passés à côté d’avantages non quantifiables du travail en personne, comme développer des relations saines et solides et la cohésion des équipes, mettre en commun le savoir et les expériences vécues dans des contextes formels et informels, collaborer et lancer des idées sur les grands défis auxquels fait face notre organisation, ainsi qu’accueillir de nouveaux employés au sein de nos équipes. </w:t>
      </w:r>
    </w:p>
    <w:p w14:paraId="3AC26A72" w14:textId="4F33C169" w:rsidR="009762D5" w:rsidRDefault="009762D5" w:rsidP="009762D5">
      <w:pPr>
        <w:jc w:val="both"/>
      </w:pPr>
      <w:r>
        <w:t xml:space="preserve">Dans cette optique, nous avons l'intention de nous assurer de mettre en place un modèle hybride qui combinera, dans un juste équilibre, le télétravail et une présence pertinente au bureau. Cet équilibre est susceptible de varier d'un groupe à l'autre et d'évoluer au fil du temps, selon la nature des projets ou les cycles de travail. Nous ne voyons pas la nécessité d'exiger à ce stade-ci un nombre arbitraire de jours de présence au bureau par semaine. Il importe toutefois de noter que les gestionnaires commenceront à exiger de plus en plus votre présence en personne à des réunions et à des activités au cours des prochaines semaines. </w:t>
      </w:r>
    </w:p>
    <w:p w14:paraId="27299E5B" w14:textId="3C204479" w:rsidR="009762D5" w:rsidRDefault="009762D5" w:rsidP="009762D5">
      <w:pPr>
        <w:jc w:val="both"/>
      </w:pPr>
      <w:r>
        <w:t xml:space="preserve">Nous pouvons vous assurer qu'il n'y aura pas de changements brusques et que les choses se feront graduellement. Nous nous adapterons selon les leçons que nous apprendrons et les enseignements tirés par les autres organisations qui explorent, elles aussi, différentes possibilités. Comme vous le savez, nous réaménageons actuellement nos lieux de travail et adaptons nos </w:t>
      </w:r>
      <w:r>
        <w:lastRenderedPageBreak/>
        <w:t>pratiques de manière à créer des aires de collaboration communes dans lesquelles nous pouvons tirer parti de la proximité entre collègues et amis. Par exemple, dans la région de la capitale nationale, en plus des sites de cotravail, nous sommes à créer des zones de bureaux que nous appelons des « voisinages ». Celles-ci s'ajouteront aux lieux dans lesquels les employés et les équipes peuvent se rencontrer et collaborer ensemble. Bon nombre d’employés des régions possèdent déjà une bonne expérience des modèles de travail hybrides, et nous espérons en tirer parti dans le futur.</w:t>
      </w:r>
    </w:p>
    <w:p w14:paraId="3BDA36A0" w14:textId="18A4E3B1" w:rsidR="009762D5" w:rsidRDefault="009762D5" w:rsidP="009762D5">
      <w:pPr>
        <w:jc w:val="both"/>
      </w:pPr>
      <w:r>
        <w:t>Nous sommes enthousiastes à l'idée de ce qui nous attend. Nous comptons apprendre au fil du processus, aller de l’avant sur la base des progrès réalisés et continuer de communiquer avec vous.</w:t>
      </w:r>
    </w:p>
    <w:p w14:paraId="60176D1E" w14:textId="038797A6" w:rsidR="00C73F11" w:rsidRDefault="009762D5" w:rsidP="00A64253">
      <w:pPr>
        <w:jc w:val="both"/>
      </w:pPr>
      <w:r>
        <w:t>Nous espérons que vous partagez notre enthousiasme et notre conviction qu’ensemble, nous pouvons bâtir un ministère qui excelle parce que ses employés y sont épanouis.</w:t>
      </w:r>
    </w:p>
    <w:p w14:paraId="03D17C0C" w14:textId="77777777" w:rsidR="005253DA" w:rsidRDefault="005253DA" w:rsidP="00A64253">
      <w:pPr>
        <w:jc w:val="both"/>
        <w:rPr>
          <w:b/>
          <w:color w:val="4CB6A0" w:themeColor="accent2"/>
          <w:sz w:val="28"/>
        </w:rPr>
      </w:pPr>
    </w:p>
    <w:p w14:paraId="382BBE98" w14:textId="233FC28D" w:rsidR="00B73FD1" w:rsidRPr="006B582C" w:rsidRDefault="00B73FD1" w:rsidP="00A64253">
      <w:pPr>
        <w:jc w:val="both"/>
      </w:pPr>
      <w:r w:rsidRPr="00557307">
        <w:rPr>
          <w:b/>
          <w:color w:val="4CB6A0" w:themeColor="accent2"/>
          <w:sz w:val="28"/>
        </w:rPr>
        <w:t>Annexe B :</w:t>
      </w:r>
      <w:r w:rsidRPr="00557307">
        <w:t xml:space="preserve"> </w:t>
      </w:r>
      <w:r w:rsidRPr="00557307">
        <w:rPr>
          <w:b/>
          <w:color w:val="4CB6A0" w:themeColor="accent2"/>
          <w:sz w:val="28"/>
        </w:rPr>
        <w:t xml:space="preserve">Annoncer un sondage </w:t>
      </w:r>
      <w:r w:rsidR="00537674" w:rsidRPr="00557307">
        <w:rPr>
          <w:b/>
          <w:color w:val="4CB6A0" w:themeColor="accent2"/>
          <w:sz w:val="28"/>
        </w:rPr>
        <w:t>afin</w:t>
      </w:r>
      <w:r w:rsidR="00537674">
        <w:rPr>
          <w:b/>
          <w:color w:val="4CB6A0" w:themeColor="accent2"/>
          <w:sz w:val="28"/>
        </w:rPr>
        <w:t xml:space="preserve"> de comprendre les </w:t>
      </w:r>
      <w:r w:rsidR="00CB4E1F">
        <w:rPr>
          <w:b/>
          <w:color w:val="4CB6A0" w:themeColor="accent2"/>
          <w:sz w:val="28"/>
        </w:rPr>
        <w:t>points de vue des employés</w:t>
      </w:r>
    </w:p>
    <w:p w14:paraId="4A0CDA2B" w14:textId="667A21C1" w:rsidR="00066044" w:rsidRDefault="00066044" w:rsidP="0060616D">
      <w:pPr>
        <w:spacing w:after="0" w:line="240" w:lineRule="auto"/>
        <w:jc w:val="both"/>
      </w:pPr>
      <w:r w:rsidRPr="00B96ADE">
        <w:t xml:space="preserve">Voici </w:t>
      </w:r>
      <w:r w:rsidR="00CB4E1F">
        <w:t xml:space="preserve">quelques indications concernant l’annonce d’un sondage pour connaître les points de vue des employé quant à un retour en milieu de travail </w:t>
      </w:r>
      <w:r w:rsidR="005A7BD7">
        <w:t xml:space="preserve"> </w:t>
      </w:r>
      <w:r w:rsidRPr="00B96ADE">
        <w:t>:</w:t>
      </w:r>
    </w:p>
    <w:p w14:paraId="4E157A3F" w14:textId="77777777" w:rsidR="00537674" w:rsidRDefault="00537674" w:rsidP="0060616D">
      <w:pPr>
        <w:spacing w:after="0" w:line="240" w:lineRule="auto"/>
        <w:jc w:val="both"/>
      </w:pPr>
    </w:p>
    <w:p w14:paraId="165A1D63" w14:textId="71EEDA69" w:rsidR="00066044" w:rsidRPr="005A7BD7" w:rsidRDefault="00066044" w:rsidP="0060616D">
      <w:pPr>
        <w:pStyle w:val="ListParagraph"/>
        <w:numPr>
          <w:ilvl w:val="1"/>
          <w:numId w:val="22"/>
        </w:numPr>
        <w:spacing w:after="0" w:line="240" w:lineRule="auto"/>
        <w:contextualSpacing w:val="0"/>
        <w:jc w:val="both"/>
      </w:pPr>
      <w:r w:rsidRPr="00537674">
        <w:rPr>
          <w:b/>
        </w:rPr>
        <w:t xml:space="preserve">Veuillez informer les employés de l’importance de fournir leurs commentaires via le sondage, et </w:t>
      </w:r>
      <w:r w:rsidRPr="00537674">
        <w:rPr>
          <w:b/>
          <w:bCs/>
        </w:rPr>
        <w:t>soulignez le fait qu’il s’agit d</w:t>
      </w:r>
      <w:r w:rsidR="00CB4E1F">
        <w:rPr>
          <w:b/>
          <w:bCs/>
        </w:rPr>
        <w:t>’une occasion importante de faire connaître leurs points de vue quant au retour en milieu de travail</w:t>
      </w:r>
    </w:p>
    <w:p w14:paraId="2AA493FA" w14:textId="77777777" w:rsidR="00537674" w:rsidRDefault="00066044" w:rsidP="0060616D">
      <w:pPr>
        <w:pStyle w:val="ListParagraph"/>
        <w:numPr>
          <w:ilvl w:val="1"/>
          <w:numId w:val="22"/>
        </w:numPr>
        <w:spacing w:after="0" w:line="240" w:lineRule="auto"/>
        <w:contextualSpacing w:val="0"/>
        <w:jc w:val="both"/>
        <w:rPr>
          <w:b/>
          <w:bCs/>
        </w:rPr>
      </w:pPr>
      <w:r w:rsidRPr="00B96ADE">
        <w:rPr>
          <w:b/>
          <w:bCs/>
        </w:rPr>
        <w:t>Il est recommandé d’avertir les employés à savoir quand et comment les résultats leur seront communiqués avant de répondre aux sondages.</w:t>
      </w:r>
    </w:p>
    <w:p w14:paraId="40FD51F7" w14:textId="1D248B34" w:rsidR="00066044" w:rsidRPr="00537674" w:rsidRDefault="00537674" w:rsidP="0060616D">
      <w:pPr>
        <w:pStyle w:val="ListParagraph"/>
        <w:numPr>
          <w:ilvl w:val="1"/>
          <w:numId w:val="22"/>
        </w:numPr>
        <w:spacing w:after="0" w:line="240" w:lineRule="auto"/>
        <w:contextualSpacing w:val="0"/>
        <w:jc w:val="both"/>
        <w:rPr>
          <w:b/>
          <w:bCs/>
        </w:rPr>
      </w:pPr>
      <w:r>
        <w:rPr>
          <w:b/>
          <w:bCs/>
        </w:rPr>
        <w:t xml:space="preserve">Il est important de noter que </w:t>
      </w:r>
      <w:r w:rsidR="00CB33F7">
        <w:rPr>
          <w:b/>
          <w:bCs/>
        </w:rPr>
        <w:t>vous demandez</w:t>
      </w:r>
      <w:r w:rsidR="00066044" w:rsidRPr="00537674">
        <w:rPr>
          <w:b/>
          <w:bCs/>
        </w:rPr>
        <w:t xml:space="preserve"> à tous les employés de répondre sur la base de leur expérience personnelle et </w:t>
      </w:r>
      <w:r w:rsidR="00C73F11">
        <w:rPr>
          <w:b/>
          <w:bCs/>
        </w:rPr>
        <w:t>avec honnêteté</w:t>
      </w:r>
      <w:r w:rsidR="00066044" w:rsidRPr="00537674">
        <w:rPr>
          <w:b/>
          <w:bCs/>
        </w:rPr>
        <w:t xml:space="preserve"> </w:t>
      </w:r>
      <w:r w:rsidR="005A7BD7" w:rsidRPr="00537674">
        <w:rPr>
          <w:rFonts w:cstheme="minorHAnsi"/>
          <w:b/>
          <w:bCs/>
        </w:rPr>
        <w:t>‒</w:t>
      </w:r>
      <w:r w:rsidR="00066044" w:rsidRPr="00537674">
        <w:rPr>
          <w:b/>
          <w:bCs/>
        </w:rPr>
        <w:t xml:space="preserve"> il n’y a pas de mauvaise réponse</w:t>
      </w:r>
      <w:r w:rsidR="00C73F11">
        <w:rPr>
          <w:b/>
          <w:bCs/>
        </w:rPr>
        <w:t xml:space="preserve"> et le sondage est confidentiel.</w:t>
      </w:r>
    </w:p>
    <w:p w14:paraId="07D971A4" w14:textId="77777777" w:rsidR="005A7BD7" w:rsidRDefault="005A7BD7" w:rsidP="0060616D">
      <w:pPr>
        <w:spacing w:after="0" w:line="240" w:lineRule="auto"/>
        <w:jc w:val="both"/>
      </w:pPr>
    </w:p>
    <w:p w14:paraId="66344346" w14:textId="6851ED9F" w:rsidR="005A7BD7" w:rsidRPr="00B96ADE" w:rsidRDefault="005A7BD7" w:rsidP="0060616D">
      <w:pPr>
        <w:spacing w:after="0" w:line="240" w:lineRule="auto"/>
        <w:jc w:val="both"/>
      </w:pPr>
      <w:r w:rsidRPr="00B96ADE">
        <w:t xml:space="preserve">En résumé, le courriel </w:t>
      </w:r>
      <w:r w:rsidR="00537674">
        <w:t xml:space="preserve">annonçant le sondage et demandant la participation des employés </w:t>
      </w:r>
      <w:r w:rsidRPr="00B96ADE">
        <w:t>doit comprendre les éléments suivants :</w:t>
      </w:r>
    </w:p>
    <w:p w14:paraId="3B239CEE" w14:textId="58574E5E" w:rsidR="005A7BD7" w:rsidRPr="00B96ADE" w:rsidRDefault="005A7BD7" w:rsidP="0060616D">
      <w:pPr>
        <w:pStyle w:val="ListParagraph"/>
        <w:numPr>
          <w:ilvl w:val="0"/>
          <w:numId w:val="26"/>
        </w:numPr>
        <w:spacing w:after="0" w:line="240" w:lineRule="auto"/>
        <w:jc w:val="both"/>
      </w:pPr>
      <w:r w:rsidRPr="00557307">
        <w:rPr>
          <w:b/>
          <w:bCs/>
        </w:rPr>
        <w:t>Contexte du sondage</w:t>
      </w:r>
      <w:r w:rsidRPr="00B96ADE">
        <w:t xml:space="preserve"> (recueillir </w:t>
      </w:r>
      <w:r w:rsidR="00CB4E1F">
        <w:t>les points de vue des employés quant au retour en milieu de travail</w:t>
      </w:r>
      <w:r w:rsidRPr="00B96ADE">
        <w:t>)</w:t>
      </w:r>
    </w:p>
    <w:p w14:paraId="497AEDC9" w14:textId="20E6524E" w:rsidR="005A7BD7" w:rsidRDefault="005A7BD7" w:rsidP="0060616D">
      <w:pPr>
        <w:pStyle w:val="ListParagraph"/>
        <w:numPr>
          <w:ilvl w:val="1"/>
          <w:numId w:val="26"/>
        </w:numPr>
        <w:spacing w:after="0" w:line="240" w:lineRule="auto"/>
        <w:jc w:val="both"/>
      </w:pPr>
      <w:r w:rsidRPr="00B96ADE">
        <w:t>Attentes envers les employés concernant le sondage (le taux de participation minimal à atteindre)</w:t>
      </w:r>
    </w:p>
    <w:p w14:paraId="3EF0421E" w14:textId="7013810B" w:rsidR="00537674" w:rsidRPr="00B96ADE" w:rsidRDefault="00537674" w:rsidP="0060616D">
      <w:pPr>
        <w:pStyle w:val="ListParagraph"/>
        <w:numPr>
          <w:ilvl w:val="1"/>
          <w:numId w:val="26"/>
        </w:numPr>
        <w:spacing w:after="0" w:line="240" w:lineRule="auto"/>
        <w:jc w:val="both"/>
      </w:pPr>
      <w:r>
        <w:t>Il est temps pour eux de faire entendre leur voix quant au retour en milieu de travail</w:t>
      </w:r>
    </w:p>
    <w:p w14:paraId="0C011F33" w14:textId="6A79D664" w:rsidR="005A7BD7" w:rsidRPr="00557307" w:rsidRDefault="005A7BD7" w:rsidP="0060616D">
      <w:pPr>
        <w:pStyle w:val="ListParagraph"/>
        <w:numPr>
          <w:ilvl w:val="0"/>
          <w:numId w:val="26"/>
        </w:numPr>
        <w:spacing w:after="0" w:line="240" w:lineRule="auto"/>
        <w:jc w:val="both"/>
        <w:rPr>
          <w:b/>
          <w:bCs/>
        </w:rPr>
      </w:pPr>
      <w:r w:rsidRPr="00557307">
        <w:rPr>
          <w:b/>
          <w:bCs/>
        </w:rPr>
        <w:t>Information sur le sondage</w:t>
      </w:r>
    </w:p>
    <w:p w14:paraId="22169F93" w14:textId="17BDA31A" w:rsidR="005A7BD7" w:rsidRPr="00B96ADE" w:rsidRDefault="005A7BD7" w:rsidP="0060616D">
      <w:pPr>
        <w:pStyle w:val="ListParagraph"/>
        <w:numPr>
          <w:ilvl w:val="1"/>
          <w:numId w:val="26"/>
        </w:numPr>
        <w:spacing w:after="0" w:line="240" w:lineRule="auto"/>
        <w:jc w:val="both"/>
      </w:pPr>
      <w:r w:rsidRPr="00B96ADE">
        <w:t>Date d’envoi du sondage</w:t>
      </w:r>
    </w:p>
    <w:p w14:paraId="58F49F25" w14:textId="7F3F04B1" w:rsidR="005A7BD7" w:rsidRPr="00B96ADE" w:rsidRDefault="005A7BD7" w:rsidP="0060616D">
      <w:pPr>
        <w:pStyle w:val="ListParagraph"/>
        <w:numPr>
          <w:ilvl w:val="1"/>
          <w:numId w:val="26"/>
        </w:numPr>
        <w:spacing w:after="0" w:line="240" w:lineRule="auto"/>
        <w:jc w:val="both"/>
      </w:pPr>
      <w:r w:rsidRPr="00B96ADE">
        <w:t>Durée de la période de collecte de données</w:t>
      </w:r>
    </w:p>
    <w:p w14:paraId="3B8A38FD" w14:textId="4B830B22" w:rsidR="005A7BD7" w:rsidRPr="00B96ADE" w:rsidRDefault="005A7BD7" w:rsidP="0060616D">
      <w:pPr>
        <w:pStyle w:val="ListParagraph"/>
        <w:numPr>
          <w:ilvl w:val="1"/>
          <w:numId w:val="26"/>
        </w:numPr>
        <w:spacing w:after="0" w:line="240" w:lineRule="auto"/>
        <w:jc w:val="both"/>
      </w:pPr>
      <w:r w:rsidRPr="00B96ADE">
        <w:t>Durée approximative pour remplir le sondage</w:t>
      </w:r>
    </w:p>
    <w:p w14:paraId="40B926FD" w14:textId="4067384F" w:rsidR="005A7BD7" w:rsidRPr="00B96ADE" w:rsidRDefault="005A7BD7" w:rsidP="0060616D">
      <w:pPr>
        <w:pStyle w:val="ListParagraph"/>
        <w:numPr>
          <w:ilvl w:val="1"/>
          <w:numId w:val="26"/>
        </w:numPr>
        <w:spacing w:after="0" w:line="240" w:lineRule="auto"/>
        <w:jc w:val="both"/>
      </w:pPr>
      <w:r w:rsidRPr="00B96ADE">
        <w:t>Lien vers le sondage (s’il y a lieu)</w:t>
      </w:r>
    </w:p>
    <w:p w14:paraId="1A199307" w14:textId="7D4EFBAD" w:rsidR="005A7BD7" w:rsidRPr="00557307" w:rsidRDefault="005A7BD7" w:rsidP="0060616D">
      <w:pPr>
        <w:pStyle w:val="ListParagraph"/>
        <w:numPr>
          <w:ilvl w:val="0"/>
          <w:numId w:val="26"/>
        </w:numPr>
        <w:spacing w:after="0" w:line="240" w:lineRule="auto"/>
        <w:jc w:val="both"/>
        <w:rPr>
          <w:b/>
          <w:bCs/>
        </w:rPr>
      </w:pPr>
      <w:r w:rsidRPr="00557307">
        <w:rPr>
          <w:b/>
          <w:bCs/>
        </w:rPr>
        <w:t>Comment les résultats seront utilisés et partagés</w:t>
      </w:r>
    </w:p>
    <w:p w14:paraId="5A1A245E" w14:textId="0CB72C7A" w:rsidR="00537674" w:rsidRDefault="00537674" w:rsidP="0060616D">
      <w:pPr>
        <w:spacing w:after="0" w:line="240" w:lineRule="auto"/>
        <w:jc w:val="both"/>
      </w:pPr>
    </w:p>
    <w:p w14:paraId="6A31F83E" w14:textId="03B7AAAE" w:rsidR="00537674" w:rsidRPr="00B96ADE" w:rsidRDefault="00537674" w:rsidP="0060616D">
      <w:pPr>
        <w:spacing w:after="0" w:line="240" w:lineRule="auto"/>
        <w:jc w:val="both"/>
      </w:pPr>
      <w:r>
        <w:t>À noter que si votre organisation n’a pas eu de communications récurrentes avec les employés concernant un possible retour en milieu de travail</w:t>
      </w:r>
      <w:r w:rsidR="00557307">
        <w:t xml:space="preserve">, </w:t>
      </w:r>
      <w:r>
        <w:t>tout au long de la pandémie</w:t>
      </w:r>
      <w:r w:rsidR="00557307">
        <w:t>, il est d’autant plus important d’inclure un contexte au sondage afin que les employés comprennent bien le but de celui-ci.</w:t>
      </w:r>
    </w:p>
    <w:p w14:paraId="2D66210F" w14:textId="77777777" w:rsidR="007B7797" w:rsidRDefault="007B7797" w:rsidP="0060616D">
      <w:pPr>
        <w:jc w:val="both"/>
        <w:rPr>
          <w:b/>
          <w:color w:val="4CB6A0" w:themeColor="accent2"/>
          <w:sz w:val="28"/>
        </w:rPr>
      </w:pPr>
      <w:r>
        <w:rPr>
          <w:b/>
          <w:color w:val="4CB6A0" w:themeColor="accent2"/>
          <w:sz w:val="28"/>
        </w:rPr>
        <w:br w:type="page"/>
      </w:r>
    </w:p>
    <w:p w14:paraId="0ACE620D" w14:textId="290B49AA" w:rsidR="00964723" w:rsidRDefault="00F64E3C" w:rsidP="0060616D">
      <w:pPr>
        <w:jc w:val="both"/>
        <w:rPr>
          <w:b/>
          <w:color w:val="4CB6A0" w:themeColor="accent2"/>
          <w:sz w:val="28"/>
        </w:rPr>
      </w:pPr>
      <w:r>
        <w:rPr>
          <w:b/>
          <w:color w:val="4CB6A0" w:themeColor="accent2"/>
          <w:sz w:val="28"/>
        </w:rPr>
        <w:lastRenderedPageBreak/>
        <w:t>Référence</w:t>
      </w:r>
      <w:r w:rsidR="007B7797">
        <w:rPr>
          <w:b/>
          <w:color w:val="4CB6A0" w:themeColor="accent2"/>
          <w:sz w:val="28"/>
        </w:rPr>
        <w:t>s</w:t>
      </w:r>
    </w:p>
    <w:p w14:paraId="585560DD" w14:textId="61CE3947" w:rsidR="007B7797" w:rsidRPr="007B7797" w:rsidRDefault="007B7797" w:rsidP="0060616D">
      <w:pPr>
        <w:jc w:val="both"/>
        <w:rPr>
          <w:rStyle w:val="Hyperlink"/>
        </w:rPr>
      </w:pPr>
      <w:r>
        <w:fldChar w:fldCharType="begin"/>
      </w:r>
      <w:r>
        <w:instrText xml:space="preserve"> HYPERLINK "https://gcconnex.gc.ca/file/view/98768256/return-to-the-workplace-employee-experience-fr-retour-en-milieu-de-travail-lexperience-employe-fr?language=fr" </w:instrText>
      </w:r>
      <w:r>
        <w:fldChar w:fldCharType="separate"/>
      </w:r>
      <w:r w:rsidRPr="007B7797">
        <w:rPr>
          <w:rStyle w:val="Hyperlink"/>
        </w:rPr>
        <w:t xml:space="preserve">Retour en milieu de travail - L’expérience employé (PowerPoint) </w:t>
      </w:r>
    </w:p>
    <w:p w14:paraId="19C2EEF6" w14:textId="3F785699" w:rsidR="007B7797" w:rsidRPr="007B7797" w:rsidRDefault="007B7797" w:rsidP="0060616D">
      <w:pPr>
        <w:jc w:val="both"/>
        <w:rPr>
          <w:rStyle w:val="Hyperlink"/>
        </w:rPr>
      </w:pPr>
      <w:r>
        <w:fldChar w:fldCharType="end"/>
      </w:r>
      <w:r>
        <w:fldChar w:fldCharType="begin"/>
      </w:r>
      <w:r>
        <w:instrText xml:space="preserve"> HYPERLINK "https://gcconnex.gc.ca/file/view/89130421/retour-en-milieu-de-travail-guide-dexperience-employe-par-bgis-fr?language=fr" </w:instrText>
      </w:r>
      <w:r>
        <w:fldChar w:fldCharType="separate"/>
      </w:r>
      <w:r w:rsidRPr="007B7797">
        <w:rPr>
          <w:rStyle w:val="Hyperlink"/>
        </w:rPr>
        <w:t>Retour en milieu de travail – Guide d’expérience employé par BGIS (PDF)</w:t>
      </w:r>
    </w:p>
    <w:p w14:paraId="46AC9EA0" w14:textId="4A4A5FF9" w:rsidR="007B7797" w:rsidRPr="007B7797" w:rsidRDefault="007B7797" w:rsidP="0060616D">
      <w:pPr>
        <w:jc w:val="both"/>
        <w:rPr>
          <w:rStyle w:val="Hyperlink"/>
        </w:rPr>
      </w:pPr>
      <w:r>
        <w:fldChar w:fldCharType="end"/>
      </w:r>
      <w:hyperlink r:id="rId12" w:history="1">
        <w:r w:rsidRPr="007B7797">
          <w:rPr>
            <w:rStyle w:val="Hyperlink"/>
          </w:rPr>
          <w:t>Trousse de gestion du changement pour le retour en milieu de travail (ZIP)</w:t>
        </w:r>
      </w:hyperlink>
    </w:p>
    <w:p w14:paraId="674E2D60" w14:textId="4B598CD7" w:rsidR="007B7797" w:rsidRPr="007B7797" w:rsidRDefault="003C5F93" w:rsidP="0060616D">
      <w:pPr>
        <w:pStyle w:val="ListParagraph"/>
        <w:numPr>
          <w:ilvl w:val="0"/>
          <w:numId w:val="26"/>
        </w:numPr>
        <w:jc w:val="both"/>
        <w:rPr>
          <w:rStyle w:val="Hyperlink"/>
        </w:rPr>
      </w:pPr>
      <w:hyperlink r:id="rId13" w:history="1">
        <w:r w:rsidR="007B7797" w:rsidRPr="007B7797">
          <w:rPr>
            <w:rStyle w:val="Hyperlink"/>
          </w:rPr>
          <w:t>Trousse de gestion du changement pour planifier le retour en milieu de travail (PowerPoint)</w:t>
        </w:r>
      </w:hyperlink>
    </w:p>
    <w:p w14:paraId="51FE43F7" w14:textId="194D2294" w:rsidR="007B7797" w:rsidRDefault="003C5F93" w:rsidP="0060616D">
      <w:pPr>
        <w:pStyle w:val="ListParagraph"/>
        <w:numPr>
          <w:ilvl w:val="0"/>
          <w:numId w:val="26"/>
        </w:numPr>
        <w:jc w:val="both"/>
        <w:rPr>
          <w:rStyle w:val="Hyperlink"/>
        </w:rPr>
      </w:pPr>
      <w:hyperlink r:id="rId14" w:history="1">
        <w:r w:rsidR="007B7797" w:rsidRPr="007B7797">
          <w:rPr>
            <w:rStyle w:val="Hyperlink"/>
          </w:rPr>
          <w:t>Plan intégré de GP-GC pour le RMT – Répertoire des changements et évaluation des répercussions (Excel)</w:t>
        </w:r>
      </w:hyperlink>
    </w:p>
    <w:p w14:paraId="3F344821" w14:textId="069F0473" w:rsidR="007B7797" w:rsidRDefault="003C5F93" w:rsidP="0060616D">
      <w:pPr>
        <w:jc w:val="both"/>
        <w:rPr>
          <w:color w:val="0563C1" w:themeColor="hyperlink"/>
          <w:u w:val="single"/>
        </w:rPr>
      </w:pPr>
      <w:hyperlink r:id="rId15" w:history="1">
        <w:r w:rsidR="009B7504" w:rsidRPr="009B7504">
          <w:rPr>
            <w:rStyle w:val="Hyperlink"/>
          </w:rPr>
          <w:t>Guide et pratiques pour un retour sécuritaire sur les lieux de travail compte tenu de l’assouplissement des restrictions</w:t>
        </w:r>
      </w:hyperlink>
    </w:p>
    <w:p w14:paraId="2A914E0D" w14:textId="1E987E84" w:rsidR="007F3FC0" w:rsidRPr="009B7504" w:rsidRDefault="003C5F93" w:rsidP="0060616D">
      <w:pPr>
        <w:jc w:val="both"/>
        <w:rPr>
          <w:rStyle w:val="Hyperlink"/>
          <w:color w:val="auto"/>
          <w:u w:val="none"/>
        </w:rPr>
      </w:pPr>
      <w:hyperlink r:id="rId16" w:history="1">
        <w:r w:rsidR="009B7504" w:rsidRPr="009B7504">
          <w:rPr>
            <w:rStyle w:val="Hyperlink"/>
          </w:rPr>
          <w:t>S’adapter au changement – Fiche sommaire, 9 juin 2020 (PDF)</w:t>
        </w:r>
      </w:hyperlink>
      <w:r w:rsidR="009B7504" w:rsidRPr="009B7504">
        <w:rPr>
          <w:rStyle w:val="Hyperlink"/>
          <w:color w:val="auto"/>
          <w:u w:val="none"/>
        </w:rPr>
        <w:t> : Créée en collaboration avec les membres de la communauté de pratique de la gestion du changement en milieu de travail afin d</w:t>
      </w:r>
      <w:r w:rsidR="009B7504">
        <w:rPr>
          <w:rStyle w:val="Hyperlink"/>
          <w:color w:val="auto"/>
          <w:u w:val="none"/>
        </w:rPr>
        <w:t xml:space="preserve">e récolter </w:t>
      </w:r>
      <w:r w:rsidR="009B7504" w:rsidRPr="009B7504">
        <w:rPr>
          <w:rStyle w:val="Hyperlink"/>
          <w:color w:val="auto"/>
          <w:u w:val="none"/>
        </w:rPr>
        <w:t>une collection de changements en milieu de travail et de l</w:t>
      </w:r>
      <w:r w:rsidR="009B7504">
        <w:rPr>
          <w:rStyle w:val="Hyperlink"/>
          <w:color w:val="auto"/>
          <w:u w:val="none"/>
        </w:rPr>
        <w:t>e</w:t>
      </w:r>
      <w:r w:rsidR="009B7504" w:rsidRPr="009B7504">
        <w:rPr>
          <w:rStyle w:val="Hyperlink"/>
          <w:color w:val="auto"/>
          <w:u w:val="none"/>
        </w:rPr>
        <w:t xml:space="preserve">çons apprises de la situation pandémique actuelle. </w:t>
      </w:r>
    </w:p>
    <w:sectPr w:rsidR="007F3FC0" w:rsidRPr="009B7504" w:rsidSect="00F2096C">
      <w:headerReference w:type="default" r:id="rId17"/>
      <w:footerReference w:type="default" r:id="rId18"/>
      <w:pgSz w:w="12240" w:h="15840"/>
      <w:pgMar w:top="510" w:right="510" w:bottom="510" w:left="51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C56A" w14:textId="77777777" w:rsidR="003C5F93" w:rsidRDefault="003C5F93">
      <w:pPr>
        <w:spacing w:after="0" w:line="240" w:lineRule="auto"/>
      </w:pPr>
      <w:r>
        <w:separator/>
      </w:r>
    </w:p>
  </w:endnote>
  <w:endnote w:type="continuationSeparator" w:id="0">
    <w:p w14:paraId="2CC26A93" w14:textId="77777777" w:rsidR="003C5F93" w:rsidRDefault="003C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5AD1E"/>
      </w:rPr>
      <w:id w:val="-86852927"/>
      <w:docPartObj>
        <w:docPartGallery w:val="Page Numbers (Bottom of Page)"/>
        <w:docPartUnique/>
      </w:docPartObj>
    </w:sdtPr>
    <w:sdtEndPr>
      <w:rPr>
        <w:noProof/>
        <w:color w:val="auto"/>
      </w:rPr>
    </w:sdtEndPr>
    <w:sdtContent>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58192A" w:rsidRPr="004D3336" w14:paraId="74CBFCF1" w14:textId="77777777" w:rsidTr="00483094">
          <w:trPr>
            <w:jc w:val="right"/>
          </w:trPr>
          <w:tc>
            <w:tcPr>
              <w:tcW w:w="10659" w:type="dxa"/>
              <w:tcBorders>
                <w:right w:val="single" w:sz="6" w:space="0" w:color="F5AD1E"/>
              </w:tcBorders>
              <w:vAlign w:val="center"/>
            </w:tcPr>
            <w:p w14:paraId="1D98C06A" w14:textId="00C7EF8C" w:rsidR="0058192A" w:rsidRPr="00483094" w:rsidRDefault="0058192A" w:rsidP="00F34E18">
              <w:pPr>
                <w:pStyle w:val="Header"/>
                <w:rPr>
                  <w:caps/>
                  <w:color w:val="F5AD1E"/>
                </w:rPr>
              </w:pPr>
              <w:r>
                <w:rPr>
                  <w:caps/>
                  <w:color w:val="F5AD1E"/>
                </w:rPr>
                <w:t>Centre d</w:t>
              </w:r>
              <w:r w:rsidR="00264A1B">
                <w:rPr>
                  <w:caps/>
                  <w:color w:val="F5AD1E"/>
                </w:rPr>
                <w:t>’</w:t>
              </w:r>
              <w:r>
                <w:rPr>
                  <w:caps/>
                  <w:color w:val="F5AD1E"/>
                </w:rPr>
                <w:t xml:space="preserve">expertise national de la gestion du changement en milieu de travail – </w:t>
              </w:r>
              <w:r w:rsidR="00F34E18">
                <w:rPr>
                  <w:caps/>
                  <w:color w:val="F5AD1E"/>
                </w:rPr>
                <w:t>JUIN</w:t>
              </w:r>
              <w:r>
                <w:rPr>
                  <w:caps/>
                  <w:color w:val="F5AD1E"/>
                </w:rPr>
                <w:t> 2021</w:t>
              </w:r>
            </w:p>
          </w:tc>
          <w:tc>
            <w:tcPr>
              <w:tcW w:w="561" w:type="dxa"/>
              <w:tcBorders>
                <w:left w:val="single" w:sz="6" w:space="0" w:color="F5AD1E"/>
              </w:tcBorders>
              <w:shd w:val="clear" w:color="auto" w:fill="auto"/>
              <w:vAlign w:val="center"/>
            </w:tcPr>
            <w:p w14:paraId="081A5217" w14:textId="77777777" w:rsidR="0058192A" w:rsidRPr="00483094" w:rsidRDefault="0058192A" w:rsidP="004D3336">
              <w:pPr>
                <w:pStyle w:val="Footer"/>
                <w:tabs>
                  <w:tab w:val="clear" w:pos="4680"/>
                  <w:tab w:val="clear" w:pos="9360"/>
                </w:tabs>
                <w:jc w:val="center"/>
                <w:rPr>
                  <w:color w:val="F5AD1E"/>
                </w:rPr>
              </w:pPr>
              <w:r w:rsidRPr="00483094">
                <w:rPr>
                  <w:color w:val="F5AD1E"/>
                </w:rPr>
                <w:fldChar w:fldCharType="begin"/>
              </w:r>
              <w:r w:rsidRPr="00483094">
                <w:rPr>
                  <w:color w:val="F5AD1E"/>
                </w:rPr>
                <w:instrText xml:space="preserve"> PAGE   \* MERGEFORMAT </w:instrText>
              </w:r>
              <w:r w:rsidRPr="00483094">
                <w:rPr>
                  <w:color w:val="F5AD1E"/>
                </w:rPr>
                <w:fldChar w:fldCharType="separate"/>
              </w:r>
              <w:r w:rsidR="00A239B2">
                <w:rPr>
                  <w:noProof/>
                  <w:color w:val="F5AD1E"/>
                </w:rPr>
                <w:t>1</w:t>
              </w:r>
              <w:r w:rsidRPr="00483094">
                <w:rPr>
                  <w:color w:val="F5AD1E"/>
                </w:rPr>
                <w:fldChar w:fldCharType="end"/>
              </w:r>
            </w:p>
          </w:tc>
        </w:tr>
      </w:tbl>
      <w:p w14:paraId="600956A7" w14:textId="6B48B4B7" w:rsidR="0058192A" w:rsidRDefault="003C5F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D820" w14:textId="77777777" w:rsidR="003C5F93" w:rsidRDefault="003C5F93">
      <w:pPr>
        <w:spacing w:after="0" w:line="240" w:lineRule="auto"/>
      </w:pPr>
      <w:r>
        <w:separator/>
      </w:r>
    </w:p>
  </w:footnote>
  <w:footnote w:type="continuationSeparator" w:id="0">
    <w:p w14:paraId="4452B3A3" w14:textId="77777777" w:rsidR="003C5F93" w:rsidRDefault="003C5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52E" w14:textId="15862C3D" w:rsidR="0058192A" w:rsidRDefault="0058192A">
    <w:pPr>
      <w:pStyle w:val="Header"/>
    </w:pPr>
    <w:r>
      <w:rPr>
        <w:rFonts w:ascii="Arial" w:hAnsi="Arial"/>
        <w:noProof/>
        <w:color w:val="0070C0"/>
        <w:sz w:val="28"/>
        <w:szCs w:val="24"/>
        <w:lang w:val="en-CA" w:eastAsia="en-CA"/>
      </w:rPr>
      <w:drawing>
        <wp:inline distT="0" distB="0" distL="0" distR="0" wp14:anchorId="575BED8F" wp14:editId="17FE6423">
          <wp:extent cx="7172077" cy="765810"/>
          <wp:effectExtent l="0" t="0" r="0" b="0"/>
          <wp:docPr id="18" name="Picture 1" descr="Banniere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kovi\AppData\Local\Microsoft\Windows\INetCache\Content.Word\Change Management Banner - Englis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5445" cy="789660"/>
                  </a:xfrm>
                  <a:prstGeom prst="rect">
                    <a:avLst/>
                  </a:prstGeom>
                  <a:noFill/>
                  <a:ln>
                    <a:noFill/>
                  </a:ln>
                </pic:spPr>
              </pic:pic>
            </a:graphicData>
          </a:graphic>
        </wp:inline>
      </w:drawing>
    </w:r>
  </w:p>
  <w:p w14:paraId="04C628D0" w14:textId="77777777" w:rsidR="0058192A" w:rsidRDefault="0058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3in;height:3in" o:bullet="t"/>
    </w:pict>
  </w:numPicBullet>
  <w:numPicBullet w:numPicBulletId="1">
    <w:pict>
      <v:shape id="_x0000_i1236" type="#_x0000_t75" style="width:3in;height:3in" o:bullet="t"/>
    </w:pict>
  </w:numPicBullet>
  <w:numPicBullet w:numPicBulletId="2">
    <w:pict>
      <v:shape id="_x0000_i1237" type="#_x0000_t75" style="width:3in;height:3in" o:bullet="t"/>
    </w:pict>
  </w:numPicBullet>
  <w:numPicBullet w:numPicBulletId="3">
    <w:pict>
      <v:shape id="_x0000_i1238" type="#_x0000_t75" style="width:3in;height:3in" o:bullet="t"/>
    </w:pict>
  </w:numPicBullet>
  <w:abstractNum w:abstractNumId="0" w15:restartNumberingAfterBreak="0">
    <w:nsid w:val="042240EC"/>
    <w:multiLevelType w:val="multilevel"/>
    <w:tmpl w:val="CE8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2BDC"/>
    <w:multiLevelType w:val="hybridMultilevel"/>
    <w:tmpl w:val="830CD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91C9F"/>
    <w:multiLevelType w:val="hybridMultilevel"/>
    <w:tmpl w:val="64349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6617D1"/>
    <w:multiLevelType w:val="hybridMultilevel"/>
    <w:tmpl w:val="B0CAC1FA"/>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Times New Roman"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cs="Times New Roman"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cs="Times New Roman" w:hint="default"/>
      </w:rPr>
    </w:lvl>
    <w:lvl w:ilvl="8" w:tplc="10090005">
      <w:start w:val="1"/>
      <w:numFmt w:val="bullet"/>
      <w:lvlText w:val=""/>
      <w:lvlJc w:val="left"/>
      <w:pPr>
        <w:ind w:left="7260" w:hanging="360"/>
      </w:pPr>
      <w:rPr>
        <w:rFonts w:ascii="Wingdings" w:hAnsi="Wingdings" w:hint="default"/>
      </w:rPr>
    </w:lvl>
  </w:abstractNum>
  <w:abstractNum w:abstractNumId="4" w15:restartNumberingAfterBreak="0">
    <w:nsid w:val="0BBB297D"/>
    <w:multiLevelType w:val="hybridMultilevel"/>
    <w:tmpl w:val="A5CE48DA"/>
    <w:lvl w:ilvl="0" w:tplc="10090001">
      <w:start w:val="1"/>
      <w:numFmt w:val="bullet"/>
      <w:lvlText w:val=""/>
      <w:lvlJc w:val="left"/>
      <w:pPr>
        <w:ind w:left="720" w:hanging="360"/>
      </w:pPr>
      <w:rPr>
        <w:rFonts w:ascii="Symbol" w:hAnsi="Symbol" w:hint="default"/>
      </w:rPr>
    </w:lvl>
    <w:lvl w:ilvl="1" w:tplc="475AD93C">
      <w:start w:val="1"/>
      <w:numFmt w:val="decimal"/>
      <w:lvlText w:val="%2."/>
      <w:lvlJc w:val="left"/>
      <w:pPr>
        <w:ind w:left="1440" w:hanging="360"/>
      </w:pPr>
      <w:rPr>
        <w:rFonts w:hint="default"/>
        <w:b w:val="0"/>
        <w:bCs w:val="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C484D49"/>
    <w:multiLevelType w:val="hybridMultilevel"/>
    <w:tmpl w:val="7F22A5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D924458"/>
    <w:multiLevelType w:val="hybridMultilevel"/>
    <w:tmpl w:val="739A5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15:restartNumberingAfterBreak="0">
    <w:nsid w:val="102C24B9"/>
    <w:multiLevelType w:val="hybridMultilevel"/>
    <w:tmpl w:val="8EB07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91291E"/>
    <w:multiLevelType w:val="hybridMultilevel"/>
    <w:tmpl w:val="3DF8E65C"/>
    <w:lvl w:ilvl="0" w:tplc="DA6E5EE6">
      <w:start w:val="1"/>
      <w:numFmt w:val="bullet"/>
      <w:lvlText w:val="A"/>
      <w:lvlJc w:val="left"/>
      <w:pPr>
        <w:ind w:left="764"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785C4A"/>
    <w:multiLevelType w:val="hybridMultilevel"/>
    <w:tmpl w:val="BA060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800CDC"/>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96392"/>
    <w:multiLevelType w:val="hybridMultilevel"/>
    <w:tmpl w:val="66E6EAC2"/>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Times New Roman" w:hint="default"/>
      </w:rPr>
    </w:lvl>
    <w:lvl w:ilvl="2" w:tplc="10090005">
      <w:start w:val="1"/>
      <w:numFmt w:val="bullet"/>
      <w:lvlText w:val=""/>
      <w:lvlJc w:val="left"/>
      <w:pPr>
        <w:ind w:left="2874" w:hanging="360"/>
      </w:pPr>
      <w:rPr>
        <w:rFonts w:ascii="Wingdings" w:hAnsi="Wingdings" w:hint="default"/>
      </w:rPr>
    </w:lvl>
    <w:lvl w:ilvl="3" w:tplc="10090001">
      <w:start w:val="1"/>
      <w:numFmt w:val="bullet"/>
      <w:lvlText w:val=""/>
      <w:lvlJc w:val="left"/>
      <w:pPr>
        <w:ind w:left="3594" w:hanging="360"/>
      </w:pPr>
      <w:rPr>
        <w:rFonts w:ascii="Symbol" w:hAnsi="Symbol" w:hint="default"/>
      </w:rPr>
    </w:lvl>
    <w:lvl w:ilvl="4" w:tplc="10090003">
      <w:start w:val="1"/>
      <w:numFmt w:val="bullet"/>
      <w:lvlText w:val="o"/>
      <w:lvlJc w:val="left"/>
      <w:pPr>
        <w:ind w:left="4314" w:hanging="360"/>
      </w:pPr>
      <w:rPr>
        <w:rFonts w:ascii="Courier New" w:hAnsi="Courier New" w:cs="Times New Roman" w:hint="default"/>
      </w:rPr>
    </w:lvl>
    <w:lvl w:ilvl="5" w:tplc="10090005">
      <w:start w:val="1"/>
      <w:numFmt w:val="bullet"/>
      <w:lvlText w:val=""/>
      <w:lvlJc w:val="left"/>
      <w:pPr>
        <w:ind w:left="5034" w:hanging="360"/>
      </w:pPr>
      <w:rPr>
        <w:rFonts w:ascii="Wingdings" w:hAnsi="Wingdings" w:hint="default"/>
      </w:rPr>
    </w:lvl>
    <w:lvl w:ilvl="6" w:tplc="10090001">
      <w:start w:val="1"/>
      <w:numFmt w:val="bullet"/>
      <w:lvlText w:val=""/>
      <w:lvlJc w:val="left"/>
      <w:pPr>
        <w:ind w:left="5754" w:hanging="360"/>
      </w:pPr>
      <w:rPr>
        <w:rFonts w:ascii="Symbol" w:hAnsi="Symbol" w:hint="default"/>
      </w:rPr>
    </w:lvl>
    <w:lvl w:ilvl="7" w:tplc="10090003">
      <w:start w:val="1"/>
      <w:numFmt w:val="bullet"/>
      <w:lvlText w:val="o"/>
      <w:lvlJc w:val="left"/>
      <w:pPr>
        <w:ind w:left="6474" w:hanging="360"/>
      </w:pPr>
      <w:rPr>
        <w:rFonts w:ascii="Courier New" w:hAnsi="Courier New" w:cs="Times New Roman" w:hint="default"/>
      </w:rPr>
    </w:lvl>
    <w:lvl w:ilvl="8" w:tplc="10090005">
      <w:start w:val="1"/>
      <w:numFmt w:val="bullet"/>
      <w:lvlText w:val=""/>
      <w:lvlJc w:val="left"/>
      <w:pPr>
        <w:ind w:left="7194" w:hanging="360"/>
      </w:pPr>
      <w:rPr>
        <w:rFonts w:ascii="Wingdings" w:hAnsi="Wingdings" w:hint="default"/>
      </w:rPr>
    </w:lvl>
  </w:abstractNum>
  <w:abstractNum w:abstractNumId="12" w15:restartNumberingAfterBreak="0">
    <w:nsid w:val="30E3302D"/>
    <w:multiLevelType w:val="hybridMultilevel"/>
    <w:tmpl w:val="A3DA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573EEC"/>
    <w:multiLevelType w:val="multilevel"/>
    <w:tmpl w:val="2F2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92273"/>
    <w:multiLevelType w:val="hybridMultilevel"/>
    <w:tmpl w:val="89F2A50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5" w15:restartNumberingAfterBreak="0">
    <w:nsid w:val="3B350F84"/>
    <w:multiLevelType w:val="hybridMultilevel"/>
    <w:tmpl w:val="B59E2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D0564B"/>
    <w:multiLevelType w:val="hybridMultilevel"/>
    <w:tmpl w:val="9AC89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0822D9"/>
    <w:multiLevelType w:val="hybridMultilevel"/>
    <w:tmpl w:val="26BEB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8404D8"/>
    <w:multiLevelType w:val="multilevel"/>
    <w:tmpl w:val="EA6CE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C829C3"/>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D50748"/>
    <w:multiLevelType w:val="multilevel"/>
    <w:tmpl w:val="16A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322A0"/>
    <w:multiLevelType w:val="hybridMultilevel"/>
    <w:tmpl w:val="FC18EA12"/>
    <w:lvl w:ilvl="0" w:tplc="1009000F">
      <w:start w:val="1"/>
      <w:numFmt w:val="decimal"/>
      <w:lvlText w:val="%1."/>
      <w:lvlJc w:val="left"/>
      <w:pPr>
        <w:ind w:left="720" w:hanging="360"/>
      </w:pPr>
    </w:lvl>
    <w:lvl w:ilvl="1" w:tplc="C2FE180C">
      <w:numFmt w:val="bullet"/>
      <w:lvlText w:val="-"/>
      <w:lvlJc w:val="left"/>
      <w:pPr>
        <w:ind w:left="1440" w:hanging="360"/>
      </w:pPr>
      <w:rPr>
        <w:rFonts w:ascii="Calibri" w:eastAsiaTheme="minorHAnsi" w:hAnsi="Calibri" w:cs="Calibri" w:hint="default"/>
      </w:rPr>
    </w:lvl>
    <w:lvl w:ilvl="2" w:tplc="FD3CB132">
      <w:numFmt w:val="bullet"/>
      <w:lvlText w:val=""/>
      <w:lvlJc w:val="left"/>
      <w:pPr>
        <w:ind w:left="2340" w:hanging="360"/>
      </w:pPr>
      <w:rPr>
        <w:rFonts w:ascii="Symbol" w:eastAsiaTheme="minorHAnsi" w:hAnsi="Symbol" w:cstheme="minorBidi" w:hint="default"/>
      </w:rPr>
    </w:lvl>
    <w:lvl w:ilvl="3" w:tplc="59128300">
      <w:numFmt w:val="bullet"/>
      <w:lvlText w:val="•"/>
      <w:lvlJc w:val="left"/>
      <w:pPr>
        <w:ind w:left="3240" w:hanging="72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CF1CAA"/>
    <w:multiLevelType w:val="hybridMultilevel"/>
    <w:tmpl w:val="86BEB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E249C2"/>
    <w:multiLevelType w:val="multilevel"/>
    <w:tmpl w:val="AAEE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275803"/>
    <w:multiLevelType w:val="multilevel"/>
    <w:tmpl w:val="57B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3"/>
  </w:num>
  <w:num w:numId="4">
    <w:abstractNumId w:val="11"/>
  </w:num>
  <w:num w:numId="5">
    <w:abstractNumId w:val="13"/>
  </w:num>
  <w:num w:numId="6">
    <w:abstractNumId w:val="0"/>
  </w:num>
  <w:num w:numId="7">
    <w:abstractNumId w:val="25"/>
  </w:num>
  <w:num w:numId="8">
    <w:abstractNumId w:val="20"/>
  </w:num>
  <w:num w:numId="9">
    <w:abstractNumId w:val="6"/>
  </w:num>
  <w:num w:numId="10">
    <w:abstractNumId w:val="23"/>
  </w:num>
  <w:num w:numId="11">
    <w:abstractNumId w:val="22"/>
  </w:num>
  <w:num w:numId="12">
    <w:abstractNumId w:val="8"/>
  </w:num>
  <w:num w:numId="13">
    <w:abstractNumId w:val="19"/>
  </w:num>
  <w:num w:numId="14">
    <w:abstractNumId w:val="21"/>
  </w:num>
  <w:num w:numId="15">
    <w:abstractNumId w:val="18"/>
  </w:num>
  <w:num w:numId="16">
    <w:abstractNumId w:val="10"/>
  </w:num>
  <w:num w:numId="17">
    <w:abstractNumId w:val="24"/>
  </w:num>
  <w:num w:numId="18">
    <w:abstractNumId w:val="7"/>
  </w:num>
  <w:num w:numId="19">
    <w:abstractNumId w:val="9"/>
  </w:num>
  <w:num w:numId="20">
    <w:abstractNumId w:val="2"/>
  </w:num>
  <w:num w:numId="21">
    <w:abstractNumId w:val="5"/>
  </w:num>
  <w:num w:numId="22">
    <w:abstractNumId w:val="4"/>
  </w:num>
  <w:num w:numId="23">
    <w:abstractNumId w:val="1"/>
  </w:num>
  <w:num w:numId="24">
    <w:abstractNumId w:val="16"/>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264F6"/>
    <w:rsid w:val="0002727C"/>
    <w:rsid w:val="00027A15"/>
    <w:rsid w:val="00031C69"/>
    <w:rsid w:val="0003215B"/>
    <w:rsid w:val="00043AC8"/>
    <w:rsid w:val="00043D66"/>
    <w:rsid w:val="00046D91"/>
    <w:rsid w:val="00047CBB"/>
    <w:rsid w:val="00066044"/>
    <w:rsid w:val="00083447"/>
    <w:rsid w:val="00086690"/>
    <w:rsid w:val="00094C64"/>
    <w:rsid w:val="000A2775"/>
    <w:rsid w:val="000B1039"/>
    <w:rsid w:val="000C2575"/>
    <w:rsid w:val="000C6560"/>
    <w:rsid w:val="000C70B5"/>
    <w:rsid w:val="000D239D"/>
    <w:rsid w:val="000D49FA"/>
    <w:rsid w:val="000D623F"/>
    <w:rsid w:val="000D62B5"/>
    <w:rsid w:val="000D66A4"/>
    <w:rsid w:val="000F075A"/>
    <w:rsid w:val="000F485D"/>
    <w:rsid w:val="000F56FE"/>
    <w:rsid w:val="000F6974"/>
    <w:rsid w:val="0010225B"/>
    <w:rsid w:val="00104EDD"/>
    <w:rsid w:val="00106C37"/>
    <w:rsid w:val="00114B38"/>
    <w:rsid w:val="001165D4"/>
    <w:rsid w:val="00130A86"/>
    <w:rsid w:val="0013126E"/>
    <w:rsid w:val="00133334"/>
    <w:rsid w:val="001376FB"/>
    <w:rsid w:val="001628A2"/>
    <w:rsid w:val="00163027"/>
    <w:rsid w:val="0017035C"/>
    <w:rsid w:val="001748D8"/>
    <w:rsid w:val="001772B7"/>
    <w:rsid w:val="00180055"/>
    <w:rsid w:val="00187336"/>
    <w:rsid w:val="001A2385"/>
    <w:rsid w:val="001A2945"/>
    <w:rsid w:val="001B2229"/>
    <w:rsid w:val="001B2AF4"/>
    <w:rsid w:val="001B66A7"/>
    <w:rsid w:val="001B6C7B"/>
    <w:rsid w:val="001C6562"/>
    <w:rsid w:val="001D1A90"/>
    <w:rsid w:val="001D3AE6"/>
    <w:rsid w:val="001D52D0"/>
    <w:rsid w:val="001D5EFE"/>
    <w:rsid w:val="001E50BF"/>
    <w:rsid w:val="001E7561"/>
    <w:rsid w:val="00204B32"/>
    <w:rsid w:val="00216DD0"/>
    <w:rsid w:val="00220DDE"/>
    <w:rsid w:val="00222B72"/>
    <w:rsid w:val="00223BBA"/>
    <w:rsid w:val="00224DC6"/>
    <w:rsid w:val="00227F0A"/>
    <w:rsid w:val="002335CC"/>
    <w:rsid w:val="00233881"/>
    <w:rsid w:val="0024114E"/>
    <w:rsid w:val="00244952"/>
    <w:rsid w:val="00252DEF"/>
    <w:rsid w:val="00264A1B"/>
    <w:rsid w:val="00264CC0"/>
    <w:rsid w:val="00265AA4"/>
    <w:rsid w:val="002705E9"/>
    <w:rsid w:val="00271A9A"/>
    <w:rsid w:val="00274A40"/>
    <w:rsid w:val="0027730D"/>
    <w:rsid w:val="00281398"/>
    <w:rsid w:val="00283EF7"/>
    <w:rsid w:val="00285D9E"/>
    <w:rsid w:val="0028778F"/>
    <w:rsid w:val="0029390E"/>
    <w:rsid w:val="0029392A"/>
    <w:rsid w:val="00296AE6"/>
    <w:rsid w:val="002A709C"/>
    <w:rsid w:val="002B52D6"/>
    <w:rsid w:val="002C2F2B"/>
    <w:rsid w:val="002C4B78"/>
    <w:rsid w:val="002E32CA"/>
    <w:rsid w:val="002E6584"/>
    <w:rsid w:val="003023F9"/>
    <w:rsid w:val="00303C97"/>
    <w:rsid w:val="00304766"/>
    <w:rsid w:val="003052B7"/>
    <w:rsid w:val="00305A9D"/>
    <w:rsid w:val="003060C2"/>
    <w:rsid w:val="003060CF"/>
    <w:rsid w:val="003074D9"/>
    <w:rsid w:val="00314EE1"/>
    <w:rsid w:val="00320201"/>
    <w:rsid w:val="00321CF0"/>
    <w:rsid w:val="00323AE7"/>
    <w:rsid w:val="00326B2E"/>
    <w:rsid w:val="00327553"/>
    <w:rsid w:val="003353F0"/>
    <w:rsid w:val="00337A9A"/>
    <w:rsid w:val="003432BE"/>
    <w:rsid w:val="00345550"/>
    <w:rsid w:val="00350625"/>
    <w:rsid w:val="003578DC"/>
    <w:rsid w:val="003657E5"/>
    <w:rsid w:val="00372105"/>
    <w:rsid w:val="00383B95"/>
    <w:rsid w:val="00384DB9"/>
    <w:rsid w:val="003913C9"/>
    <w:rsid w:val="003A1B36"/>
    <w:rsid w:val="003A4238"/>
    <w:rsid w:val="003A5064"/>
    <w:rsid w:val="003A7126"/>
    <w:rsid w:val="003B06CA"/>
    <w:rsid w:val="003B13EE"/>
    <w:rsid w:val="003B1B06"/>
    <w:rsid w:val="003C5F93"/>
    <w:rsid w:val="003D353F"/>
    <w:rsid w:val="003E5EF3"/>
    <w:rsid w:val="003E695B"/>
    <w:rsid w:val="003F46FC"/>
    <w:rsid w:val="003F4B30"/>
    <w:rsid w:val="003F5858"/>
    <w:rsid w:val="004148D2"/>
    <w:rsid w:val="00434404"/>
    <w:rsid w:val="00445E98"/>
    <w:rsid w:val="00447F2F"/>
    <w:rsid w:val="0045007F"/>
    <w:rsid w:val="00450CCC"/>
    <w:rsid w:val="00450EC7"/>
    <w:rsid w:val="00451A6D"/>
    <w:rsid w:val="004534C8"/>
    <w:rsid w:val="00453F4A"/>
    <w:rsid w:val="00463E73"/>
    <w:rsid w:val="00464AF5"/>
    <w:rsid w:val="004757A5"/>
    <w:rsid w:val="00483094"/>
    <w:rsid w:val="00484028"/>
    <w:rsid w:val="00484F9B"/>
    <w:rsid w:val="00490F46"/>
    <w:rsid w:val="00492509"/>
    <w:rsid w:val="00492963"/>
    <w:rsid w:val="004A0EF7"/>
    <w:rsid w:val="004A2167"/>
    <w:rsid w:val="004A2B15"/>
    <w:rsid w:val="004A2D01"/>
    <w:rsid w:val="004A375D"/>
    <w:rsid w:val="004A4853"/>
    <w:rsid w:val="004A63AF"/>
    <w:rsid w:val="004B0591"/>
    <w:rsid w:val="004B3CB1"/>
    <w:rsid w:val="004B766F"/>
    <w:rsid w:val="004C1CD3"/>
    <w:rsid w:val="004D0AB2"/>
    <w:rsid w:val="004D3336"/>
    <w:rsid w:val="004D33B0"/>
    <w:rsid w:val="004E19E6"/>
    <w:rsid w:val="004E19FC"/>
    <w:rsid w:val="004E6B70"/>
    <w:rsid w:val="004E748C"/>
    <w:rsid w:val="004E7DBC"/>
    <w:rsid w:val="004F145F"/>
    <w:rsid w:val="004F2360"/>
    <w:rsid w:val="004F4CE9"/>
    <w:rsid w:val="004F4D58"/>
    <w:rsid w:val="00505E4D"/>
    <w:rsid w:val="00507D60"/>
    <w:rsid w:val="00515D37"/>
    <w:rsid w:val="005204BA"/>
    <w:rsid w:val="00521318"/>
    <w:rsid w:val="00522CE3"/>
    <w:rsid w:val="005253DA"/>
    <w:rsid w:val="00531352"/>
    <w:rsid w:val="00537674"/>
    <w:rsid w:val="00545661"/>
    <w:rsid w:val="005553AC"/>
    <w:rsid w:val="00555BF2"/>
    <w:rsid w:val="00557307"/>
    <w:rsid w:val="00563110"/>
    <w:rsid w:val="00564A8E"/>
    <w:rsid w:val="0056555C"/>
    <w:rsid w:val="00571692"/>
    <w:rsid w:val="0058192A"/>
    <w:rsid w:val="0058552A"/>
    <w:rsid w:val="00587890"/>
    <w:rsid w:val="00592856"/>
    <w:rsid w:val="00593A2E"/>
    <w:rsid w:val="00595D2B"/>
    <w:rsid w:val="005A7BD7"/>
    <w:rsid w:val="005B61BC"/>
    <w:rsid w:val="005C0DDA"/>
    <w:rsid w:val="005C69A4"/>
    <w:rsid w:val="005C710B"/>
    <w:rsid w:val="005D2FBA"/>
    <w:rsid w:val="005E22DD"/>
    <w:rsid w:val="005E47E5"/>
    <w:rsid w:val="005E67D4"/>
    <w:rsid w:val="005E707E"/>
    <w:rsid w:val="005F0B19"/>
    <w:rsid w:val="005F259F"/>
    <w:rsid w:val="0060616D"/>
    <w:rsid w:val="00607262"/>
    <w:rsid w:val="00620B39"/>
    <w:rsid w:val="00635731"/>
    <w:rsid w:val="00646C8B"/>
    <w:rsid w:val="0066791D"/>
    <w:rsid w:val="00671834"/>
    <w:rsid w:val="006725A9"/>
    <w:rsid w:val="00672723"/>
    <w:rsid w:val="00674481"/>
    <w:rsid w:val="00674926"/>
    <w:rsid w:val="00680908"/>
    <w:rsid w:val="006834A4"/>
    <w:rsid w:val="006A171C"/>
    <w:rsid w:val="006A5B5A"/>
    <w:rsid w:val="006B33DB"/>
    <w:rsid w:val="006B3460"/>
    <w:rsid w:val="006B582C"/>
    <w:rsid w:val="006C0D78"/>
    <w:rsid w:val="006C2851"/>
    <w:rsid w:val="006D0581"/>
    <w:rsid w:val="006D1AED"/>
    <w:rsid w:val="006E438E"/>
    <w:rsid w:val="007041A1"/>
    <w:rsid w:val="007047E3"/>
    <w:rsid w:val="00714095"/>
    <w:rsid w:val="00716DD6"/>
    <w:rsid w:val="0072234A"/>
    <w:rsid w:val="007224D7"/>
    <w:rsid w:val="007238A9"/>
    <w:rsid w:val="007264A4"/>
    <w:rsid w:val="00730EC5"/>
    <w:rsid w:val="00735B3D"/>
    <w:rsid w:val="007409A9"/>
    <w:rsid w:val="007424B7"/>
    <w:rsid w:val="00742A5B"/>
    <w:rsid w:val="007545CA"/>
    <w:rsid w:val="00755796"/>
    <w:rsid w:val="00757548"/>
    <w:rsid w:val="00761125"/>
    <w:rsid w:val="00762A1D"/>
    <w:rsid w:val="007670C9"/>
    <w:rsid w:val="00776DE5"/>
    <w:rsid w:val="00791E3A"/>
    <w:rsid w:val="007A48D0"/>
    <w:rsid w:val="007A7AD6"/>
    <w:rsid w:val="007B38A8"/>
    <w:rsid w:val="007B7797"/>
    <w:rsid w:val="007C3A10"/>
    <w:rsid w:val="007C3A58"/>
    <w:rsid w:val="007C764B"/>
    <w:rsid w:val="007C7BEB"/>
    <w:rsid w:val="007D43F6"/>
    <w:rsid w:val="007D5497"/>
    <w:rsid w:val="007D59E2"/>
    <w:rsid w:val="007D5D99"/>
    <w:rsid w:val="007E1437"/>
    <w:rsid w:val="007F02CA"/>
    <w:rsid w:val="007F02EF"/>
    <w:rsid w:val="007F12F6"/>
    <w:rsid w:val="007F3FC0"/>
    <w:rsid w:val="007F48AC"/>
    <w:rsid w:val="007F6DE9"/>
    <w:rsid w:val="0080161D"/>
    <w:rsid w:val="008051CA"/>
    <w:rsid w:val="008336F9"/>
    <w:rsid w:val="00846E70"/>
    <w:rsid w:val="008718D2"/>
    <w:rsid w:val="00874CCF"/>
    <w:rsid w:val="00876C42"/>
    <w:rsid w:val="00884BF1"/>
    <w:rsid w:val="00885F46"/>
    <w:rsid w:val="00886FE2"/>
    <w:rsid w:val="008913A6"/>
    <w:rsid w:val="00893E42"/>
    <w:rsid w:val="008970CA"/>
    <w:rsid w:val="00897855"/>
    <w:rsid w:val="008A256B"/>
    <w:rsid w:val="008A286E"/>
    <w:rsid w:val="008A2D7C"/>
    <w:rsid w:val="008A4AB8"/>
    <w:rsid w:val="008B00EF"/>
    <w:rsid w:val="008B1C54"/>
    <w:rsid w:val="008B1FCF"/>
    <w:rsid w:val="008D596A"/>
    <w:rsid w:val="008E5055"/>
    <w:rsid w:val="008F0849"/>
    <w:rsid w:val="008F3705"/>
    <w:rsid w:val="00912E2E"/>
    <w:rsid w:val="00925332"/>
    <w:rsid w:val="00926441"/>
    <w:rsid w:val="00927CFF"/>
    <w:rsid w:val="0093425E"/>
    <w:rsid w:val="009349E0"/>
    <w:rsid w:val="00945984"/>
    <w:rsid w:val="00946882"/>
    <w:rsid w:val="00953EB9"/>
    <w:rsid w:val="009567CD"/>
    <w:rsid w:val="00962464"/>
    <w:rsid w:val="00964723"/>
    <w:rsid w:val="00965189"/>
    <w:rsid w:val="00966591"/>
    <w:rsid w:val="00970EB8"/>
    <w:rsid w:val="009762D5"/>
    <w:rsid w:val="0098362A"/>
    <w:rsid w:val="00986C49"/>
    <w:rsid w:val="00987F50"/>
    <w:rsid w:val="009916FD"/>
    <w:rsid w:val="0099270E"/>
    <w:rsid w:val="009A25FD"/>
    <w:rsid w:val="009A33D1"/>
    <w:rsid w:val="009A6A8A"/>
    <w:rsid w:val="009B152C"/>
    <w:rsid w:val="009B189E"/>
    <w:rsid w:val="009B2A27"/>
    <w:rsid w:val="009B7504"/>
    <w:rsid w:val="009C5F17"/>
    <w:rsid w:val="009D2906"/>
    <w:rsid w:val="009E19B9"/>
    <w:rsid w:val="009E28D3"/>
    <w:rsid w:val="009F04DB"/>
    <w:rsid w:val="009F3919"/>
    <w:rsid w:val="009F730A"/>
    <w:rsid w:val="00A03455"/>
    <w:rsid w:val="00A04070"/>
    <w:rsid w:val="00A05394"/>
    <w:rsid w:val="00A11259"/>
    <w:rsid w:val="00A129E1"/>
    <w:rsid w:val="00A15BB4"/>
    <w:rsid w:val="00A21A20"/>
    <w:rsid w:val="00A239B2"/>
    <w:rsid w:val="00A363CC"/>
    <w:rsid w:val="00A36B25"/>
    <w:rsid w:val="00A37746"/>
    <w:rsid w:val="00A407CD"/>
    <w:rsid w:val="00A4478D"/>
    <w:rsid w:val="00A50C6C"/>
    <w:rsid w:val="00A64253"/>
    <w:rsid w:val="00A65B2A"/>
    <w:rsid w:val="00A66BD1"/>
    <w:rsid w:val="00A8590C"/>
    <w:rsid w:val="00A87B3B"/>
    <w:rsid w:val="00A977BC"/>
    <w:rsid w:val="00AA3354"/>
    <w:rsid w:val="00AA3769"/>
    <w:rsid w:val="00AA5771"/>
    <w:rsid w:val="00AA578D"/>
    <w:rsid w:val="00AB7407"/>
    <w:rsid w:val="00AC2448"/>
    <w:rsid w:val="00AC2C49"/>
    <w:rsid w:val="00AC5AED"/>
    <w:rsid w:val="00AD0D65"/>
    <w:rsid w:val="00AD3D0E"/>
    <w:rsid w:val="00AD54FA"/>
    <w:rsid w:val="00AE4C8E"/>
    <w:rsid w:val="00AF5A00"/>
    <w:rsid w:val="00AF7C5D"/>
    <w:rsid w:val="00B057DF"/>
    <w:rsid w:val="00B156AC"/>
    <w:rsid w:val="00B238E1"/>
    <w:rsid w:val="00B24375"/>
    <w:rsid w:val="00B2454A"/>
    <w:rsid w:val="00B4332F"/>
    <w:rsid w:val="00B51F3E"/>
    <w:rsid w:val="00B54425"/>
    <w:rsid w:val="00B559A8"/>
    <w:rsid w:val="00B72AF1"/>
    <w:rsid w:val="00B73FD1"/>
    <w:rsid w:val="00B86EDD"/>
    <w:rsid w:val="00B90316"/>
    <w:rsid w:val="00B9124E"/>
    <w:rsid w:val="00B95FE4"/>
    <w:rsid w:val="00B96A47"/>
    <w:rsid w:val="00B96ADE"/>
    <w:rsid w:val="00BA033E"/>
    <w:rsid w:val="00BA6AC0"/>
    <w:rsid w:val="00BB03E0"/>
    <w:rsid w:val="00BB651B"/>
    <w:rsid w:val="00BC4210"/>
    <w:rsid w:val="00BD30C3"/>
    <w:rsid w:val="00BE22C5"/>
    <w:rsid w:val="00BE3B0C"/>
    <w:rsid w:val="00BE4D09"/>
    <w:rsid w:val="00BE68BF"/>
    <w:rsid w:val="00BF0897"/>
    <w:rsid w:val="00BF0BBE"/>
    <w:rsid w:val="00C04383"/>
    <w:rsid w:val="00C110A9"/>
    <w:rsid w:val="00C27CC4"/>
    <w:rsid w:val="00C3325F"/>
    <w:rsid w:val="00C3570B"/>
    <w:rsid w:val="00C4304E"/>
    <w:rsid w:val="00C44248"/>
    <w:rsid w:val="00C442AD"/>
    <w:rsid w:val="00C454A6"/>
    <w:rsid w:val="00C675D1"/>
    <w:rsid w:val="00C73F11"/>
    <w:rsid w:val="00C772EF"/>
    <w:rsid w:val="00C80F6C"/>
    <w:rsid w:val="00CA4B5C"/>
    <w:rsid w:val="00CA5D26"/>
    <w:rsid w:val="00CB33F7"/>
    <w:rsid w:val="00CB44BC"/>
    <w:rsid w:val="00CB4E1F"/>
    <w:rsid w:val="00CB6984"/>
    <w:rsid w:val="00CC1D76"/>
    <w:rsid w:val="00CC2F98"/>
    <w:rsid w:val="00CC7643"/>
    <w:rsid w:val="00CD45FC"/>
    <w:rsid w:val="00CD7F1E"/>
    <w:rsid w:val="00CE10D9"/>
    <w:rsid w:val="00CE15BE"/>
    <w:rsid w:val="00CE78D1"/>
    <w:rsid w:val="00CF511B"/>
    <w:rsid w:val="00D01C09"/>
    <w:rsid w:val="00D02C33"/>
    <w:rsid w:val="00D16CEC"/>
    <w:rsid w:val="00D33A2A"/>
    <w:rsid w:val="00D35CA6"/>
    <w:rsid w:val="00D421C4"/>
    <w:rsid w:val="00D45A35"/>
    <w:rsid w:val="00D463AD"/>
    <w:rsid w:val="00D46B5E"/>
    <w:rsid w:val="00D5074D"/>
    <w:rsid w:val="00D56019"/>
    <w:rsid w:val="00D60EFC"/>
    <w:rsid w:val="00D610F3"/>
    <w:rsid w:val="00D644C6"/>
    <w:rsid w:val="00D7174C"/>
    <w:rsid w:val="00D737F6"/>
    <w:rsid w:val="00D82934"/>
    <w:rsid w:val="00D82BE5"/>
    <w:rsid w:val="00D83A09"/>
    <w:rsid w:val="00D91E57"/>
    <w:rsid w:val="00D93DF0"/>
    <w:rsid w:val="00D96F20"/>
    <w:rsid w:val="00DB5201"/>
    <w:rsid w:val="00DB5AA2"/>
    <w:rsid w:val="00DC4BE2"/>
    <w:rsid w:val="00DC55A4"/>
    <w:rsid w:val="00DD38BD"/>
    <w:rsid w:val="00DE4652"/>
    <w:rsid w:val="00DE5C7B"/>
    <w:rsid w:val="00DE7647"/>
    <w:rsid w:val="00DF2018"/>
    <w:rsid w:val="00DF301D"/>
    <w:rsid w:val="00DF317D"/>
    <w:rsid w:val="00DF51E6"/>
    <w:rsid w:val="00E00A69"/>
    <w:rsid w:val="00E05533"/>
    <w:rsid w:val="00E11B00"/>
    <w:rsid w:val="00E14B11"/>
    <w:rsid w:val="00E1592D"/>
    <w:rsid w:val="00E41D9B"/>
    <w:rsid w:val="00E5022B"/>
    <w:rsid w:val="00E52A05"/>
    <w:rsid w:val="00E52DB4"/>
    <w:rsid w:val="00E571D9"/>
    <w:rsid w:val="00E60E64"/>
    <w:rsid w:val="00E72911"/>
    <w:rsid w:val="00E81969"/>
    <w:rsid w:val="00E85EEC"/>
    <w:rsid w:val="00E8642B"/>
    <w:rsid w:val="00E8797F"/>
    <w:rsid w:val="00E90D74"/>
    <w:rsid w:val="00E91C70"/>
    <w:rsid w:val="00E92123"/>
    <w:rsid w:val="00E958B3"/>
    <w:rsid w:val="00E966E3"/>
    <w:rsid w:val="00EA3B83"/>
    <w:rsid w:val="00EB31BE"/>
    <w:rsid w:val="00EB47C7"/>
    <w:rsid w:val="00EB5E8F"/>
    <w:rsid w:val="00EC4A6F"/>
    <w:rsid w:val="00EC54AE"/>
    <w:rsid w:val="00EC6AA3"/>
    <w:rsid w:val="00ED7661"/>
    <w:rsid w:val="00EE2577"/>
    <w:rsid w:val="00EF0535"/>
    <w:rsid w:val="00EF2FA5"/>
    <w:rsid w:val="00EF38D2"/>
    <w:rsid w:val="00F0177B"/>
    <w:rsid w:val="00F06D42"/>
    <w:rsid w:val="00F07CCD"/>
    <w:rsid w:val="00F2096C"/>
    <w:rsid w:val="00F26764"/>
    <w:rsid w:val="00F318DD"/>
    <w:rsid w:val="00F33D86"/>
    <w:rsid w:val="00F34E18"/>
    <w:rsid w:val="00F407D4"/>
    <w:rsid w:val="00F57834"/>
    <w:rsid w:val="00F608D7"/>
    <w:rsid w:val="00F609F7"/>
    <w:rsid w:val="00F64E3C"/>
    <w:rsid w:val="00F7525F"/>
    <w:rsid w:val="00F940FE"/>
    <w:rsid w:val="00FA5C2E"/>
    <w:rsid w:val="00FA62F9"/>
    <w:rsid w:val="00FB2457"/>
    <w:rsid w:val="00FB3B17"/>
    <w:rsid w:val="00FB56A1"/>
    <w:rsid w:val="00FC0818"/>
    <w:rsid w:val="00FC3B32"/>
    <w:rsid w:val="00FC6337"/>
    <w:rsid w:val="00FD7A15"/>
    <w:rsid w:val="00FE0B21"/>
    <w:rsid w:val="00FF2411"/>
    <w:rsid w:val="00FF412A"/>
    <w:rsid w:val="00FF5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F2EB"/>
  <w15:chartTrackingRefBased/>
  <w15:docId w15:val="{D0C65A60-13FC-47BA-B8A9-C0C3B04A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E"/>
  </w:style>
  <w:style w:type="paragraph" w:styleId="Heading1">
    <w:name w:val="heading 1"/>
    <w:basedOn w:val="Normal"/>
    <w:next w:val="Normal"/>
    <w:link w:val="Heading1Char"/>
    <w:uiPriority w:val="9"/>
    <w:qFormat/>
    <w:rsid w:val="00F2096C"/>
    <w:pPr>
      <w:keepNext/>
      <w:keepLines/>
      <w:spacing w:before="240" w:after="0"/>
      <w:outlineLvl w:val="0"/>
    </w:pPr>
    <w:rPr>
      <w:rFonts w:asciiTheme="majorHAnsi" w:eastAsiaTheme="majorEastAsia" w:hAnsiTheme="majorHAnsi" w:cstheme="majorBidi"/>
      <w:color w:val="81B23F" w:themeColor="accent1" w:themeShade="BF"/>
      <w:sz w:val="32"/>
      <w:szCs w:val="32"/>
    </w:rPr>
  </w:style>
  <w:style w:type="paragraph" w:styleId="Heading2">
    <w:name w:val="heading 2"/>
    <w:basedOn w:val="Normal"/>
    <w:next w:val="Normal"/>
    <w:link w:val="Heading2Char"/>
    <w:uiPriority w:val="9"/>
    <w:semiHidden/>
    <w:unhideWhenUsed/>
    <w:qFormat/>
    <w:rsid w:val="001B2229"/>
    <w:pPr>
      <w:keepNext/>
      <w:keepLines/>
      <w:spacing w:before="40" w:after="0"/>
      <w:outlineLvl w:val="1"/>
    </w:pPr>
    <w:rPr>
      <w:rFonts w:asciiTheme="majorHAnsi" w:eastAsiaTheme="majorEastAsia" w:hAnsiTheme="majorHAnsi" w:cstheme="majorBidi"/>
      <w:color w:val="81B23F" w:themeColor="accent1" w:themeShade="BF"/>
      <w:sz w:val="26"/>
      <w:szCs w:val="26"/>
    </w:rPr>
  </w:style>
  <w:style w:type="paragraph" w:styleId="Heading3">
    <w:name w:val="heading 3"/>
    <w:basedOn w:val="Normal"/>
    <w:link w:val="Heading3Char"/>
    <w:uiPriority w:val="9"/>
    <w:qFormat/>
    <w:rsid w:val="003060C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BE"/>
    <w:pPr>
      <w:spacing w:after="0" w:line="240" w:lineRule="auto"/>
    </w:pPr>
  </w:style>
  <w:style w:type="paragraph" w:styleId="ListParagraph">
    <w:name w:val="List Paragraph"/>
    <w:basedOn w:val="Normal"/>
    <w:uiPriority w:val="34"/>
    <w:qFormat/>
    <w:rsid w:val="00EB31BE"/>
    <w:pPr>
      <w:ind w:left="720"/>
      <w:contextualSpacing/>
    </w:pPr>
  </w:style>
  <w:style w:type="character" w:styleId="Hyperlink">
    <w:name w:val="Hyperlink"/>
    <w:basedOn w:val="DefaultParagraphFont"/>
    <w:uiPriority w:val="99"/>
    <w:unhideWhenUsed/>
    <w:rsid w:val="00EB31BE"/>
    <w:rPr>
      <w:color w:val="0563C1" w:themeColor="hyperlink"/>
      <w:u w:val="single"/>
    </w:rPr>
  </w:style>
  <w:style w:type="paragraph" w:styleId="Header">
    <w:name w:val="header"/>
    <w:basedOn w:val="Normal"/>
    <w:link w:val="HeaderChar"/>
    <w:uiPriority w:val="99"/>
    <w:unhideWhenUsed/>
    <w:rsid w:val="00EB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E"/>
  </w:style>
  <w:style w:type="paragraph" w:styleId="Footer">
    <w:name w:val="footer"/>
    <w:basedOn w:val="Normal"/>
    <w:link w:val="FooterChar"/>
    <w:uiPriority w:val="99"/>
    <w:unhideWhenUsed/>
    <w:rsid w:val="0051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37"/>
  </w:style>
  <w:style w:type="character" w:customStyle="1" w:styleId="Heading3Char">
    <w:name w:val="Heading 3 Char"/>
    <w:basedOn w:val="DefaultParagraphFont"/>
    <w:link w:val="Heading3"/>
    <w:uiPriority w:val="9"/>
    <w:rsid w:val="003060C2"/>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718D2"/>
    <w:rPr>
      <w:b/>
      <w:bCs/>
    </w:rPr>
  </w:style>
  <w:style w:type="paragraph" w:styleId="IntenseQuote">
    <w:name w:val="Intense Quote"/>
    <w:basedOn w:val="Normal"/>
    <w:next w:val="Normal"/>
    <w:link w:val="IntenseQuoteChar"/>
    <w:uiPriority w:val="30"/>
    <w:qFormat/>
    <w:rsid w:val="009F04DB"/>
    <w:pPr>
      <w:pBdr>
        <w:top w:val="single" w:sz="4" w:space="10" w:color="A8CE75" w:themeColor="accent1"/>
        <w:bottom w:val="single" w:sz="4" w:space="10" w:color="A8CE75" w:themeColor="accent1"/>
      </w:pBdr>
      <w:spacing w:before="360" w:after="360"/>
      <w:ind w:left="864" w:right="864"/>
      <w:jc w:val="center"/>
    </w:pPr>
    <w:rPr>
      <w:i/>
      <w:iCs/>
      <w:color w:val="A8CE75" w:themeColor="accent1"/>
    </w:rPr>
  </w:style>
  <w:style w:type="character" w:customStyle="1" w:styleId="IntenseQuoteChar">
    <w:name w:val="Intense Quote Char"/>
    <w:basedOn w:val="DefaultParagraphFont"/>
    <w:link w:val="IntenseQuote"/>
    <w:uiPriority w:val="30"/>
    <w:rsid w:val="009F04DB"/>
    <w:rPr>
      <w:i/>
      <w:iCs/>
      <w:color w:val="A8CE75" w:themeColor="accent1"/>
    </w:rPr>
  </w:style>
  <w:style w:type="paragraph" w:styleId="Subtitle">
    <w:name w:val="Subtitle"/>
    <w:basedOn w:val="Normal"/>
    <w:next w:val="Normal"/>
    <w:link w:val="SubtitleChar"/>
    <w:uiPriority w:val="11"/>
    <w:qFormat/>
    <w:rsid w:val="00F20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96C"/>
    <w:rPr>
      <w:rFonts w:eastAsiaTheme="minorEastAsia"/>
      <w:color w:val="5A5A5A" w:themeColor="text1" w:themeTint="A5"/>
      <w:spacing w:val="15"/>
    </w:rPr>
  </w:style>
  <w:style w:type="paragraph" w:styleId="Title">
    <w:name w:val="Title"/>
    <w:basedOn w:val="Normal"/>
    <w:next w:val="Normal"/>
    <w:link w:val="TitleChar"/>
    <w:uiPriority w:val="10"/>
    <w:qFormat/>
    <w:rsid w:val="00F20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9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096C"/>
    <w:rPr>
      <w:rFonts w:asciiTheme="majorHAnsi" w:eastAsiaTheme="majorEastAsia" w:hAnsiTheme="majorHAnsi" w:cstheme="majorBidi"/>
      <w:color w:val="81B23F" w:themeColor="accent1" w:themeShade="BF"/>
      <w:sz w:val="32"/>
      <w:szCs w:val="32"/>
    </w:rPr>
  </w:style>
  <w:style w:type="character" w:styleId="CommentReference">
    <w:name w:val="annotation reference"/>
    <w:basedOn w:val="DefaultParagraphFont"/>
    <w:uiPriority w:val="99"/>
    <w:semiHidden/>
    <w:unhideWhenUsed/>
    <w:rsid w:val="005553AC"/>
    <w:rPr>
      <w:sz w:val="16"/>
      <w:szCs w:val="16"/>
    </w:rPr>
  </w:style>
  <w:style w:type="paragraph" w:styleId="CommentText">
    <w:name w:val="annotation text"/>
    <w:basedOn w:val="Normal"/>
    <w:link w:val="CommentTextChar"/>
    <w:uiPriority w:val="99"/>
    <w:semiHidden/>
    <w:unhideWhenUsed/>
    <w:rsid w:val="005553AC"/>
    <w:pPr>
      <w:spacing w:line="240" w:lineRule="auto"/>
    </w:pPr>
    <w:rPr>
      <w:sz w:val="20"/>
      <w:szCs w:val="20"/>
    </w:rPr>
  </w:style>
  <w:style w:type="character" w:customStyle="1" w:styleId="CommentTextChar">
    <w:name w:val="Comment Text Char"/>
    <w:basedOn w:val="DefaultParagraphFont"/>
    <w:link w:val="CommentText"/>
    <w:uiPriority w:val="99"/>
    <w:semiHidden/>
    <w:rsid w:val="005553AC"/>
    <w:rPr>
      <w:sz w:val="20"/>
      <w:szCs w:val="20"/>
    </w:rPr>
  </w:style>
  <w:style w:type="paragraph" w:styleId="CommentSubject">
    <w:name w:val="annotation subject"/>
    <w:basedOn w:val="CommentText"/>
    <w:next w:val="CommentText"/>
    <w:link w:val="CommentSubjectChar"/>
    <w:uiPriority w:val="99"/>
    <w:semiHidden/>
    <w:unhideWhenUsed/>
    <w:rsid w:val="005553AC"/>
    <w:rPr>
      <w:b/>
      <w:bCs/>
    </w:rPr>
  </w:style>
  <w:style w:type="character" w:customStyle="1" w:styleId="CommentSubjectChar">
    <w:name w:val="Comment Subject Char"/>
    <w:basedOn w:val="CommentTextChar"/>
    <w:link w:val="CommentSubject"/>
    <w:uiPriority w:val="99"/>
    <w:semiHidden/>
    <w:rsid w:val="005553AC"/>
    <w:rPr>
      <w:b/>
      <w:bCs/>
      <w:sz w:val="20"/>
      <w:szCs w:val="20"/>
    </w:rPr>
  </w:style>
  <w:style w:type="paragraph" w:styleId="BalloonText">
    <w:name w:val="Balloon Text"/>
    <w:basedOn w:val="Normal"/>
    <w:link w:val="BalloonTextChar"/>
    <w:uiPriority w:val="99"/>
    <w:semiHidden/>
    <w:unhideWhenUsed/>
    <w:rsid w:val="0055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AC"/>
    <w:rPr>
      <w:rFonts w:ascii="Segoe UI" w:hAnsi="Segoe UI" w:cs="Segoe UI"/>
      <w:sz w:val="18"/>
      <w:szCs w:val="18"/>
    </w:rPr>
  </w:style>
  <w:style w:type="paragraph" w:styleId="NormalWeb">
    <w:name w:val="Normal (Web)"/>
    <w:basedOn w:val="Normal"/>
    <w:uiPriority w:val="99"/>
    <w:unhideWhenUsed/>
    <w:rsid w:val="00C675D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271A9A"/>
    <w:pPr>
      <w:spacing w:after="0" w:line="240" w:lineRule="auto"/>
    </w:pPr>
  </w:style>
  <w:style w:type="paragraph" w:customStyle="1" w:styleId="Default">
    <w:name w:val="Default"/>
    <w:rsid w:val="00672723"/>
    <w:pPr>
      <w:autoSpaceDE w:val="0"/>
      <w:autoSpaceDN w:val="0"/>
      <w:adjustRightInd w:val="0"/>
      <w:spacing w:after="0" w:line="240" w:lineRule="auto"/>
    </w:pPr>
    <w:rPr>
      <w:rFonts w:ascii="Tw Cen MT" w:hAnsi="Tw Cen MT" w:cs="Tw Cen MT"/>
      <w:color w:val="000000"/>
      <w:sz w:val="24"/>
      <w:szCs w:val="24"/>
    </w:rPr>
  </w:style>
  <w:style w:type="character" w:customStyle="1" w:styleId="Heading2Char">
    <w:name w:val="Heading 2 Char"/>
    <w:basedOn w:val="DefaultParagraphFont"/>
    <w:link w:val="Heading2"/>
    <w:uiPriority w:val="9"/>
    <w:semiHidden/>
    <w:rsid w:val="001B2229"/>
    <w:rPr>
      <w:rFonts w:asciiTheme="majorHAnsi" w:eastAsiaTheme="majorEastAsia" w:hAnsiTheme="majorHAnsi" w:cstheme="majorBidi"/>
      <w:color w:val="81B23F" w:themeColor="accent1" w:themeShade="BF"/>
      <w:sz w:val="26"/>
      <w:szCs w:val="26"/>
    </w:rPr>
  </w:style>
  <w:style w:type="table" w:styleId="TableGrid">
    <w:name w:val="Table Grid"/>
    <w:basedOn w:val="TableNormal"/>
    <w:uiPriority w:val="39"/>
    <w:rsid w:val="001772B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E2577"/>
    <w:rPr>
      <w:i/>
      <w:iCs/>
      <w:color w:val="595959" w:themeColor="text1" w:themeTint="A6"/>
    </w:rPr>
  </w:style>
  <w:style w:type="character" w:styleId="SubtleReference">
    <w:name w:val="Subtle Reference"/>
    <w:basedOn w:val="DefaultParagraphFont"/>
    <w:uiPriority w:val="31"/>
    <w:qFormat/>
    <w:rsid w:val="00964723"/>
    <w:rPr>
      <w:caps w:val="0"/>
      <w:smallCaps/>
      <w:color w:val="404040" w:themeColor="text1" w:themeTint="BF"/>
      <w:spacing w:val="0"/>
      <w:u w:val="single" w:color="7F7F7F" w:themeColor="text1" w:themeTint="80"/>
    </w:rPr>
  </w:style>
  <w:style w:type="character" w:styleId="UnresolvedMention">
    <w:name w:val="Unresolved Mention"/>
    <w:basedOn w:val="DefaultParagraphFont"/>
    <w:uiPriority w:val="99"/>
    <w:semiHidden/>
    <w:unhideWhenUsed/>
    <w:rsid w:val="007D43F6"/>
    <w:rPr>
      <w:color w:val="605E5C"/>
      <w:shd w:val="clear" w:color="auto" w:fill="E1DFDD"/>
    </w:rPr>
  </w:style>
  <w:style w:type="character" w:styleId="FollowedHyperlink">
    <w:name w:val="FollowedHyperlink"/>
    <w:basedOn w:val="DefaultParagraphFont"/>
    <w:uiPriority w:val="99"/>
    <w:semiHidden/>
    <w:unhideWhenUsed/>
    <w:rsid w:val="00CC1D76"/>
    <w:rPr>
      <w:color w:val="954F72" w:themeColor="followedHyperlink"/>
      <w:u w:val="single"/>
    </w:rPr>
  </w:style>
  <w:style w:type="paragraph" w:styleId="EndnoteText">
    <w:name w:val="endnote text"/>
    <w:basedOn w:val="Normal"/>
    <w:link w:val="EndnoteTextChar"/>
    <w:uiPriority w:val="99"/>
    <w:semiHidden/>
    <w:unhideWhenUsed/>
    <w:rsid w:val="007F3F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C0"/>
    <w:rPr>
      <w:sz w:val="20"/>
      <w:szCs w:val="20"/>
    </w:rPr>
  </w:style>
  <w:style w:type="character" w:styleId="EndnoteReference">
    <w:name w:val="endnote reference"/>
    <w:basedOn w:val="DefaultParagraphFont"/>
    <w:uiPriority w:val="99"/>
    <w:semiHidden/>
    <w:unhideWhenUsed/>
    <w:rsid w:val="007F3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72575">
      <w:bodyDiv w:val="1"/>
      <w:marLeft w:val="0"/>
      <w:marRight w:val="0"/>
      <w:marTop w:val="0"/>
      <w:marBottom w:val="0"/>
      <w:divBdr>
        <w:top w:val="none" w:sz="0" w:space="0" w:color="auto"/>
        <w:left w:val="none" w:sz="0" w:space="0" w:color="auto"/>
        <w:bottom w:val="none" w:sz="0" w:space="0" w:color="auto"/>
        <w:right w:val="none" w:sz="0" w:space="0" w:color="auto"/>
      </w:divBdr>
    </w:div>
    <w:div w:id="589436304">
      <w:bodyDiv w:val="1"/>
      <w:marLeft w:val="0"/>
      <w:marRight w:val="0"/>
      <w:marTop w:val="0"/>
      <w:marBottom w:val="0"/>
      <w:divBdr>
        <w:top w:val="none" w:sz="0" w:space="0" w:color="auto"/>
        <w:left w:val="none" w:sz="0" w:space="0" w:color="auto"/>
        <w:bottom w:val="none" w:sz="0" w:space="0" w:color="auto"/>
        <w:right w:val="none" w:sz="0" w:space="0" w:color="auto"/>
      </w:divBdr>
      <w:divsChild>
        <w:div w:id="702708342">
          <w:marLeft w:val="0"/>
          <w:marRight w:val="0"/>
          <w:marTop w:val="0"/>
          <w:marBottom w:val="0"/>
          <w:divBdr>
            <w:top w:val="none" w:sz="0" w:space="0" w:color="auto"/>
            <w:left w:val="none" w:sz="0" w:space="0" w:color="auto"/>
            <w:bottom w:val="none" w:sz="0" w:space="0" w:color="auto"/>
            <w:right w:val="none" w:sz="0" w:space="0" w:color="auto"/>
          </w:divBdr>
          <w:divsChild>
            <w:div w:id="2035766195">
              <w:marLeft w:val="0"/>
              <w:marRight w:val="0"/>
              <w:marTop w:val="0"/>
              <w:marBottom w:val="0"/>
              <w:divBdr>
                <w:top w:val="none" w:sz="0" w:space="0" w:color="auto"/>
                <w:left w:val="none" w:sz="0" w:space="0" w:color="auto"/>
                <w:bottom w:val="none" w:sz="0" w:space="0" w:color="auto"/>
                <w:right w:val="none" w:sz="0" w:space="0" w:color="auto"/>
              </w:divBdr>
              <w:divsChild>
                <w:div w:id="2012223226">
                  <w:marLeft w:val="0"/>
                  <w:marRight w:val="0"/>
                  <w:marTop w:val="0"/>
                  <w:marBottom w:val="0"/>
                  <w:divBdr>
                    <w:top w:val="none" w:sz="0" w:space="0" w:color="auto"/>
                    <w:left w:val="none" w:sz="0" w:space="0" w:color="auto"/>
                    <w:bottom w:val="none" w:sz="0" w:space="0" w:color="auto"/>
                    <w:right w:val="none" w:sz="0" w:space="0" w:color="auto"/>
                  </w:divBdr>
                  <w:divsChild>
                    <w:div w:id="1564413125">
                      <w:marLeft w:val="0"/>
                      <w:marRight w:val="0"/>
                      <w:marTop w:val="0"/>
                      <w:marBottom w:val="0"/>
                      <w:divBdr>
                        <w:top w:val="none" w:sz="0" w:space="0" w:color="auto"/>
                        <w:left w:val="none" w:sz="0" w:space="0" w:color="auto"/>
                        <w:bottom w:val="none" w:sz="0" w:space="0" w:color="auto"/>
                        <w:right w:val="none" w:sz="0" w:space="0" w:color="auto"/>
                      </w:divBdr>
                      <w:divsChild>
                        <w:div w:id="537858672">
                          <w:marLeft w:val="0"/>
                          <w:marRight w:val="0"/>
                          <w:marTop w:val="0"/>
                          <w:marBottom w:val="0"/>
                          <w:divBdr>
                            <w:top w:val="none" w:sz="0" w:space="0" w:color="auto"/>
                            <w:left w:val="none" w:sz="0" w:space="0" w:color="auto"/>
                            <w:bottom w:val="none" w:sz="0" w:space="0" w:color="auto"/>
                            <w:right w:val="none" w:sz="0" w:space="0" w:color="auto"/>
                          </w:divBdr>
                          <w:divsChild>
                            <w:div w:id="5320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7985">
      <w:bodyDiv w:val="1"/>
      <w:marLeft w:val="0"/>
      <w:marRight w:val="0"/>
      <w:marTop w:val="0"/>
      <w:marBottom w:val="0"/>
      <w:divBdr>
        <w:top w:val="none" w:sz="0" w:space="0" w:color="auto"/>
        <w:left w:val="none" w:sz="0" w:space="0" w:color="auto"/>
        <w:bottom w:val="none" w:sz="0" w:space="0" w:color="auto"/>
        <w:right w:val="none" w:sz="0" w:space="0" w:color="auto"/>
      </w:divBdr>
      <w:divsChild>
        <w:div w:id="1051081313">
          <w:marLeft w:val="0"/>
          <w:marRight w:val="0"/>
          <w:marTop w:val="0"/>
          <w:marBottom w:val="0"/>
          <w:divBdr>
            <w:top w:val="none" w:sz="0" w:space="0" w:color="auto"/>
            <w:left w:val="none" w:sz="0" w:space="0" w:color="auto"/>
            <w:bottom w:val="none" w:sz="0" w:space="0" w:color="auto"/>
            <w:right w:val="none" w:sz="0" w:space="0" w:color="auto"/>
          </w:divBdr>
        </w:div>
      </w:divsChild>
    </w:div>
    <w:div w:id="1198659765">
      <w:bodyDiv w:val="1"/>
      <w:marLeft w:val="0"/>
      <w:marRight w:val="0"/>
      <w:marTop w:val="0"/>
      <w:marBottom w:val="0"/>
      <w:divBdr>
        <w:top w:val="none" w:sz="0" w:space="0" w:color="auto"/>
        <w:left w:val="none" w:sz="0" w:space="0" w:color="auto"/>
        <w:bottom w:val="none" w:sz="0" w:space="0" w:color="auto"/>
        <w:right w:val="none" w:sz="0" w:space="0" w:color="auto"/>
      </w:divBdr>
      <w:divsChild>
        <w:div w:id="827406682">
          <w:marLeft w:val="0"/>
          <w:marRight w:val="0"/>
          <w:marTop w:val="0"/>
          <w:marBottom w:val="0"/>
          <w:divBdr>
            <w:top w:val="none" w:sz="0" w:space="0" w:color="auto"/>
            <w:left w:val="none" w:sz="0" w:space="0" w:color="auto"/>
            <w:bottom w:val="none" w:sz="0" w:space="0" w:color="auto"/>
            <w:right w:val="none" w:sz="0" w:space="0" w:color="auto"/>
          </w:divBdr>
          <w:divsChild>
            <w:div w:id="603002479">
              <w:marLeft w:val="0"/>
              <w:marRight w:val="0"/>
              <w:marTop w:val="0"/>
              <w:marBottom w:val="0"/>
              <w:divBdr>
                <w:top w:val="none" w:sz="0" w:space="0" w:color="auto"/>
                <w:left w:val="none" w:sz="0" w:space="0" w:color="auto"/>
                <w:bottom w:val="none" w:sz="0" w:space="0" w:color="auto"/>
                <w:right w:val="none" w:sz="0" w:space="0" w:color="auto"/>
              </w:divBdr>
              <w:divsChild>
                <w:div w:id="772478965">
                  <w:marLeft w:val="0"/>
                  <w:marRight w:val="0"/>
                  <w:marTop w:val="0"/>
                  <w:marBottom w:val="0"/>
                  <w:divBdr>
                    <w:top w:val="none" w:sz="0" w:space="0" w:color="auto"/>
                    <w:left w:val="none" w:sz="0" w:space="0" w:color="auto"/>
                    <w:bottom w:val="none" w:sz="0" w:space="0" w:color="auto"/>
                    <w:right w:val="none" w:sz="0" w:space="0" w:color="auto"/>
                  </w:divBdr>
                  <w:divsChild>
                    <w:div w:id="359476945">
                      <w:marLeft w:val="0"/>
                      <w:marRight w:val="0"/>
                      <w:marTop w:val="0"/>
                      <w:marBottom w:val="0"/>
                      <w:divBdr>
                        <w:top w:val="none" w:sz="0" w:space="0" w:color="auto"/>
                        <w:left w:val="none" w:sz="0" w:space="0" w:color="auto"/>
                        <w:bottom w:val="none" w:sz="0" w:space="0" w:color="auto"/>
                        <w:right w:val="none" w:sz="0" w:space="0" w:color="auto"/>
                      </w:divBdr>
                      <w:divsChild>
                        <w:div w:id="304435463">
                          <w:marLeft w:val="0"/>
                          <w:marRight w:val="0"/>
                          <w:marTop w:val="0"/>
                          <w:marBottom w:val="0"/>
                          <w:divBdr>
                            <w:top w:val="none" w:sz="0" w:space="0" w:color="auto"/>
                            <w:left w:val="none" w:sz="0" w:space="0" w:color="auto"/>
                            <w:bottom w:val="none" w:sz="0" w:space="0" w:color="auto"/>
                            <w:right w:val="none" w:sz="0" w:space="0" w:color="auto"/>
                          </w:divBdr>
                          <w:divsChild>
                            <w:div w:id="416828095">
                              <w:marLeft w:val="0"/>
                              <w:marRight w:val="0"/>
                              <w:marTop w:val="0"/>
                              <w:marBottom w:val="0"/>
                              <w:divBdr>
                                <w:top w:val="none" w:sz="0" w:space="0" w:color="auto"/>
                                <w:left w:val="none" w:sz="0" w:space="0" w:color="auto"/>
                                <w:bottom w:val="none" w:sz="0" w:space="0" w:color="auto"/>
                                <w:right w:val="none" w:sz="0" w:space="0" w:color="auto"/>
                              </w:divBdr>
                              <w:divsChild>
                                <w:div w:id="1133673044">
                                  <w:marLeft w:val="0"/>
                                  <w:marRight w:val="0"/>
                                  <w:marTop w:val="0"/>
                                  <w:marBottom w:val="0"/>
                                  <w:divBdr>
                                    <w:top w:val="none" w:sz="0" w:space="0" w:color="auto"/>
                                    <w:left w:val="none" w:sz="0" w:space="0" w:color="auto"/>
                                    <w:bottom w:val="none" w:sz="0" w:space="0" w:color="auto"/>
                                    <w:right w:val="none" w:sz="0" w:space="0" w:color="auto"/>
                                  </w:divBdr>
                                  <w:divsChild>
                                    <w:div w:id="79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35853">
      <w:bodyDiv w:val="1"/>
      <w:marLeft w:val="0"/>
      <w:marRight w:val="0"/>
      <w:marTop w:val="0"/>
      <w:marBottom w:val="0"/>
      <w:divBdr>
        <w:top w:val="none" w:sz="0" w:space="0" w:color="auto"/>
        <w:left w:val="none" w:sz="0" w:space="0" w:color="auto"/>
        <w:bottom w:val="none" w:sz="0" w:space="0" w:color="auto"/>
        <w:right w:val="none" w:sz="0" w:space="0" w:color="auto"/>
      </w:divBdr>
      <w:divsChild>
        <w:div w:id="1588534006">
          <w:marLeft w:val="0"/>
          <w:marRight w:val="0"/>
          <w:marTop w:val="0"/>
          <w:marBottom w:val="0"/>
          <w:divBdr>
            <w:top w:val="none" w:sz="0" w:space="0" w:color="auto"/>
            <w:left w:val="none" w:sz="0" w:space="0" w:color="auto"/>
            <w:bottom w:val="none" w:sz="0" w:space="0" w:color="auto"/>
            <w:right w:val="none" w:sz="0" w:space="0" w:color="auto"/>
          </w:divBdr>
        </w:div>
      </w:divsChild>
    </w:div>
    <w:div w:id="1562981693">
      <w:bodyDiv w:val="1"/>
      <w:marLeft w:val="0"/>
      <w:marRight w:val="0"/>
      <w:marTop w:val="0"/>
      <w:marBottom w:val="0"/>
      <w:divBdr>
        <w:top w:val="none" w:sz="0" w:space="0" w:color="auto"/>
        <w:left w:val="none" w:sz="0" w:space="0" w:color="auto"/>
        <w:bottom w:val="none" w:sz="0" w:space="0" w:color="auto"/>
        <w:right w:val="none" w:sz="0" w:space="0" w:color="auto"/>
      </w:divBdr>
      <w:divsChild>
        <w:div w:id="664208143">
          <w:marLeft w:val="0"/>
          <w:marRight w:val="0"/>
          <w:marTop w:val="0"/>
          <w:marBottom w:val="0"/>
          <w:divBdr>
            <w:top w:val="none" w:sz="0" w:space="0" w:color="auto"/>
            <w:left w:val="none" w:sz="0" w:space="0" w:color="auto"/>
            <w:bottom w:val="none" w:sz="0" w:space="0" w:color="auto"/>
            <w:right w:val="none" w:sz="0" w:space="0" w:color="auto"/>
          </w:divBdr>
          <w:divsChild>
            <w:div w:id="1650741468">
              <w:marLeft w:val="0"/>
              <w:marRight w:val="0"/>
              <w:marTop w:val="0"/>
              <w:marBottom w:val="0"/>
              <w:divBdr>
                <w:top w:val="none" w:sz="0" w:space="0" w:color="auto"/>
                <w:left w:val="none" w:sz="0" w:space="0" w:color="auto"/>
                <w:bottom w:val="none" w:sz="0" w:space="0" w:color="auto"/>
                <w:right w:val="none" w:sz="0" w:space="0" w:color="auto"/>
              </w:divBdr>
              <w:divsChild>
                <w:div w:id="1930187167">
                  <w:marLeft w:val="0"/>
                  <w:marRight w:val="0"/>
                  <w:marTop w:val="0"/>
                  <w:marBottom w:val="0"/>
                  <w:divBdr>
                    <w:top w:val="none" w:sz="0" w:space="0" w:color="auto"/>
                    <w:left w:val="none" w:sz="0" w:space="0" w:color="auto"/>
                    <w:bottom w:val="none" w:sz="0" w:space="0" w:color="auto"/>
                    <w:right w:val="none" w:sz="0" w:space="0" w:color="auto"/>
                  </w:divBdr>
                  <w:divsChild>
                    <w:div w:id="1796678855">
                      <w:marLeft w:val="0"/>
                      <w:marRight w:val="0"/>
                      <w:marTop w:val="0"/>
                      <w:marBottom w:val="0"/>
                      <w:divBdr>
                        <w:top w:val="none" w:sz="0" w:space="0" w:color="auto"/>
                        <w:left w:val="none" w:sz="0" w:space="0" w:color="auto"/>
                        <w:bottom w:val="none" w:sz="0" w:space="0" w:color="auto"/>
                        <w:right w:val="none" w:sz="0" w:space="0" w:color="auto"/>
                      </w:divBdr>
                      <w:divsChild>
                        <w:div w:id="637958489">
                          <w:marLeft w:val="0"/>
                          <w:marRight w:val="0"/>
                          <w:marTop w:val="0"/>
                          <w:marBottom w:val="0"/>
                          <w:divBdr>
                            <w:top w:val="none" w:sz="0" w:space="0" w:color="auto"/>
                            <w:left w:val="none" w:sz="0" w:space="0" w:color="auto"/>
                            <w:bottom w:val="none" w:sz="0" w:space="0" w:color="auto"/>
                            <w:right w:val="none" w:sz="0" w:space="0" w:color="auto"/>
                          </w:divBdr>
                          <w:divsChild>
                            <w:div w:id="774637750">
                              <w:marLeft w:val="0"/>
                              <w:marRight w:val="0"/>
                              <w:marTop w:val="0"/>
                              <w:marBottom w:val="0"/>
                              <w:divBdr>
                                <w:top w:val="none" w:sz="0" w:space="0" w:color="auto"/>
                                <w:left w:val="none" w:sz="0" w:space="0" w:color="auto"/>
                                <w:bottom w:val="none" w:sz="0" w:space="0" w:color="auto"/>
                                <w:right w:val="none" w:sz="0" w:space="0" w:color="auto"/>
                              </w:divBdr>
                              <w:divsChild>
                                <w:div w:id="1640766060">
                                  <w:marLeft w:val="0"/>
                                  <w:marRight w:val="0"/>
                                  <w:marTop w:val="0"/>
                                  <w:marBottom w:val="0"/>
                                  <w:divBdr>
                                    <w:top w:val="none" w:sz="0" w:space="0" w:color="auto"/>
                                    <w:left w:val="none" w:sz="0" w:space="0" w:color="auto"/>
                                    <w:bottom w:val="none" w:sz="0" w:space="0" w:color="auto"/>
                                    <w:right w:val="none" w:sz="0" w:space="0" w:color="auto"/>
                                  </w:divBdr>
                                  <w:divsChild>
                                    <w:div w:id="1725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gccollab.ca/images/3/33/RTW_change_management_toolkit_FR.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gccollab.ca/images/a/a8/Return_to_the_workplace_change_management_toolkit_FR.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cconnex.gc.ca/file/view/67384478/fr-sadapter-au-changement-fiche-sommaire-9-juin-2020?languag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ccollab.ca/images/f/f3/RTW_PM-CM_Integrated_plan_-_Change_inventory_and_impact_assessment_FR.xlsx" TargetMode="External"/><Relationship Id="rId5" Type="http://schemas.openxmlformats.org/officeDocument/2006/relationships/webSettings" Target="webSettings.xml"/><Relationship Id="rId15" Type="http://schemas.openxmlformats.org/officeDocument/2006/relationships/hyperlink" Target="https://gcconnex.gc.ca/file/download/66604667" TargetMode="External"/><Relationship Id="rId10" Type="http://schemas.openxmlformats.org/officeDocument/2006/relationships/hyperlink" Target="https://gcconnex.gc.ca/file/view/89130421/retour-en-milieu-de-travail-guide-dexperience-employe-par-bgis-fr?languag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gccollab.ca/images/f/f3/RTW_PM-CM_Integrated_plan_-_Change_inventory_and_impact_assessment_FR.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7985-7DD6-4191-944B-BDAE2B7B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1</Pages>
  <Words>3178</Words>
  <Characters>18118</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Sophie Genereux</cp:lastModifiedBy>
  <cp:revision>37</cp:revision>
  <dcterms:created xsi:type="dcterms:W3CDTF">2022-03-15T19:48:00Z</dcterms:created>
  <dcterms:modified xsi:type="dcterms:W3CDTF">2022-06-17T14:07:00Z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2021-06-14 12:39:19</vt:lpwstr>
  </property>
  <property fmtid="{D5CDD505-2E9C-101B-9397-08002B2CF9AE}" pid="3" name="_AdHocReviewCycleID">
    <vt:i4>1548683892</vt:i4>
  </property>
  <property fmtid="{D5CDD505-2E9C-101B-9397-08002B2CF9AE}" pid="4" name="_NewReviewCycle">
    <vt:lpwstr/>
  </property>
  <property fmtid="{D5CDD505-2E9C-101B-9397-08002B2CF9AE}" pid="5" name="_EmailSubject">
    <vt:lpwstr>Request for translation</vt:lpwstr>
  </property>
  <property fmtid="{D5CDD505-2E9C-101B-9397-08002B2CF9AE}" pid="6" name="_AuthorEmail">
    <vt:lpwstr>Hannah.Lowry-Whitton@tpsgc-pwgsc.gc.ca</vt:lpwstr>
  </property>
  <property fmtid="{D5CDD505-2E9C-101B-9397-08002B2CF9AE}" pid="7" name="_AuthorEmailDisplayName">
    <vt:lpwstr>Hannah Lowry-Whitton</vt:lpwstr>
  </property>
  <property fmtid="{D5CDD505-2E9C-101B-9397-08002B2CF9AE}" pid="8" name="_ReviewingToolsShownOnce">
    <vt:lpwstr/>
  </property>
</Properties>
</file>