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86" w:rsidRPr="00477410" w:rsidRDefault="004A0B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Notes d’allocution du 29 avril 2019</w:t>
      </w:r>
    </w:p>
    <w:p w:rsidR="00FB1421" w:rsidRPr="00477410" w:rsidRDefault="00FB1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Mise à jour sur le point de contrôle n</w:t>
      </w:r>
      <w:r>
        <w:rPr>
          <w:b/>
          <w:sz w:val="28"/>
          <w:szCs w:val="28"/>
          <w:vertAlign w:val="superscript"/>
        </w:rPr>
        <w:t>o</w:t>
      </w:r>
      <w:r>
        <w:rPr>
          <w:b/>
          <w:sz w:val="28"/>
          <w:szCs w:val="28"/>
        </w:rPr>
        <w:t> 3</w:t>
      </w:r>
    </w:p>
    <w:p w:rsidR="00477410" w:rsidRDefault="005668A0" w:rsidP="004774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troisième et dernier point de contrôle du processus d’approvisionnement souple a été lancé le 4 mars, à la clôture du deuxième point de contrôle en février.</w:t>
      </w:r>
    </w:p>
    <w:p w:rsidR="00477410" w:rsidRPr="00477410" w:rsidRDefault="005E4A48" w:rsidP="004774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Trois fournisseurs sur cinq sont passés au troisième point de contrôle.</w:t>
      </w:r>
    </w:p>
    <w:p w:rsidR="00FB1421" w:rsidRPr="00477410" w:rsidRDefault="005E4A48" w:rsidP="004A0B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troisième point de contrôle offrira deux options d’approvisionnement :</w:t>
      </w:r>
    </w:p>
    <w:p w:rsidR="00FB1421" w:rsidRPr="00477410" w:rsidRDefault="0095349C" w:rsidP="00D359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outil grâce auquel les organisations du GC peuvent se procurer la solution de base en matière de RH et de paye de façon efficace et efficiente;</w:t>
      </w:r>
    </w:p>
    <w:p w:rsidR="00FB1421" w:rsidRDefault="0095349C" w:rsidP="00D359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mécanisme souple grâce auquel des solutions supplémentaires peuvent être acquises et d’autres dispositions peuvent être invoquées, au besoin, pour permettre aux organisations à l’échelle du GC d’obtenir des résultats opérationnels. </w:t>
      </w:r>
    </w:p>
    <w:p w:rsidR="009C439E" w:rsidRDefault="00EB7079" w:rsidP="005668A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Le troisième point de contrôle évaluera : </w:t>
      </w:r>
    </w:p>
    <w:p w:rsidR="009C439E" w:rsidRDefault="009C439E" w:rsidP="009C439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la solution numérique, y compris la gestion des données; </w:t>
      </w:r>
    </w:p>
    <w:p w:rsidR="009C439E" w:rsidRDefault="005668A0" w:rsidP="009C439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la mise en œuvre et la gestion du changement, y compris l’intégrité et la sécurité du service; </w:t>
      </w:r>
    </w:p>
    <w:p w:rsidR="009C439E" w:rsidRDefault="005668A0" w:rsidP="009C439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les expériences de partenariat, y compris une entente sur les niveaux de service; </w:t>
      </w:r>
    </w:p>
    <w:p w:rsidR="005668A0" w:rsidRPr="005668A0" w:rsidRDefault="005668A0" w:rsidP="009C439E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l’optimisation des ressources, y compris les coûts et les services à valeur ajoutée.</w:t>
      </w:r>
    </w:p>
    <w:p w:rsidR="00FB1421" w:rsidRPr="00477410" w:rsidRDefault="005668A0" w:rsidP="004A0B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troisième point de contrôle devrait s’achever en juin 2019.</w:t>
      </w:r>
    </w:p>
    <w:p w:rsidR="00FB1421" w:rsidRDefault="00FB1421" w:rsidP="00FB1421">
      <w:pPr>
        <w:rPr>
          <w:b/>
          <w:sz w:val="32"/>
        </w:rPr>
      </w:pPr>
      <w:r>
        <w:rPr>
          <w:b/>
          <w:sz w:val="32"/>
        </w:rPr>
        <w:t>Exposition numérique des utilisateurs</w:t>
      </w:r>
    </w:p>
    <w:p w:rsidR="00FB1421" w:rsidRPr="005668A0" w:rsidRDefault="00FB1421" w:rsidP="00FB142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En fonction des commentaires reçus lors des expositions en personne auprès des utilisateurs et dans le but de rejoindre un public plus vaste, l’</w:t>
      </w:r>
      <w:r w:rsidR="00424D3B">
        <w:rPr>
          <w:sz w:val="28"/>
          <w:szCs w:val="28"/>
        </w:rPr>
        <w:t>É</w:t>
      </w:r>
      <w:r>
        <w:rPr>
          <w:sz w:val="28"/>
          <w:szCs w:val="28"/>
        </w:rPr>
        <w:t xml:space="preserve">quipe de la prochaine génération a mis sur pied l’Exposition numérique des utilisateurs afin de recueillir les commentaires en ligne des fonctionnaires d’un océan à l’autre. </w:t>
      </w:r>
    </w:p>
    <w:p w:rsidR="00FB1421" w:rsidRPr="005668A0" w:rsidRDefault="00FB1421" w:rsidP="00FB142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L’Exposition numérique des utilisateurs a été lancée le 8 avril 2019 et se déroulera jusqu’au 30 avril 2019.</w:t>
      </w:r>
    </w:p>
    <w:p w:rsidR="00FB1421" w:rsidRPr="005668A0" w:rsidRDefault="00FB1421" w:rsidP="00FB142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Hébergée sur GC</w:t>
      </w:r>
      <w:r w:rsidR="00424D3B">
        <w:rPr>
          <w:sz w:val="28"/>
          <w:szCs w:val="28"/>
        </w:rPr>
        <w:t>pé</w:t>
      </w:r>
      <w:r>
        <w:rPr>
          <w:sz w:val="28"/>
          <w:szCs w:val="28"/>
        </w:rPr>
        <w:t xml:space="preserve">dia – une plateforme interne en ligne pour les fonctionnaires –, l’Exposition numérique des utilisateurs comprend trois activités principales : </w:t>
      </w:r>
    </w:p>
    <w:p w:rsidR="00FB1421" w:rsidRPr="005668A0" w:rsidRDefault="00FB1421" w:rsidP="00FB142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capacité des fonctionnaires de découvrir les solutions possibles et de formuler des commentaires; </w:t>
      </w:r>
    </w:p>
    <w:p w:rsidR="00FB1421" w:rsidRPr="005668A0" w:rsidRDefault="00FB1421" w:rsidP="00FB142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 possibilité de poser des questions sur l’initiative de la prochaine génération; </w:t>
      </w:r>
    </w:p>
    <w:p w:rsidR="00FB1421" w:rsidRPr="005668A0" w:rsidRDefault="006B6BD6" w:rsidP="00FB1421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l’occasion d’échanger sur ce à quoi pourrait ressembler une solution de</w:t>
      </w:r>
      <w:r w:rsidR="00424D3B">
        <w:rPr>
          <w:sz w:val="28"/>
          <w:szCs w:val="28"/>
        </w:rPr>
        <w:t>s</w:t>
      </w:r>
      <w:r>
        <w:rPr>
          <w:sz w:val="28"/>
          <w:szCs w:val="28"/>
        </w:rPr>
        <w:t xml:space="preserve"> RH et de </w:t>
      </w:r>
      <w:r w:rsidR="00424D3B">
        <w:rPr>
          <w:sz w:val="28"/>
          <w:szCs w:val="28"/>
        </w:rPr>
        <w:t xml:space="preserve">la </w:t>
      </w:r>
      <w:r>
        <w:rPr>
          <w:sz w:val="28"/>
          <w:szCs w:val="28"/>
        </w:rPr>
        <w:t>paye de prochaine génération.</w:t>
      </w:r>
    </w:p>
    <w:p w:rsidR="006B6BD6" w:rsidRPr="009A2C6D" w:rsidRDefault="006B6BD6" w:rsidP="006B6B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À ce jour, la page de l’Exposition numérique des utilisateurs a généré plus de 9 170 visionnements, plus de 749 sondages sur les solutions, 29 commentaires et 90 questions. </w:t>
      </w:r>
    </w:p>
    <w:p w:rsidR="006B6BD6" w:rsidRPr="005668A0" w:rsidRDefault="006B6BD6" w:rsidP="006B6B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commentaires ont été très positifs jusqu’à maintenant, et notre campagne de sensibilisation a touché l’Ontario, le Québec, le Nouveau-Brunswick, la Nouvelle-Écosse, la Colombie-Britannique, l’Alberta, la Saskatchewan et Terre-Neuve-et-Labrador.</w:t>
      </w:r>
    </w:p>
    <w:p w:rsidR="006B6BD6" w:rsidRPr="005668A0" w:rsidRDefault="006B6BD6" w:rsidP="006B6BD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 vue d’appuyer l’Exposition numérique des utilisateurs, un plan de communication solide est en place pour veiller à ce que les fonctionnaires de partout au Canada soient au courant de l’initiative et encouragés à y participer. </w:t>
      </w:r>
    </w:p>
    <w:p w:rsidR="006B6BD6" w:rsidRPr="00424D3B" w:rsidRDefault="006B6BD6" w:rsidP="006B6BD6">
      <w:pPr>
        <w:spacing w:after="0" w:line="240" w:lineRule="auto"/>
        <w:ind w:left="360"/>
        <w:rPr>
          <w:sz w:val="32"/>
          <w:szCs w:val="24"/>
        </w:rPr>
      </w:pPr>
    </w:p>
    <w:p w:rsidR="006B6BD6" w:rsidRPr="006B6BD6" w:rsidRDefault="006B6BD6" w:rsidP="006B6BD6">
      <w:pPr>
        <w:rPr>
          <w:b/>
          <w:sz w:val="32"/>
        </w:rPr>
      </w:pPr>
      <w:r>
        <w:rPr>
          <w:b/>
          <w:sz w:val="32"/>
          <w:szCs w:val="24"/>
        </w:rPr>
        <w:t>Budget de 2019</w:t>
      </w:r>
    </w:p>
    <w:p w:rsidR="005668A0" w:rsidRPr="005668A0" w:rsidRDefault="005668A0" w:rsidP="009C439E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Dans le cadre du </w:t>
      </w:r>
      <w:r w:rsidR="00424D3B">
        <w:rPr>
          <w:sz w:val="28"/>
          <w:szCs w:val="28"/>
        </w:rPr>
        <w:t>B</w:t>
      </w:r>
      <w:r>
        <w:rPr>
          <w:sz w:val="28"/>
          <w:szCs w:val="28"/>
        </w:rPr>
        <w:t>udget de 2019, le gouvernement a reconnu les efforts continus déployés par l’</w:t>
      </w:r>
      <w:r w:rsidR="00424D3B">
        <w:rPr>
          <w:sz w:val="28"/>
          <w:szCs w:val="28"/>
        </w:rPr>
        <w:t>É</w:t>
      </w:r>
      <w:r>
        <w:rPr>
          <w:sz w:val="28"/>
          <w:szCs w:val="28"/>
        </w:rPr>
        <w:t>quipe de la prochaine génération afin de trouver des options pour une solution de</w:t>
      </w:r>
      <w:r w:rsidR="00424D3B">
        <w:rPr>
          <w:sz w:val="28"/>
          <w:szCs w:val="28"/>
        </w:rPr>
        <w:t>s</w:t>
      </w:r>
      <w:r>
        <w:rPr>
          <w:sz w:val="28"/>
          <w:szCs w:val="28"/>
        </w:rPr>
        <w:t xml:space="preserve"> RH et de </w:t>
      </w:r>
      <w:r w:rsidR="00424D3B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paye de prochaine génération. </w:t>
      </w:r>
    </w:p>
    <w:p w:rsidR="009C439E" w:rsidRPr="009C439E" w:rsidRDefault="009C439E" w:rsidP="009C439E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Le </w:t>
      </w:r>
      <w:r w:rsidR="00424D3B">
        <w:rPr>
          <w:sz w:val="28"/>
          <w:szCs w:val="28"/>
        </w:rPr>
        <w:t>B</w:t>
      </w:r>
      <w:r>
        <w:rPr>
          <w:sz w:val="28"/>
          <w:szCs w:val="28"/>
        </w:rPr>
        <w:t>udget de 2019 a rappelé que le gouvernement s’est engagé à collaborer avec les fournisseurs et les intervenants pour élaborer les meilleu</w:t>
      </w:r>
      <w:r w:rsidR="00424D3B">
        <w:rPr>
          <w:sz w:val="28"/>
          <w:szCs w:val="28"/>
        </w:rPr>
        <w:t>res solutions, dont des projets-</w:t>
      </w:r>
      <w:r>
        <w:rPr>
          <w:sz w:val="28"/>
          <w:szCs w:val="28"/>
        </w:rPr>
        <w:t>pilotes qui permettront d’effectuer d’autres essais auprès de certains ministères et organismes.</w:t>
      </w:r>
    </w:p>
    <w:p w:rsidR="005668A0" w:rsidRPr="009C439E" w:rsidRDefault="005668A0" w:rsidP="009C439E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Même si le </w:t>
      </w:r>
      <w:r w:rsidR="00424D3B">
        <w:rPr>
          <w:sz w:val="28"/>
          <w:szCs w:val="28"/>
        </w:rPr>
        <w:t>B</w:t>
      </w:r>
      <w:r>
        <w:rPr>
          <w:sz w:val="28"/>
          <w:szCs w:val="28"/>
        </w:rPr>
        <w:t>udget de 2019 ne prévoit aucuns fonds pour ces prochaines étapes, l’</w:t>
      </w:r>
      <w:r w:rsidR="00424D3B">
        <w:rPr>
          <w:sz w:val="28"/>
          <w:szCs w:val="28"/>
        </w:rPr>
        <w:t>É</w:t>
      </w:r>
      <w:r>
        <w:rPr>
          <w:sz w:val="28"/>
          <w:szCs w:val="28"/>
        </w:rPr>
        <w:t>quipe de la prochaine génération demandera une décision au sujet du financement de la prochaine phase des travaux pour cette initiative.</w:t>
      </w:r>
    </w:p>
    <w:p w:rsidR="00FB1421" w:rsidRPr="005668A0" w:rsidRDefault="00FB1421" w:rsidP="00FB1421">
      <w:pPr>
        <w:rPr>
          <w:sz w:val="32"/>
        </w:rPr>
      </w:pPr>
    </w:p>
    <w:sectPr w:rsidR="00FB1421" w:rsidRPr="005668A0" w:rsidSect="006B6BD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31" w:rsidRDefault="00724831" w:rsidP="006B6BD6">
      <w:pPr>
        <w:spacing w:after="0" w:line="240" w:lineRule="auto"/>
      </w:pPr>
      <w:r>
        <w:separator/>
      </w:r>
    </w:p>
  </w:endnote>
  <w:endnote w:type="continuationSeparator" w:id="0">
    <w:p w:rsidR="00724831" w:rsidRDefault="00724831" w:rsidP="006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31" w:rsidRDefault="00724831" w:rsidP="006B6BD6">
      <w:pPr>
        <w:spacing w:after="0" w:line="240" w:lineRule="auto"/>
      </w:pPr>
      <w:r>
        <w:separator/>
      </w:r>
    </w:p>
  </w:footnote>
  <w:footnote w:type="continuationSeparator" w:id="0">
    <w:p w:rsidR="00724831" w:rsidRDefault="00724831" w:rsidP="006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6" w:rsidRDefault="006B6BD6" w:rsidP="006B6BD6">
    <w:pPr>
      <w:pStyle w:val="Header"/>
    </w:pPr>
    <w:bookmarkStart w:id="1" w:name="TITUS1HeaderEvenPages"/>
  </w:p>
  <w:bookmarkEnd w:id="1"/>
  <w:p w:rsidR="006B6BD6" w:rsidRDefault="006B6B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6" w:rsidRDefault="006B6BD6" w:rsidP="006B6BD6">
    <w:pPr>
      <w:pStyle w:val="Header"/>
    </w:pPr>
    <w:bookmarkStart w:id="2" w:name="TITUS1HeaderPrimary"/>
  </w:p>
  <w:bookmarkEnd w:id="2"/>
  <w:p w:rsidR="006B6BD6" w:rsidRDefault="006B6B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D6" w:rsidRDefault="006B6BD6" w:rsidP="006B6BD6">
    <w:pPr>
      <w:pStyle w:val="Header"/>
    </w:pPr>
    <w:bookmarkStart w:id="3" w:name="TITUS1HeaderFirstPage"/>
  </w:p>
  <w:bookmarkEnd w:id="3"/>
  <w:p w:rsidR="006B6BD6" w:rsidRDefault="006B6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11C"/>
    <w:multiLevelType w:val="hybridMultilevel"/>
    <w:tmpl w:val="74BA7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211"/>
    <w:multiLevelType w:val="hybridMultilevel"/>
    <w:tmpl w:val="AA1EAA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EAF"/>
    <w:multiLevelType w:val="hybridMultilevel"/>
    <w:tmpl w:val="09C88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1F7D"/>
    <w:multiLevelType w:val="hybridMultilevel"/>
    <w:tmpl w:val="481A5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4E72"/>
    <w:multiLevelType w:val="hybridMultilevel"/>
    <w:tmpl w:val="5CBAE7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5C0858"/>
    <w:multiLevelType w:val="hybridMultilevel"/>
    <w:tmpl w:val="A56229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461E"/>
    <w:multiLevelType w:val="hybridMultilevel"/>
    <w:tmpl w:val="3B187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4B49CA-8301-4C6E-B70A-7C0C261669FD}"/>
    <w:docVar w:name="dgnword-eventsink" w:val="961863616"/>
  </w:docVars>
  <w:rsids>
    <w:rsidRoot w:val="004A0B42"/>
    <w:rsid w:val="001D17E6"/>
    <w:rsid w:val="003B2F21"/>
    <w:rsid w:val="003E52BC"/>
    <w:rsid w:val="00424D3B"/>
    <w:rsid w:val="00477410"/>
    <w:rsid w:val="004A0B42"/>
    <w:rsid w:val="005668A0"/>
    <w:rsid w:val="005E4A48"/>
    <w:rsid w:val="006B6BD6"/>
    <w:rsid w:val="00717ABC"/>
    <w:rsid w:val="00724831"/>
    <w:rsid w:val="00742CBC"/>
    <w:rsid w:val="007F3218"/>
    <w:rsid w:val="008D1286"/>
    <w:rsid w:val="00947C44"/>
    <w:rsid w:val="0095349C"/>
    <w:rsid w:val="009A2C6D"/>
    <w:rsid w:val="009C439E"/>
    <w:rsid w:val="00D359FA"/>
    <w:rsid w:val="00DD29AD"/>
    <w:rsid w:val="00E17B5D"/>
    <w:rsid w:val="00E829A2"/>
    <w:rsid w:val="00EB7079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8745-5834-45A2-B870-9AA5EDC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D6"/>
  </w:style>
  <w:style w:type="paragraph" w:styleId="Footer">
    <w:name w:val="footer"/>
    <w:basedOn w:val="Normal"/>
    <w:link w:val="FooterChar"/>
    <w:uiPriority w:val="99"/>
    <w:unhideWhenUsed/>
    <w:rsid w:val="006B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DF7B-4834-45AF-973B-E14E0598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2977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Bernardo, Amanda</dc:creator>
  <cp:keywords/>
  <dc:description/>
  <cp:lastModifiedBy>Leblanc, Isabelle</cp:lastModifiedBy>
  <cp:revision>3</cp:revision>
  <dcterms:created xsi:type="dcterms:W3CDTF">2019-06-20T14:01:00Z</dcterms:created>
  <dcterms:modified xsi:type="dcterms:W3CDTF">2019-06-20T14:01:00Z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d260fda0-a60a-467d-9961-ca26deb787b7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