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A411C" w14:textId="77777777" w:rsidR="005E46A6" w:rsidRPr="004120BF" w:rsidRDefault="005E46A6" w:rsidP="005E46A6">
      <w:pPr>
        <w:jc w:val="center"/>
        <w:rPr>
          <w:b/>
          <w:sz w:val="28"/>
          <w:szCs w:val="28"/>
        </w:rPr>
      </w:pPr>
      <w:r w:rsidRPr="004120BF">
        <w:rPr>
          <w:b/>
          <w:sz w:val="28"/>
          <w:szCs w:val="28"/>
        </w:rPr>
        <w:t>30-Day Response or Written Explanation Guarantee</w:t>
      </w:r>
    </w:p>
    <w:p w14:paraId="40507755" w14:textId="5CFB9B2C" w:rsidR="005E46A6" w:rsidRDefault="000E03BD" w:rsidP="005E46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</w:t>
      </w:r>
      <w:r w:rsidR="00742F61" w:rsidRPr="004120BF">
        <w:rPr>
          <w:b/>
          <w:sz w:val="24"/>
          <w:szCs w:val="24"/>
        </w:rPr>
        <w:t xml:space="preserve"> </w:t>
      </w:r>
      <w:r w:rsidR="00CE5EEA" w:rsidRPr="004120BF">
        <w:rPr>
          <w:b/>
          <w:sz w:val="24"/>
          <w:szCs w:val="24"/>
        </w:rPr>
        <w:t>Written Explanations</w:t>
      </w:r>
    </w:p>
    <w:p w14:paraId="7A20386E" w14:textId="35CE8186" w:rsidR="003143A2" w:rsidRDefault="003143A2" w:rsidP="003143A2">
      <w:r>
        <w:t xml:space="preserve">The following </w:t>
      </w:r>
      <w:r w:rsidR="000E03BD">
        <w:t>model</w:t>
      </w:r>
      <w:r>
        <w:t xml:space="preserve"> explanations are provided as a resource. Institutions are encouraged to use these </w:t>
      </w:r>
      <w:r w:rsidR="000E03BD">
        <w:t>model</w:t>
      </w:r>
      <w:r w:rsidR="009B5FFB">
        <w:t xml:space="preserve"> explanations</w:t>
      </w:r>
      <w:r>
        <w:t xml:space="preserve"> a basis for correspondence with requesters, or to adapt them</w:t>
      </w:r>
      <w:r w:rsidR="003E3916">
        <w:t xml:space="preserve"> as appropriate. Even when using these </w:t>
      </w:r>
      <w:r w:rsidR="000E03BD">
        <w:t>model</w:t>
      </w:r>
      <w:r w:rsidR="003E3916">
        <w:t xml:space="preserve"> explanations, h</w:t>
      </w:r>
      <w:r>
        <w:t xml:space="preserve">eads of institutions </w:t>
      </w:r>
      <w:r w:rsidR="003E3916">
        <w:t>remain responsible for ensuring</w:t>
      </w:r>
      <w:r>
        <w:t xml:space="preserve"> than any extension falls within the reasons specified in s.15 of the </w:t>
      </w:r>
      <w:r w:rsidRPr="009B5FFB">
        <w:rPr>
          <w:i/>
        </w:rPr>
        <w:t>Privacy Act</w:t>
      </w:r>
      <w:r>
        <w:t xml:space="preserve">. </w:t>
      </w:r>
      <w:r w:rsidR="000E03BD">
        <w:t>The use of</w:t>
      </w:r>
      <w:r>
        <w:t xml:space="preserve"> </w:t>
      </w:r>
      <w:r w:rsidR="000E03BD">
        <w:t xml:space="preserve">model </w:t>
      </w:r>
      <w:r>
        <w:t xml:space="preserve">explanations also does not </w:t>
      </w:r>
      <w:r w:rsidR="009B5FFB">
        <w:t>impact</w:t>
      </w:r>
      <w:r>
        <w:t xml:space="preserve"> the right of requesters to complain to the Office of the Privacy Commissioner.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547"/>
        <w:gridCol w:w="5310"/>
        <w:gridCol w:w="1133"/>
      </w:tblGrid>
      <w:tr w:rsidR="00A13C71" w:rsidRPr="004120BF" w14:paraId="2DB1E08E" w14:textId="77777777" w:rsidTr="00A13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58F58B" w14:textId="1C00748A" w:rsidR="00A13C71" w:rsidRPr="004120BF" w:rsidRDefault="00A13C71" w:rsidP="00543F2D">
            <w:pPr>
              <w:pStyle w:val="Heading1"/>
              <w:ind w:left="0" w:firstLine="0"/>
              <w:outlineLvl w:val="0"/>
              <w:rPr>
                <w:rFonts w:asciiTheme="minorHAnsi" w:hAnsiTheme="minorHAnsi" w:cs="Arial"/>
                <w:color w:val="auto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  <w:lang w:val="en-CA"/>
              </w:rPr>
              <w:t>Circumstances</w:t>
            </w:r>
          </w:p>
        </w:tc>
        <w:tc>
          <w:tcPr>
            <w:tcW w:w="5310" w:type="dxa"/>
          </w:tcPr>
          <w:p w14:paraId="33D09064" w14:textId="58839A83" w:rsidR="00A13C71" w:rsidRPr="004120BF" w:rsidRDefault="00A13C71" w:rsidP="00543F2D">
            <w:pPr>
              <w:pStyle w:val="Heading1"/>
              <w:ind w:left="0" w:firstLin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  <w:lang w:val="en-CA"/>
              </w:rPr>
              <w:t>Proposed Written Explanation</w:t>
            </w:r>
          </w:p>
        </w:tc>
        <w:tc>
          <w:tcPr>
            <w:tcW w:w="1133" w:type="dxa"/>
          </w:tcPr>
          <w:p w14:paraId="63401D53" w14:textId="4BCB7F43" w:rsidR="00A13C71" w:rsidRPr="004120BF" w:rsidRDefault="00A13C71" w:rsidP="00543F2D">
            <w:pPr>
              <w:pStyle w:val="Heading1"/>
              <w:ind w:left="0" w:firstLin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  <w:lang w:val="en-CA"/>
              </w:rPr>
              <w:t>Section</w:t>
            </w:r>
          </w:p>
        </w:tc>
      </w:tr>
      <w:tr w:rsidR="00074820" w:rsidRPr="004120BF" w14:paraId="0F12D9A4" w14:textId="77777777" w:rsidTr="00056ECE">
        <w:trPr>
          <w:cantSplit/>
          <w:trHeight w:val="3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65C39AF" w14:textId="36675F9F" w:rsidR="00074820" w:rsidRPr="004120BF" w:rsidRDefault="00074820" w:rsidP="00F2150C">
            <w:pPr>
              <w:pStyle w:val="Heading2"/>
              <w:spacing w:after="120" w:line="23" w:lineRule="atLeast"/>
              <w:ind w:left="0" w:firstLine="0"/>
              <w:outlineLvl w:val="1"/>
              <w:rPr>
                <w:rFonts w:asciiTheme="minorHAnsi" w:hAnsiTheme="minorHAnsi" w:cs="Arial"/>
                <w:color w:val="auto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Further </w:t>
            </w:r>
            <w:r w:rsidR="00F2150C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review is </w:t>
            </w:r>
            <w:r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required to determine whether information should be exempted under ss. 18-28 of the </w:t>
            </w:r>
            <w:r w:rsidRPr="00074820">
              <w:rPr>
                <w:rFonts w:asciiTheme="minorHAnsi" w:hAnsiTheme="minorHAnsi" w:cs="Calibri"/>
                <w:i/>
                <w:color w:val="auto"/>
                <w:sz w:val="24"/>
                <w:szCs w:val="24"/>
              </w:rPr>
              <w:t>Privacy Act</w:t>
            </w:r>
            <w:r>
              <w:rPr>
                <w:rFonts w:asciiTheme="minorHAnsi" w:hAnsiTheme="minorHAnsi" w:cs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5310" w:type="dxa"/>
          </w:tcPr>
          <w:p w14:paraId="1F694348" w14:textId="09C8B23F" w:rsidR="00074820" w:rsidRDefault="00074820" w:rsidP="00074820">
            <w:pPr>
              <w:pStyle w:val="Heading2"/>
              <w:spacing w:after="120" w:line="23" w:lineRule="atLeast"/>
              <w:ind w:left="0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</w:pP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We will require additional time beyond the initial 30 days specified in the </w:t>
            </w:r>
            <w:r w:rsidRPr="004120BF">
              <w:rPr>
                <w:rFonts w:asciiTheme="minorHAnsi" w:hAnsiTheme="minorHAnsi" w:cs="Calibri"/>
                <w:i/>
                <w:color w:val="auto"/>
                <w:sz w:val="24"/>
                <w:szCs w:val="24"/>
                <w:lang w:val="en-CA"/>
              </w:rPr>
              <w:t>Privacy Act</w:t>
            </w: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 to respond to your request </w:t>
            </w:r>
            <w:r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because </w:t>
            </w:r>
            <w:r w:rsidR="004A225B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>the records containing your personal information also include other sensitive information.</w:t>
            </w:r>
            <w:r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 We will need </w:t>
            </w:r>
            <w:r w:rsidR="004A225B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>to</w:t>
            </w:r>
            <w:r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 review the records to protect the privacy of others and to protect other information that cannot be released.</w:t>
            </w:r>
          </w:p>
          <w:p w14:paraId="08E7851A" w14:textId="5251B70A" w:rsidR="00074820" w:rsidRPr="004120BF" w:rsidRDefault="00074820" w:rsidP="00074820">
            <w:pPr>
              <w:pStyle w:val="Heading2"/>
              <w:spacing w:after="120" w:line="23" w:lineRule="atLeast"/>
              <w:ind w:left="0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</w:pP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This extension is in accordance </w:t>
            </w: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with paragraph 15(a)(i) of the </w:t>
            </w:r>
            <w:r w:rsidRPr="004120BF">
              <w:rPr>
                <w:rFonts w:asciiTheme="minorHAnsi" w:hAnsiTheme="minorHAnsi" w:cs="Calibri"/>
                <w:i/>
                <w:color w:val="auto"/>
                <w:sz w:val="24"/>
                <w:szCs w:val="24"/>
              </w:rPr>
              <w:t>Privacy Act</w:t>
            </w:r>
            <w:r w:rsidR="00F2150C">
              <w:rPr>
                <w:rFonts w:asciiTheme="minorHAnsi" w:hAnsiTheme="minorHAnsi" w:cs="Calibri"/>
                <w:color w:val="auto"/>
                <w:sz w:val="24"/>
                <w:szCs w:val="24"/>
              </w:rPr>
              <w:t>.</w:t>
            </w: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 </w:t>
            </w:r>
            <w:r w:rsidRPr="004120BF">
              <w:rPr>
                <w:rFonts w:asciiTheme="minorHAnsi" w:hAnsiTheme="minorHAnsi"/>
                <w:sz w:val="24"/>
                <w:szCs w:val="24"/>
              </w:rPr>
              <w:t>The extension is necessary because meeting the original time limit would unreasonably interfere with the operations of the institution.</w:t>
            </w:r>
          </w:p>
        </w:tc>
        <w:tc>
          <w:tcPr>
            <w:tcW w:w="1133" w:type="dxa"/>
          </w:tcPr>
          <w:p w14:paraId="34E9F96F" w14:textId="77777777" w:rsidR="00074820" w:rsidRPr="004120BF" w:rsidRDefault="00074820" w:rsidP="007D6AF7">
            <w:pPr>
              <w:pStyle w:val="Heading2"/>
              <w:spacing w:after="120" w:line="23" w:lineRule="atLeast"/>
              <w:ind w:left="0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auto"/>
                <w:sz w:val="24"/>
                <w:szCs w:val="24"/>
                <w:lang w:val="en-CA"/>
              </w:rPr>
            </w:pPr>
            <w:r w:rsidRPr="004120BF">
              <w:rPr>
                <w:rFonts w:asciiTheme="minorHAnsi" w:hAnsiTheme="minorHAnsi" w:cs="Calibri"/>
                <w:b/>
                <w:color w:val="auto"/>
                <w:sz w:val="24"/>
                <w:szCs w:val="24"/>
              </w:rPr>
              <w:t>15 (a)(i)</w:t>
            </w:r>
          </w:p>
        </w:tc>
      </w:tr>
      <w:tr w:rsidR="00AE4436" w:rsidRPr="004120BF" w14:paraId="69BA2621" w14:textId="77777777" w:rsidTr="00A13C7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CAFD200" w14:textId="77777777" w:rsidR="00AE4436" w:rsidRPr="004120BF" w:rsidRDefault="00AE4436" w:rsidP="007D6AF7">
            <w:pPr>
              <w:pStyle w:val="Heading2"/>
              <w:spacing w:after="120" w:line="23" w:lineRule="atLeast"/>
              <w:ind w:left="0" w:firstLine="0"/>
              <w:outlineLvl w:val="1"/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</w:pP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br w:type="page"/>
              <w:t>There is a large volume of pages related to the request</w:t>
            </w:r>
          </w:p>
        </w:tc>
        <w:tc>
          <w:tcPr>
            <w:tcW w:w="5310" w:type="dxa"/>
          </w:tcPr>
          <w:p w14:paraId="70181A52" w14:textId="00B2EDE5" w:rsidR="00AE4436" w:rsidRPr="004120BF" w:rsidRDefault="004E6E45" w:rsidP="007D6AF7">
            <w:pPr>
              <w:spacing w:after="1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20BF">
              <w:rPr>
                <w:rFonts w:cs="Calibri"/>
                <w:sz w:val="24"/>
                <w:szCs w:val="24"/>
              </w:rPr>
              <w:t xml:space="preserve">We will require additional </w:t>
            </w:r>
            <w:r w:rsidR="005A0C8C" w:rsidRPr="004120BF">
              <w:rPr>
                <w:rFonts w:cs="Calibri"/>
                <w:sz w:val="24"/>
                <w:szCs w:val="24"/>
              </w:rPr>
              <w:t xml:space="preserve">time beyond the initial 30 days specified in the </w:t>
            </w:r>
            <w:r w:rsidR="005A0C8C" w:rsidRPr="004120BF">
              <w:rPr>
                <w:rFonts w:cs="Calibri"/>
                <w:i/>
                <w:sz w:val="24"/>
                <w:szCs w:val="24"/>
              </w:rPr>
              <w:t>Privacy Act</w:t>
            </w:r>
            <w:r w:rsidR="005A0C8C" w:rsidRPr="004120BF">
              <w:rPr>
                <w:rFonts w:cs="Calibri"/>
                <w:sz w:val="24"/>
                <w:szCs w:val="24"/>
              </w:rPr>
              <w:t xml:space="preserve"> </w:t>
            </w:r>
            <w:r w:rsidRPr="004120BF">
              <w:rPr>
                <w:rFonts w:cs="Calibri"/>
                <w:sz w:val="24"/>
                <w:szCs w:val="24"/>
              </w:rPr>
              <w:t>to respond to your request</w:t>
            </w:r>
            <w:r w:rsidRPr="004120BF">
              <w:rPr>
                <w:sz w:val="24"/>
                <w:szCs w:val="24"/>
              </w:rPr>
              <w:t xml:space="preserve"> </w:t>
            </w:r>
            <w:r w:rsidR="00AE4436" w:rsidRPr="004120BF">
              <w:rPr>
                <w:sz w:val="24"/>
                <w:szCs w:val="24"/>
              </w:rPr>
              <w:t xml:space="preserve">due to the volume of </w:t>
            </w:r>
            <w:r w:rsidR="005A0C8C" w:rsidRPr="004120BF">
              <w:rPr>
                <w:sz w:val="24"/>
                <w:szCs w:val="24"/>
              </w:rPr>
              <w:t>records associated with your</w:t>
            </w:r>
            <w:r w:rsidR="0090343A">
              <w:rPr>
                <w:sz w:val="24"/>
                <w:szCs w:val="24"/>
              </w:rPr>
              <w:t xml:space="preserve"> request.</w:t>
            </w:r>
            <w:r w:rsidR="00E8076B" w:rsidRPr="004120BF">
              <w:rPr>
                <w:sz w:val="24"/>
                <w:szCs w:val="24"/>
              </w:rPr>
              <w:t xml:space="preserve"> </w:t>
            </w:r>
            <w:r w:rsidR="005A0C8C" w:rsidRPr="004120BF">
              <w:rPr>
                <w:sz w:val="24"/>
                <w:szCs w:val="24"/>
              </w:rPr>
              <w:t>We will need to</w:t>
            </w:r>
            <w:r w:rsidR="00AE4436" w:rsidRPr="004120BF">
              <w:rPr>
                <w:sz w:val="24"/>
                <w:szCs w:val="24"/>
              </w:rPr>
              <w:t xml:space="preserve"> </w:t>
            </w:r>
            <w:r w:rsidR="005A0C8C" w:rsidRPr="004120BF">
              <w:rPr>
                <w:sz w:val="24"/>
                <w:szCs w:val="24"/>
              </w:rPr>
              <w:t>locate</w:t>
            </w:r>
            <w:r w:rsidRPr="004120BF">
              <w:rPr>
                <w:sz w:val="24"/>
                <w:szCs w:val="24"/>
              </w:rPr>
              <w:t>, retrieve</w:t>
            </w:r>
            <w:r w:rsidR="005A0C8C" w:rsidRPr="004120BF">
              <w:rPr>
                <w:sz w:val="24"/>
                <w:szCs w:val="24"/>
              </w:rPr>
              <w:t xml:space="preserve"> and review </w:t>
            </w:r>
            <w:r w:rsidR="00AE4436" w:rsidRPr="004120BF">
              <w:rPr>
                <w:sz w:val="24"/>
                <w:szCs w:val="24"/>
              </w:rPr>
              <w:t>a large number of records.</w:t>
            </w:r>
          </w:p>
          <w:p w14:paraId="5E01FCEB" w14:textId="6BA7590E" w:rsidR="00AE4436" w:rsidRPr="004120BF" w:rsidRDefault="00AE4436" w:rsidP="007D6AF7">
            <w:pPr>
              <w:spacing w:after="1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20BF">
              <w:rPr>
                <w:sz w:val="24"/>
                <w:szCs w:val="24"/>
              </w:rPr>
              <w:t xml:space="preserve">This extension is in accordance with paragraph 15(a)(i) of the </w:t>
            </w:r>
            <w:r w:rsidRPr="004120BF">
              <w:rPr>
                <w:i/>
                <w:sz w:val="24"/>
                <w:szCs w:val="24"/>
              </w:rPr>
              <w:t>Privacy Act</w:t>
            </w:r>
            <w:r w:rsidR="0090343A">
              <w:rPr>
                <w:sz w:val="24"/>
                <w:szCs w:val="24"/>
              </w:rPr>
              <w:t>.</w:t>
            </w:r>
            <w:r w:rsidR="00E8076B" w:rsidRPr="004120BF">
              <w:rPr>
                <w:sz w:val="24"/>
                <w:szCs w:val="24"/>
              </w:rPr>
              <w:t xml:space="preserve"> </w:t>
            </w:r>
            <w:r w:rsidR="004E6E45" w:rsidRPr="004120BF">
              <w:rPr>
                <w:sz w:val="24"/>
                <w:szCs w:val="24"/>
              </w:rPr>
              <w:t>The extension is necessary because</w:t>
            </w:r>
            <w:r w:rsidRPr="004120BF">
              <w:rPr>
                <w:sz w:val="24"/>
                <w:szCs w:val="24"/>
              </w:rPr>
              <w:t xml:space="preserve"> meeting the original time</w:t>
            </w:r>
            <w:r w:rsidR="00742F61" w:rsidRPr="004120BF">
              <w:rPr>
                <w:sz w:val="24"/>
                <w:szCs w:val="24"/>
              </w:rPr>
              <w:t xml:space="preserve"> limit </w:t>
            </w:r>
            <w:r w:rsidRPr="004120BF">
              <w:rPr>
                <w:sz w:val="24"/>
                <w:szCs w:val="24"/>
              </w:rPr>
              <w:t>would unreasonably interfere with</w:t>
            </w:r>
            <w:r w:rsidR="000D679D" w:rsidRPr="004120BF">
              <w:rPr>
                <w:sz w:val="24"/>
                <w:szCs w:val="24"/>
              </w:rPr>
              <w:t xml:space="preserve"> the</w:t>
            </w:r>
            <w:r w:rsidRPr="004120BF">
              <w:rPr>
                <w:sz w:val="24"/>
                <w:szCs w:val="24"/>
              </w:rPr>
              <w:t xml:space="preserve"> operations of the institution. </w:t>
            </w:r>
          </w:p>
        </w:tc>
        <w:tc>
          <w:tcPr>
            <w:tcW w:w="1133" w:type="dxa"/>
          </w:tcPr>
          <w:p w14:paraId="0D50A442" w14:textId="77777777" w:rsidR="00AE4436" w:rsidRPr="004120BF" w:rsidRDefault="00AE4436" w:rsidP="007D6AF7">
            <w:pPr>
              <w:pStyle w:val="Heading1"/>
              <w:spacing w:after="120" w:line="23" w:lineRule="atLeas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4"/>
                <w:szCs w:val="24"/>
                <w:lang w:val="en-CA"/>
              </w:rPr>
            </w:pPr>
            <w:r w:rsidRPr="004120BF">
              <w:rPr>
                <w:rFonts w:asciiTheme="minorHAnsi" w:hAnsiTheme="minorHAnsi" w:cs="Calibri"/>
                <w:b/>
                <w:color w:val="auto"/>
                <w:sz w:val="24"/>
                <w:szCs w:val="24"/>
              </w:rPr>
              <w:t>15 (a)(i)</w:t>
            </w:r>
          </w:p>
        </w:tc>
      </w:tr>
      <w:tr w:rsidR="00AE4436" w:rsidRPr="004120BF" w14:paraId="665A3CBB" w14:textId="77777777" w:rsidTr="00B57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519F0B7" w14:textId="3AFB279D" w:rsidR="00AE4436" w:rsidRPr="004120BF" w:rsidRDefault="00074820" w:rsidP="007D6AF7">
            <w:pPr>
              <w:pStyle w:val="Heading2"/>
              <w:spacing w:after="120" w:line="23" w:lineRule="atLeast"/>
              <w:ind w:left="0" w:firstLine="0"/>
              <w:outlineLvl w:val="1"/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>The institution is experiencing</w:t>
            </w:r>
            <w:r w:rsidR="00F33BA5"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 a large volume of requests</w:t>
            </w:r>
          </w:p>
        </w:tc>
        <w:tc>
          <w:tcPr>
            <w:tcW w:w="5310" w:type="dxa"/>
          </w:tcPr>
          <w:p w14:paraId="0AB1B935" w14:textId="45EAB08B" w:rsidR="00AE4436" w:rsidRPr="004120BF" w:rsidRDefault="004E6E45" w:rsidP="007D6AF7">
            <w:pPr>
              <w:pStyle w:val="Heading2"/>
              <w:spacing w:after="120" w:line="23" w:lineRule="atLeast"/>
              <w:ind w:left="0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auto"/>
                <w:sz w:val="24"/>
                <w:szCs w:val="24"/>
              </w:rPr>
            </w:pP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>We will require additional</w:t>
            </w:r>
            <w:r w:rsidR="005A0C8C"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 time beyond the initial 30 days specified in the </w:t>
            </w:r>
            <w:r w:rsidR="005A0C8C" w:rsidRPr="004120BF">
              <w:rPr>
                <w:rFonts w:asciiTheme="minorHAnsi" w:hAnsiTheme="minorHAnsi" w:cs="Calibri"/>
                <w:i/>
                <w:color w:val="auto"/>
                <w:sz w:val="24"/>
                <w:szCs w:val="24"/>
                <w:lang w:val="en-CA"/>
              </w:rPr>
              <w:t>Privacy Act</w:t>
            </w:r>
            <w:r w:rsidR="005A0C8C"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 </w:t>
            </w: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>to respond to your request</w:t>
            </w: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 </w:t>
            </w:r>
            <w:r w:rsidR="005A0C8C"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>due to the</w:t>
            </w:r>
            <w:r w:rsidR="00AE4436"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 high volume of requests currently being processed by our institution.</w:t>
            </w:r>
          </w:p>
          <w:p w14:paraId="22D23B9C" w14:textId="2416C4A7" w:rsidR="00AE4436" w:rsidRPr="004120BF" w:rsidRDefault="00AE4436" w:rsidP="007D6AF7">
            <w:pPr>
              <w:spacing w:after="1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120BF">
              <w:rPr>
                <w:sz w:val="24"/>
                <w:szCs w:val="24"/>
                <w:lang w:val="en-US"/>
              </w:rPr>
              <w:t xml:space="preserve">This extension is in accordance </w:t>
            </w:r>
            <w:r w:rsidR="005A0C8C" w:rsidRPr="004120BF">
              <w:rPr>
                <w:sz w:val="24"/>
                <w:szCs w:val="24"/>
                <w:lang w:val="en-US"/>
              </w:rPr>
              <w:t xml:space="preserve">with </w:t>
            </w:r>
            <w:r w:rsidRPr="004120BF">
              <w:rPr>
                <w:rFonts w:cs="Calibri"/>
                <w:sz w:val="24"/>
                <w:szCs w:val="24"/>
              </w:rPr>
              <w:t xml:space="preserve">paragraph 15(a)(i) of the </w:t>
            </w:r>
            <w:r w:rsidRPr="004120BF">
              <w:rPr>
                <w:rFonts w:cs="Calibri"/>
                <w:i/>
                <w:sz w:val="24"/>
                <w:szCs w:val="24"/>
              </w:rPr>
              <w:t>Privacy Act</w:t>
            </w:r>
            <w:r w:rsidR="0090343A">
              <w:rPr>
                <w:rFonts w:cs="Calibri"/>
                <w:sz w:val="24"/>
                <w:szCs w:val="24"/>
              </w:rPr>
              <w:t>.</w:t>
            </w:r>
            <w:r w:rsidR="00E8076B" w:rsidRPr="004120BF">
              <w:rPr>
                <w:rFonts w:cs="Calibri"/>
                <w:sz w:val="24"/>
                <w:szCs w:val="24"/>
              </w:rPr>
              <w:t xml:space="preserve"> </w:t>
            </w:r>
            <w:r w:rsidRPr="004120BF">
              <w:rPr>
                <w:sz w:val="24"/>
                <w:szCs w:val="24"/>
              </w:rPr>
              <w:t xml:space="preserve">The extension </w:t>
            </w:r>
            <w:r w:rsidR="004E6E45" w:rsidRPr="004120BF">
              <w:rPr>
                <w:sz w:val="24"/>
                <w:szCs w:val="24"/>
              </w:rPr>
              <w:t>is necessary because</w:t>
            </w:r>
            <w:r w:rsidRPr="004120BF">
              <w:rPr>
                <w:sz w:val="24"/>
                <w:szCs w:val="24"/>
              </w:rPr>
              <w:t xml:space="preserve"> meeting the original time</w:t>
            </w:r>
            <w:r w:rsidR="00742F61" w:rsidRPr="004120BF">
              <w:rPr>
                <w:sz w:val="24"/>
                <w:szCs w:val="24"/>
              </w:rPr>
              <w:t xml:space="preserve"> limit</w:t>
            </w:r>
            <w:r w:rsidR="00694D13" w:rsidRPr="004120BF">
              <w:rPr>
                <w:sz w:val="24"/>
                <w:szCs w:val="24"/>
              </w:rPr>
              <w:t xml:space="preserve"> </w:t>
            </w:r>
            <w:r w:rsidRPr="004120BF">
              <w:rPr>
                <w:sz w:val="24"/>
                <w:szCs w:val="24"/>
              </w:rPr>
              <w:t>would unreasonably interfere with</w:t>
            </w:r>
            <w:r w:rsidR="000D679D" w:rsidRPr="004120BF">
              <w:rPr>
                <w:sz w:val="24"/>
                <w:szCs w:val="24"/>
              </w:rPr>
              <w:t xml:space="preserve"> the</w:t>
            </w:r>
            <w:r w:rsidRPr="004120BF">
              <w:rPr>
                <w:sz w:val="24"/>
                <w:szCs w:val="24"/>
              </w:rPr>
              <w:t xml:space="preserve"> operations of the</w:t>
            </w:r>
            <w:bookmarkStart w:id="0" w:name="_GoBack"/>
            <w:bookmarkEnd w:id="0"/>
            <w:r w:rsidRPr="004120BF">
              <w:rPr>
                <w:sz w:val="24"/>
                <w:szCs w:val="24"/>
              </w:rPr>
              <w:t xml:space="preserve"> institution.</w:t>
            </w:r>
          </w:p>
        </w:tc>
        <w:tc>
          <w:tcPr>
            <w:tcW w:w="1133" w:type="dxa"/>
          </w:tcPr>
          <w:p w14:paraId="76459461" w14:textId="77777777" w:rsidR="00AE4436" w:rsidRPr="00F2150C" w:rsidRDefault="00AE4436" w:rsidP="007D6AF7">
            <w:pPr>
              <w:pStyle w:val="Heading1"/>
              <w:spacing w:after="120" w:line="23" w:lineRule="atLeas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CA"/>
              </w:rPr>
            </w:pPr>
            <w:r w:rsidRPr="00F2150C">
              <w:rPr>
                <w:rFonts w:asciiTheme="minorHAnsi" w:hAnsiTheme="minorHAnsi" w:cs="Calibri"/>
                <w:b/>
                <w:color w:val="auto"/>
                <w:sz w:val="24"/>
                <w:szCs w:val="24"/>
              </w:rPr>
              <w:t>15 (a)(i)</w:t>
            </w:r>
          </w:p>
        </w:tc>
      </w:tr>
      <w:tr w:rsidR="00AE4436" w:rsidRPr="004120BF" w14:paraId="0C16C4D4" w14:textId="77777777" w:rsidTr="00AE4436">
        <w:trPr>
          <w:trHeight w:val="2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ED8B690" w14:textId="7659B6A3" w:rsidR="00AE4436" w:rsidRPr="004120BF" w:rsidRDefault="005E1903" w:rsidP="007D6AF7">
            <w:pPr>
              <w:pStyle w:val="Heading1"/>
              <w:spacing w:after="120" w:line="23" w:lineRule="atLeast"/>
              <w:ind w:left="0" w:firstLine="0"/>
              <w:outlineLvl w:val="0"/>
              <w:rPr>
                <w:rFonts w:asciiTheme="minorHAnsi" w:hAnsiTheme="minorHAnsi" w:cs="Arial"/>
                <w:color w:val="auto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  <w:lang w:val="en-CA"/>
              </w:rPr>
              <w:lastRenderedPageBreak/>
              <w:t>The d</w:t>
            </w:r>
            <w:r w:rsidR="00AE4436" w:rsidRPr="004120BF">
              <w:rPr>
                <w:rFonts w:asciiTheme="minorHAnsi" w:hAnsiTheme="minorHAnsi" w:cs="Arial"/>
                <w:color w:val="auto"/>
                <w:sz w:val="24"/>
                <w:szCs w:val="24"/>
                <w:lang w:val="en-CA"/>
              </w:rPr>
              <w:t>ocument</w:t>
            </w:r>
            <w:r w:rsidR="002E693F" w:rsidRPr="004120BF">
              <w:rPr>
                <w:rFonts w:asciiTheme="minorHAnsi" w:hAnsiTheme="minorHAnsi" w:cs="Arial"/>
                <w:color w:val="auto"/>
                <w:sz w:val="24"/>
                <w:szCs w:val="24"/>
                <w:lang w:val="en-CA"/>
              </w:rPr>
              <w:t>s</w:t>
            </w:r>
            <w:r w:rsidR="00644384" w:rsidRPr="004120BF">
              <w:rPr>
                <w:rFonts w:asciiTheme="minorHAnsi" w:hAnsiTheme="minorHAnsi" w:cs="Arial"/>
                <w:color w:val="auto"/>
                <w:sz w:val="24"/>
                <w:szCs w:val="24"/>
                <w:lang w:val="en-CA"/>
              </w:rPr>
              <w:t xml:space="preserve"> are difficult to obtain</w:t>
            </w:r>
          </w:p>
        </w:tc>
        <w:tc>
          <w:tcPr>
            <w:tcW w:w="5310" w:type="dxa"/>
          </w:tcPr>
          <w:p w14:paraId="4AE089FA" w14:textId="24A8BDB1" w:rsidR="00AE4436" w:rsidRPr="004120BF" w:rsidRDefault="004E6E45" w:rsidP="007D6AF7">
            <w:pPr>
              <w:pStyle w:val="Heading2"/>
              <w:spacing w:after="120" w:line="23" w:lineRule="atLeast"/>
              <w:ind w:left="0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24"/>
                <w:szCs w:val="24"/>
              </w:rPr>
            </w:pP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We will require additional </w:t>
            </w:r>
            <w:r w:rsidR="005A0C8C"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time beyond the initial 30 days specified in the </w:t>
            </w:r>
            <w:r w:rsidR="005A0C8C" w:rsidRPr="004120BF">
              <w:rPr>
                <w:rFonts w:asciiTheme="minorHAnsi" w:hAnsiTheme="minorHAnsi" w:cs="Calibri"/>
                <w:i/>
                <w:color w:val="auto"/>
                <w:sz w:val="24"/>
                <w:szCs w:val="24"/>
                <w:lang w:val="en-CA"/>
              </w:rPr>
              <w:t>Privacy Act</w:t>
            </w:r>
            <w:r w:rsidR="005A0C8C"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 </w:t>
            </w: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>to respond to your request</w:t>
            </w: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 </w:t>
            </w:r>
            <w:r w:rsidR="004A225B">
              <w:rPr>
                <w:rFonts w:asciiTheme="minorHAnsi" w:hAnsiTheme="minorHAnsi" w:cs="Calibri"/>
                <w:color w:val="auto"/>
                <w:sz w:val="24"/>
                <w:szCs w:val="24"/>
              </w:rPr>
              <w:t>as</w:t>
            </w:r>
            <w:r w:rsidR="00AE4436"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 some of the </w:t>
            </w: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>records</w:t>
            </w:r>
            <w:r w:rsidR="00AE4436"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 you requested are c</w:t>
            </w:r>
            <w:r w:rsidR="0024187F"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>urrently difficult to obtain</w:t>
            </w:r>
            <w:r w:rsidR="00644384"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 </w:t>
            </w:r>
            <w:r w:rsidR="002E693F"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>because</w:t>
            </w:r>
            <w:r w:rsidR="00742F61"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 </w:t>
            </w:r>
            <w:r w:rsidR="00C92493"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>[</w:t>
            </w:r>
            <w:r w:rsidR="00644384"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>records have been archived</w:t>
            </w:r>
            <w:r w:rsidR="00742F61"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, records </w:t>
            </w:r>
            <w:r w:rsidR="00644384"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>are in storage</w:t>
            </w:r>
            <w:r w:rsidR="002E693F"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, </w:t>
            </w:r>
            <w:r w:rsidR="00742F61"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records </w:t>
            </w:r>
            <w:r w:rsidR="00760711"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are not available electronically, </w:t>
            </w:r>
            <w:r w:rsidR="004A225B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records are stored in backup tapes, </w:t>
            </w:r>
            <w:r w:rsidR="002E693F" w:rsidRPr="004120BF">
              <w:rPr>
                <w:rFonts w:asciiTheme="minorHAnsi" w:hAnsiTheme="minorHAnsi"/>
                <w:sz w:val="24"/>
                <w:szCs w:val="24"/>
              </w:rPr>
              <w:t xml:space="preserve">we will need to compile records from </w:t>
            </w:r>
            <w:r w:rsidR="00C92493" w:rsidRPr="004120BF">
              <w:rPr>
                <w:rFonts w:asciiTheme="minorHAnsi" w:hAnsiTheme="minorHAnsi"/>
                <w:sz w:val="24"/>
                <w:szCs w:val="24"/>
              </w:rPr>
              <w:t>multiple locations</w:t>
            </w:r>
            <w:r w:rsidR="002E693F" w:rsidRPr="004120BF">
              <w:rPr>
                <w:rFonts w:asciiTheme="minorHAnsi" w:hAnsiTheme="minorHAnsi"/>
                <w:sz w:val="24"/>
                <w:szCs w:val="24"/>
              </w:rPr>
              <w:t>,</w:t>
            </w:r>
            <w:r w:rsidR="00742F61" w:rsidRPr="004120BF">
              <w:rPr>
                <w:rFonts w:asciiTheme="minorHAnsi" w:hAnsiTheme="minorHAnsi"/>
                <w:sz w:val="24"/>
                <w:szCs w:val="24"/>
              </w:rPr>
              <w:t xml:space="preserve"> or</w:t>
            </w:r>
            <w:r w:rsidR="002E693F" w:rsidRPr="004120BF">
              <w:rPr>
                <w:rFonts w:asciiTheme="minorHAnsi" w:hAnsiTheme="minorHAnsi"/>
                <w:sz w:val="24"/>
                <w:szCs w:val="24"/>
              </w:rPr>
              <w:t xml:space="preserve"> your request covers a significant time period</w:t>
            </w:r>
            <w:r w:rsidR="00644384"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>]</w:t>
            </w:r>
            <w:r w:rsidR="00926650"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>.</w:t>
            </w:r>
          </w:p>
          <w:p w14:paraId="328E5A7C" w14:textId="10C90C61" w:rsidR="00AE4436" w:rsidRPr="004120BF" w:rsidRDefault="00AE4436" w:rsidP="007D6AF7">
            <w:pPr>
              <w:spacing w:after="1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120BF">
              <w:rPr>
                <w:sz w:val="24"/>
                <w:szCs w:val="24"/>
                <w:lang w:val="en-US"/>
              </w:rPr>
              <w:t xml:space="preserve">This extension is in </w:t>
            </w:r>
            <w:r w:rsidRPr="004120BF">
              <w:rPr>
                <w:rFonts w:cs="Calibri"/>
                <w:sz w:val="24"/>
                <w:szCs w:val="24"/>
              </w:rPr>
              <w:t xml:space="preserve">accordance with paragraph 15(a)(i) of the </w:t>
            </w:r>
            <w:r w:rsidRPr="004120BF">
              <w:rPr>
                <w:rFonts w:cs="Calibri"/>
                <w:i/>
                <w:sz w:val="24"/>
                <w:szCs w:val="24"/>
              </w:rPr>
              <w:t>Privacy Act</w:t>
            </w:r>
            <w:r w:rsidR="00F2150C">
              <w:rPr>
                <w:rFonts w:cs="Calibri"/>
                <w:sz w:val="24"/>
                <w:szCs w:val="24"/>
              </w:rPr>
              <w:t>.</w:t>
            </w:r>
            <w:r w:rsidR="00E8076B" w:rsidRPr="004120BF">
              <w:rPr>
                <w:rFonts w:cs="Calibri"/>
                <w:sz w:val="24"/>
                <w:szCs w:val="24"/>
              </w:rPr>
              <w:t xml:space="preserve"> </w:t>
            </w:r>
            <w:r w:rsidR="004E6E45" w:rsidRPr="004120BF">
              <w:rPr>
                <w:sz w:val="24"/>
                <w:szCs w:val="24"/>
              </w:rPr>
              <w:t>The extension is necessary because</w:t>
            </w:r>
            <w:r w:rsidRPr="004120BF">
              <w:rPr>
                <w:sz w:val="24"/>
                <w:szCs w:val="24"/>
              </w:rPr>
              <w:t xml:space="preserve"> meeting the original time</w:t>
            </w:r>
            <w:r w:rsidR="00742F61" w:rsidRPr="004120BF">
              <w:rPr>
                <w:sz w:val="24"/>
                <w:szCs w:val="24"/>
              </w:rPr>
              <w:t xml:space="preserve"> limit</w:t>
            </w:r>
            <w:r w:rsidRPr="004120BF">
              <w:rPr>
                <w:sz w:val="24"/>
                <w:szCs w:val="24"/>
              </w:rPr>
              <w:t xml:space="preserve"> would unreasonably interfere with </w:t>
            </w:r>
            <w:r w:rsidR="000D679D" w:rsidRPr="004120BF">
              <w:rPr>
                <w:sz w:val="24"/>
                <w:szCs w:val="24"/>
              </w:rPr>
              <w:t xml:space="preserve">the </w:t>
            </w:r>
            <w:r w:rsidRPr="004120BF">
              <w:rPr>
                <w:sz w:val="24"/>
                <w:szCs w:val="24"/>
              </w:rPr>
              <w:t>operations of the institution.</w:t>
            </w:r>
            <w:r w:rsidRPr="004120BF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14:paraId="1A3205D7" w14:textId="77777777" w:rsidR="00AE4436" w:rsidRPr="004120BF" w:rsidRDefault="00AE4436" w:rsidP="007D6AF7">
            <w:pPr>
              <w:pStyle w:val="Heading1"/>
              <w:spacing w:after="120" w:line="23" w:lineRule="atLeas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4"/>
                <w:szCs w:val="24"/>
                <w:lang w:val="en-CA"/>
              </w:rPr>
            </w:pPr>
            <w:r w:rsidRPr="004120BF">
              <w:rPr>
                <w:rFonts w:asciiTheme="minorHAnsi" w:hAnsiTheme="minorHAnsi" w:cs="Calibri"/>
                <w:b/>
                <w:color w:val="auto"/>
                <w:sz w:val="24"/>
                <w:szCs w:val="24"/>
              </w:rPr>
              <w:t>15 (a)(i)</w:t>
            </w:r>
          </w:p>
        </w:tc>
      </w:tr>
      <w:tr w:rsidR="005A0C8C" w:rsidRPr="004120BF" w14:paraId="443BEE2C" w14:textId="77777777" w:rsidTr="005A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089A393" w14:textId="52263D0C" w:rsidR="005A0C8C" w:rsidRPr="004120BF" w:rsidRDefault="005A0C8C" w:rsidP="00A13C71">
            <w:pPr>
              <w:pStyle w:val="Heading2"/>
              <w:spacing w:after="120" w:line="23" w:lineRule="atLeast"/>
              <w:ind w:left="0" w:firstLine="0"/>
              <w:outlineLvl w:val="1"/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</w:pP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The request requires significant consultations </w:t>
            </w:r>
            <w:r w:rsidR="0016514C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with </w:t>
            </w:r>
            <w:r w:rsidR="00F33BA5"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>external organizations</w:t>
            </w:r>
            <w:r w:rsidR="0016514C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14:paraId="2B8CC8D1" w14:textId="298046A9" w:rsidR="005A0C8C" w:rsidRPr="004120BF" w:rsidRDefault="004E6E45" w:rsidP="007D6AF7">
            <w:pPr>
              <w:pStyle w:val="Heading2"/>
              <w:spacing w:after="120" w:line="23" w:lineRule="atLeast"/>
              <w:ind w:left="0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</w:pP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>We will require additional</w:t>
            </w:r>
            <w:r w:rsidR="005A0C8C"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 time beyond the initial 30 days specified in the </w:t>
            </w:r>
            <w:r w:rsidR="005A0C8C" w:rsidRPr="004120BF">
              <w:rPr>
                <w:rFonts w:asciiTheme="minorHAnsi" w:hAnsiTheme="minorHAnsi" w:cs="Calibri"/>
                <w:i/>
                <w:color w:val="auto"/>
                <w:sz w:val="24"/>
                <w:szCs w:val="24"/>
                <w:lang w:val="en-CA"/>
              </w:rPr>
              <w:t>Privacy Act</w:t>
            </w:r>
            <w:r w:rsidR="005A0C8C"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 </w:t>
            </w: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to respond to your request </w:t>
            </w:r>
            <w:r w:rsidR="005A0C8C"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because we need to consult </w:t>
            </w:r>
            <w:r w:rsidR="00F33BA5"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with </w:t>
            </w:r>
            <w:r w:rsidR="004A225B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external organizations such as </w:t>
            </w:r>
            <w:r w:rsidR="005A0C8C"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>provincial or territorial governments.</w:t>
            </w:r>
          </w:p>
          <w:p w14:paraId="5F1CB6A7" w14:textId="6E8FBC3E" w:rsidR="005A0C8C" w:rsidRPr="004120BF" w:rsidRDefault="005A0C8C" w:rsidP="007D6AF7">
            <w:pPr>
              <w:spacing w:after="120"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4120BF">
              <w:rPr>
                <w:sz w:val="24"/>
                <w:szCs w:val="24"/>
              </w:rPr>
              <w:t>This extension is in</w:t>
            </w:r>
            <w:r w:rsidRPr="004120BF">
              <w:rPr>
                <w:rFonts w:cs="Calibri"/>
                <w:sz w:val="24"/>
                <w:szCs w:val="24"/>
              </w:rPr>
              <w:t xml:space="preserve"> accordance with paragraph 15(a)(ii) of the </w:t>
            </w:r>
            <w:r w:rsidRPr="004120BF">
              <w:rPr>
                <w:rFonts w:cs="Calibri"/>
                <w:i/>
                <w:sz w:val="24"/>
                <w:szCs w:val="24"/>
              </w:rPr>
              <w:t>Privacy Act</w:t>
            </w:r>
            <w:r w:rsidRPr="004120BF">
              <w:rPr>
                <w:rFonts w:cs="Calibri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</w:tcPr>
          <w:p w14:paraId="6B9813C9" w14:textId="77777777" w:rsidR="005A0C8C" w:rsidRPr="004120BF" w:rsidRDefault="005A0C8C" w:rsidP="007D6AF7">
            <w:pPr>
              <w:pStyle w:val="Heading1"/>
              <w:spacing w:after="120" w:line="23" w:lineRule="atLeas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4"/>
                <w:szCs w:val="24"/>
                <w:lang w:val="en-CA"/>
              </w:rPr>
            </w:pPr>
            <w:r w:rsidRPr="004120BF">
              <w:rPr>
                <w:rFonts w:asciiTheme="minorHAnsi" w:hAnsiTheme="minorHAnsi" w:cs="Calibri"/>
                <w:b/>
                <w:color w:val="auto"/>
                <w:sz w:val="24"/>
                <w:szCs w:val="24"/>
              </w:rPr>
              <w:t>15 (a)(ii)</w:t>
            </w:r>
          </w:p>
        </w:tc>
      </w:tr>
      <w:tr w:rsidR="00F33BA5" w:rsidRPr="004120BF" w14:paraId="5825678F" w14:textId="77777777" w:rsidTr="005A0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971A71B" w14:textId="2000CD67" w:rsidR="00F33BA5" w:rsidRPr="004120BF" w:rsidRDefault="00F33BA5" w:rsidP="004120BF">
            <w:pPr>
              <w:pStyle w:val="Heading2"/>
              <w:spacing w:after="120" w:line="23" w:lineRule="atLeast"/>
              <w:ind w:left="0" w:firstLine="0"/>
              <w:outlineLvl w:val="1"/>
              <w:rPr>
                <w:rFonts w:asciiTheme="minorHAnsi" w:hAnsiTheme="minorHAnsi" w:cs="Calibri"/>
                <w:color w:val="auto"/>
                <w:sz w:val="24"/>
                <w:szCs w:val="24"/>
              </w:rPr>
            </w:pP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The request requires significant consultations </w:t>
            </w:r>
            <w:r w:rsidR="004120BF"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>within the institution</w:t>
            </w:r>
            <w:r w:rsidR="00A13C71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 or with other federal institutions</w:t>
            </w:r>
          </w:p>
        </w:tc>
        <w:tc>
          <w:tcPr>
            <w:tcW w:w="5310" w:type="dxa"/>
          </w:tcPr>
          <w:p w14:paraId="0CC62D7D" w14:textId="59D4AC4D" w:rsidR="00F33BA5" w:rsidRPr="004120BF" w:rsidRDefault="00F33BA5" w:rsidP="00F33BA5">
            <w:pPr>
              <w:pStyle w:val="Heading2"/>
              <w:spacing w:after="120" w:line="23" w:lineRule="atLeast"/>
              <w:ind w:left="0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</w:pP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We will require additional time beyond the initial 30 days specified in the </w:t>
            </w:r>
            <w:r w:rsidRPr="004120BF">
              <w:rPr>
                <w:rFonts w:asciiTheme="minorHAnsi" w:hAnsiTheme="minorHAnsi" w:cs="Calibri"/>
                <w:i/>
                <w:color w:val="auto"/>
                <w:sz w:val="24"/>
                <w:szCs w:val="24"/>
                <w:lang w:val="en-CA"/>
              </w:rPr>
              <w:t>Privacy Act</w:t>
            </w: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 to respond to your request because we need to consult </w:t>
            </w:r>
            <w:r w:rsidR="004120BF"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>within our institution</w:t>
            </w:r>
            <w:r w:rsidR="00A13C71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 or with other federal institutions</w:t>
            </w: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>.</w:t>
            </w:r>
          </w:p>
          <w:p w14:paraId="68245DB2" w14:textId="29CBCBB5" w:rsidR="00F33BA5" w:rsidRPr="004120BF" w:rsidRDefault="00F33BA5" w:rsidP="00F33BA5">
            <w:pPr>
              <w:pStyle w:val="Heading2"/>
              <w:spacing w:after="120" w:line="23" w:lineRule="atLeast"/>
              <w:ind w:left="0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</w:pPr>
            <w:r w:rsidRPr="004120BF">
              <w:rPr>
                <w:rFonts w:asciiTheme="minorHAnsi" w:hAnsiTheme="minorHAnsi"/>
                <w:sz w:val="24"/>
                <w:szCs w:val="24"/>
              </w:rPr>
              <w:t>This extension is in</w:t>
            </w:r>
            <w:r w:rsidRPr="004120BF">
              <w:rPr>
                <w:rFonts w:asciiTheme="minorHAnsi" w:hAnsiTheme="minorHAnsi" w:cs="Calibri"/>
                <w:sz w:val="24"/>
                <w:szCs w:val="24"/>
              </w:rPr>
              <w:t xml:space="preserve"> accordance with paragraph 15(a)(ii) of the </w:t>
            </w:r>
            <w:r w:rsidRPr="004120BF">
              <w:rPr>
                <w:rFonts w:asciiTheme="minorHAnsi" w:hAnsiTheme="minorHAnsi" w:cs="Calibri"/>
                <w:i/>
                <w:sz w:val="24"/>
                <w:szCs w:val="24"/>
              </w:rPr>
              <w:t>Privacy Act</w:t>
            </w:r>
            <w:r w:rsidRPr="004120BF">
              <w:rPr>
                <w:rFonts w:asciiTheme="minorHAnsi" w:hAnsiTheme="minorHAnsi" w:cs="Calibri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</w:tcPr>
          <w:p w14:paraId="562B59EB" w14:textId="0A52BA8B" w:rsidR="00F33BA5" w:rsidRPr="004120BF" w:rsidRDefault="00F33BA5" w:rsidP="00F33BA5">
            <w:pPr>
              <w:pStyle w:val="Heading1"/>
              <w:spacing w:after="120" w:line="23" w:lineRule="atLeas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auto"/>
                <w:sz w:val="24"/>
                <w:szCs w:val="24"/>
              </w:rPr>
            </w:pPr>
            <w:r w:rsidRPr="004120BF">
              <w:rPr>
                <w:rFonts w:asciiTheme="minorHAnsi" w:hAnsiTheme="minorHAnsi" w:cs="Calibri"/>
                <w:b/>
                <w:color w:val="auto"/>
                <w:sz w:val="24"/>
                <w:szCs w:val="24"/>
              </w:rPr>
              <w:t>15 (a)(ii)</w:t>
            </w:r>
          </w:p>
        </w:tc>
      </w:tr>
      <w:tr w:rsidR="00F33BA5" w:rsidRPr="004120BF" w14:paraId="0DCCD2F3" w14:textId="77777777" w:rsidTr="00DD45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2CD40B" w14:textId="632F0F87" w:rsidR="00F33BA5" w:rsidRPr="004120BF" w:rsidRDefault="00F33BA5" w:rsidP="00B94574">
            <w:pPr>
              <w:pStyle w:val="Heading1"/>
              <w:spacing w:after="120" w:line="23" w:lineRule="atLeast"/>
              <w:ind w:left="0" w:firstLine="0"/>
              <w:outlineLvl w:val="0"/>
              <w:rPr>
                <w:rFonts w:asciiTheme="minorHAnsi" w:hAnsiTheme="minorHAnsi" w:cs="Arial"/>
                <w:color w:val="auto"/>
                <w:sz w:val="24"/>
                <w:szCs w:val="24"/>
                <w:lang w:val="en-CA"/>
              </w:rPr>
            </w:pP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The request requires translation </w:t>
            </w:r>
            <w:r w:rsidR="00B94574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or </w:t>
            </w: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>conversion</w:t>
            </w:r>
          </w:p>
        </w:tc>
        <w:tc>
          <w:tcPr>
            <w:tcW w:w="5310" w:type="dxa"/>
          </w:tcPr>
          <w:p w14:paraId="170D2569" w14:textId="0DE85244" w:rsidR="00F33BA5" w:rsidRPr="004120BF" w:rsidRDefault="00F33BA5" w:rsidP="00F33BA5">
            <w:pPr>
              <w:pStyle w:val="Heading2"/>
              <w:spacing w:after="120" w:line="23" w:lineRule="atLeast"/>
              <w:ind w:left="0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24"/>
                <w:szCs w:val="24"/>
              </w:rPr>
            </w:pP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We will require additional time beyond the initial 30 days specified in the </w:t>
            </w:r>
            <w:r w:rsidRPr="004120BF">
              <w:rPr>
                <w:rFonts w:asciiTheme="minorHAnsi" w:hAnsiTheme="minorHAnsi" w:cs="Calibri"/>
                <w:i/>
                <w:color w:val="auto"/>
                <w:sz w:val="24"/>
                <w:szCs w:val="24"/>
                <w:lang w:val="en-CA"/>
              </w:rPr>
              <w:t>Privacy Act</w:t>
            </w: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  <w:t xml:space="preserve"> to respond to your request</w:t>
            </w: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 because we need to translate the records you requested or convert the records into another format in order to facilitate your access to </w:t>
            </w:r>
            <w:r w:rsidR="004A225B">
              <w:rPr>
                <w:rFonts w:asciiTheme="minorHAnsi" w:hAnsiTheme="minorHAnsi" w:cs="Calibri"/>
                <w:color w:val="auto"/>
                <w:sz w:val="24"/>
                <w:szCs w:val="24"/>
              </w:rPr>
              <w:t>your personal</w:t>
            </w: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 information.</w:t>
            </w:r>
          </w:p>
          <w:p w14:paraId="16455D8C" w14:textId="7697208E" w:rsidR="00F33BA5" w:rsidRPr="004120BF" w:rsidRDefault="00F33BA5" w:rsidP="004120BF">
            <w:pPr>
              <w:pStyle w:val="Heading2"/>
              <w:spacing w:after="120" w:line="23" w:lineRule="atLeast"/>
              <w:ind w:left="0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24"/>
                <w:szCs w:val="24"/>
                <w:lang w:val="en-CA"/>
              </w:rPr>
            </w:pPr>
            <w:r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This extension is in accordance with paragraph 15(b) of the </w:t>
            </w:r>
            <w:r w:rsidRPr="004120BF">
              <w:rPr>
                <w:rFonts w:asciiTheme="minorHAnsi" w:hAnsiTheme="minorHAnsi" w:cs="Calibri"/>
                <w:i/>
                <w:color w:val="auto"/>
                <w:sz w:val="24"/>
                <w:szCs w:val="24"/>
              </w:rPr>
              <w:t>Privacy Act</w:t>
            </w:r>
            <w:r w:rsidR="004120BF" w:rsidRPr="004120BF">
              <w:rPr>
                <w:rFonts w:asciiTheme="minorHAnsi" w:hAnsiTheme="minorHAnsi" w:cs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14:paraId="7E22881E" w14:textId="77777777" w:rsidR="00F33BA5" w:rsidRPr="004120BF" w:rsidRDefault="00F33BA5" w:rsidP="00F33BA5">
            <w:pPr>
              <w:pStyle w:val="Heading1"/>
              <w:spacing w:after="120" w:line="23" w:lineRule="atLeas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4"/>
                <w:szCs w:val="24"/>
                <w:lang w:val="en-CA"/>
              </w:rPr>
            </w:pPr>
            <w:r w:rsidRPr="004120BF">
              <w:rPr>
                <w:rFonts w:asciiTheme="minorHAnsi" w:hAnsiTheme="minorHAnsi" w:cs="Calibri"/>
                <w:b/>
                <w:color w:val="auto"/>
                <w:sz w:val="24"/>
                <w:szCs w:val="24"/>
              </w:rPr>
              <w:t>15 (b)</w:t>
            </w:r>
          </w:p>
        </w:tc>
      </w:tr>
    </w:tbl>
    <w:p w14:paraId="05C5650F" w14:textId="77777777" w:rsidR="006D30D7" w:rsidRDefault="006D30D7" w:rsidP="00926650"/>
    <w:sectPr w:rsidR="006D30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C25DD" w14:textId="77777777" w:rsidR="00F44AC6" w:rsidRDefault="00F44AC6" w:rsidP="00EF760D">
      <w:pPr>
        <w:spacing w:after="0" w:line="240" w:lineRule="auto"/>
      </w:pPr>
      <w:r>
        <w:separator/>
      </w:r>
    </w:p>
  </w:endnote>
  <w:endnote w:type="continuationSeparator" w:id="0">
    <w:p w14:paraId="63B93251" w14:textId="77777777" w:rsidR="00F44AC6" w:rsidRDefault="00F44AC6" w:rsidP="00EF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F3267" w14:textId="5E62ACEB" w:rsidR="005E46A6" w:rsidRDefault="00520C70" w:rsidP="005E46A6">
    <w:pPr>
      <w:pStyle w:val="Header"/>
    </w:pPr>
    <w:r>
      <w:t>GCDocs</w:t>
    </w:r>
    <w:r w:rsidR="005E46A6">
      <w:t xml:space="preserve"> </w:t>
    </w:r>
    <w:r w:rsidR="005E46A6" w:rsidRPr="00EF760D">
      <w:t>29509544</w:t>
    </w:r>
    <w:r w:rsidR="005E46A6">
      <w:tab/>
    </w:r>
  </w:p>
  <w:p w14:paraId="4AFD4F71" w14:textId="0C044594" w:rsidR="005E46A6" w:rsidRDefault="00370843">
    <w:pPr>
      <w:pStyle w:val="Footer"/>
      <w:jc w:val="right"/>
    </w:pPr>
    <w:sdt>
      <w:sdtPr>
        <w:id w:val="-14876228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>May 17</w:t>
        </w:r>
        <w:r w:rsidR="00520C70">
          <w:t>, 2018</w:t>
        </w:r>
        <w:r w:rsidR="00520C70">
          <w:tab/>
        </w:r>
        <w:r w:rsidR="00520C70">
          <w:tab/>
        </w:r>
        <w:r w:rsidR="005E46A6">
          <w:fldChar w:fldCharType="begin"/>
        </w:r>
        <w:r w:rsidR="005E46A6">
          <w:instrText xml:space="preserve"> PAGE   \* MERGEFORMAT </w:instrText>
        </w:r>
        <w:r w:rsidR="005E46A6">
          <w:fldChar w:fldCharType="separate"/>
        </w:r>
        <w:r>
          <w:rPr>
            <w:noProof/>
          </w:rPr>
          <w:t>1</w:t>
        </w:r>
        <w:r w:rsidR="005E46A6">
          <w:rPr>
            <w:noProof/>
          </w:rPr>
          <w:fldChar w:fldCharType="end"/>
        </w:r>
      </w:sdtContent>
    </w:sdt>
  </w:p>
  <w:p w14:paraId="72DD7A77" w14:textId="77777777" w:rsidR="005E46A6" w:rsidRDefault="005E4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FD170" w14:textId="77777777" w:rsidR="00F44AC6" w:rsidRDefault="00F44AC6" w:rsidP="00EF760D">
      <w:pPr>
        <w:spacing w:after="0" w:line="240" w:lineRule="auto"/>
      </w:pPr>
      <w:r>
        <w:separator/>
      </w:r>
    </w:p>
  </w:footnote>
  <w:footnote w:type="continuationSeparator" w:id="0">
    <w:p w14:paraId="7C5B52A6" w14:textId="77777777" w:rsidR="00F44AC6" w:rsidRDefault="00F44AC6" w:rsidP="00EF7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72"/>
    <w:rsid w:val="00074820"/>
    <w:rsid w:val="00095DCE"/>
    <w:rsid w:val="000D0AD2"/>
    <w:rsid w:val="000D679D"/>
    <w:rsid w:val="000E03BD"/>
    <w:rsid w:val="000F1F59"/>
    <w:rsid w:val="00147E72"/>
    <w:rsid w:val="0016514C"/>
    <w:rsid w:val="001A1A88"/>
    <w:rsid w:val="001D1A65"/>
    <w:rsid w:val="0024187F"/>
    <w:rsid w:val="002439BD"/>
    <w:rsid w:val="002E06F1"/>
    <w:rsid w:val="002E693F"/>
    <w:rsid w:val="0031320C"/>
    <w:rsid w:val="003143A2"/>
    <w:rsid w:val="003677F9"/>
    <w:rsid w:val="00370843"/>
    <w:rsid w:val="003C25A6"/>
    <w:rsid w:val="003E3916"/>
    <w:rsid w:val="004120BF"/>
    <w:rsid w:val="00417F27"/>
    <w:rsid w:val="00461039"/>
    <w:rsid w:val="004A225B"/>
    <w:rsid w:val="004B780F"/>
    <w:rsid w:val="004E6E45"/>
    <w:rsid w:val="00520C70"/>
    <w:rsid w:val="00571B4B"/>
    <w:rsid w:val="005A0C8C"/>
    <w:rsid w:val="005C6AF0"/>
    <w:rsid w:val="005E1903"/>
    <w:rsid w:val="005E46A6"/>
    <w:rsid w:val="006060C9"/>
    <w:rsid w:val="006233C7"/>
    <w:rsid w:val="006278AB"/>
    <w:rsid w:val="00644384"/>
    <w:rsid w:val="00694D13"/>
    <w:rsid w:val="006C5C39"/>
    <w:rsid w:val="006D30D7"/>
    <w:rsid w:val="007413CB"/>
    <w:rsid w:val="00742F61"/>
    <w:rsid w:val="00760711"/>
    <w:rsid w:val="007D6AF7"/>
    <w:rsid w:val="0090343A"/>
    <w:rsid w:val="00926650"/>
    <w:rsid w:val="009B5FFB"/>
    <w:rsid w:val="009C39C6"/>
    <w:rsid w:val="00A13C71"/>
    <w:rsid w:val="00AE4436"/>
    <w:rsid w:val="00AF7ECA"/>
    <w:rsid w:val="00B255AD"/>
    <w:rsid w:val="00B33714"/>
    <w:rsid w:val="00B57C71"/>
    <w:rsid w:val="00B94574"/>
    <w:rsid w:val="00BF22A0"/>
    <w:rsid w:val="00C92493"/>
    <w:rsid w:val="00CE5EEA"/>
    <w:rsid w:val="00DD4577"/>
    <w:rsid w:val="00E373F1"/>
    <w:rsid w:val="00E8076B"/>
    <w:rsid w:val="00E94728"/>
    <w:rsid w:val="00EF760D"/>
    <w:rsid w:val="00F2150C"/>
    <w:rsid w:val="00F33BA5"/>
    <w:rsid w:val="00F4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9DB8"/>
  <w15:chartTrackingRefBased/>
  <w15:docId w15:val="{F53D98ED-0B10-4B0C-9731-C8C93799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E72"/>
    <w:rPr>
      <w:rFonts w:eastAsiaTheme="minorEastAsia" w:cs="Times New Roman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E72"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/>
      <w:color w:val="000000"/>
      <w:kern w:val="24"/>
      <w:sz w:val="56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7E72"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color w:val="000000"/>
      <w:kern w:val="24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E72"/>
    <w:rPr>
      <w:rFonts w:ascii="Times New Roman" w:eastAsiaTheme="minorEastAsia" w:hAnsi="Times New Roman" w:cs="Times New Roman"/>
      <w:color w:val="000000"/>
      <w:kern w:val="24"/>
      <w:sz w:val="56"/>
      <w:szCs w:val="56"/>
      <w:lang w:val="en-US" w:eastAsia="en-CA"/>
    </w:rPr>
  </w:style>
  <w:style w:type="character" w:customStyle="1" w:styleId="Heading2Char">
    <w:name w:val="Heading 2 Char"/>
    <w:basedOn w:val="DefaultParagraphFont"/>
    <w:link w:val="Heading2"/>
    <w:uiPriority w:val="99"/>
    <w:rsid w:val="00147E72"/>
    <w:rPr>
      <w:rFonts w:ascii="Times New Roman" w:eastAsiaTheme="minorEastAsia" w:hAnsi="Times New Roman" w:cs="Times New Roman"/>
      <w:color w:val="000000"/>
      <w:kern w:val="24"/>
      <w:sz w:val="48"/>
      <w:szCs w:val="48"/>
      <w:lang w:val="en-US" w:eastAsia="en-CA"/>
    </w:rPr>
  </w:style>
  <w:style w:type="table" w:styleId="TableGrid">
    <w:name w:val="Table Grid"/>
    <w:basedOn w:val="TableNormal"/>
    <w:uiPriority w:val="39"/>
    <w:rsid w:val="00147E72"/>
    <w:pPr>
      <w:spacing w:after="0" w:line="240" w:lineRule="auto"/>
    </w:pPr>
    <w:rPr>
      <w:rFonts w:eastAsiaTheme="minorEastAsia" w:cs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D0A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71"/>
    <w:rPr>
      <w:rFonts w:ascii="Segoe UI" w:eastAsiaTheme="minorEastAsia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F7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60D"/>
    <w:rPr>
      <w:rFonts w:eastAsiaTheme="minorEastAsia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EF7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60D"/>
    <w:rPr>
      <w:rFonts w:eastAsiaTheme="minorEastAsia" w:cs="Times New Roman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44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384"/>
    <w:rPr>
      <w:rFonts w:eastAsiaTheme="minorEastAsia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384"/>
    <w:rPr>
      <w:rFonts w:eastAsiaTheme="minorEastAsia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CA65CF1-CC0B-42E1-BD57-52933042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Stephen</dc:creator>
  <cp:keywords/>
  <dc:description/>
  <cp:lastModifiedBy>Dundas, Barbara</cp:lastModifiedBy>
  <cp:revision>27</cp:revision>
  <cp:lastPrinted>2018-03-02T23:59:00Z</cp:lastPrinted>
  <dcterms:created xsi:type="dcterms:W3CDTF">2018-03-01T04:38:00Z</dcterms:created>
  <dcterms:modified xsi:type="dcterms:W3CDTF">2018-05-17T15:11:00Z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25040fad-5f14-49a0-b14a-eb158336e942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</Properties>
</file>