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6A" w:rsidRDefault="00441EE8" w:rsidP="00514934">
      <w:pPr>
        <w:rPr>
          <w:rFonts w:asciiTheme="minorHAnsi" w:hAnsiTheme="minorHAnsi" w:cstheme="minorHAnsi"/>
          <w:b/>
          <w:bCs/>
          <w:color w:val="000000" w:themeColor="text1"/>
          <w:sz w:val="28"/>
          <w:szCs w:val="28"/>
          <w:lang w:eastAsia="en-US"/>
        </w:rPr>
      </w:pPr>
      <w:r w:rsidRPr="004B1AE3">
        <w:rPr>
          <w:rFonts w:asciiTheme="minorHAnsi" w:hAnsiTheme="minorHAnsi" w:cstheme="minorHAnsi"/>
          <w:b/>
          <w:bCs/>
          <w:color w:val="000000" w:themeColor="text1"/>
          <w:sz w:val="28"/>
          <w:szCs w:val="28"/>
          <w:lang w:eastAsia="en-US"/>
        </w:rPr>
        <w:t>Chief Information Officer Council (CIOC)</w:t>
      </w:r>
      <w:r w:rsidR="00514934">
        <w:rPr>
          <w:rFonts w:asciiTheme="minorHAnsi" w:hAnsiTheme="minorHAnsi" w:cstheme="minorHAnsi"/>
          <w:b/>
          <w:bCs/>
          <w:color w:val="000000" w:themeColor="text1"/>
          <w:sz w:val="28"/>
          <w:szCs w:val="28"/>
          <w:lang w:eastAsia="en-US"/>
        </w:rPr>
        <w:t xml:space="preserve"> </w:t>
      </w:r>
      <w:r w:rsidRPr="004B1AE3">
        <w:rPr>
          <w:rFonts w:asciiTheme="minorHAnsi" w:hAnsiTheme="minorHAnsi" w:cstheme="minorHAnsi"/>
          <w:b/>
          <w:bCs/>
          <w:color w:val="000000" w:themeColor="text1"/>
          <w:sz w:val="28"/>
          <w:szCs w:val="28"/>
          <w:lang w:eastAsia="en-US"/>
        </w:rPr>
        <w:t>February 25</w:t>
      </w:r>
      <w:r w:rsidRPr="004B1AE3">
        <w:rPr>
          <w:rFonts w:asciiTheme="minorHAnsi" w:hAnsiTheme="minorHAnsi" w:cstheme="minorHAnsi"/>
          <w:b/>
          <w:bCs/>
          <w:color w:val="000000" w:themeColor="text1"/>
          <w:sz w:val="28"/>
          <w:szCs w:val="28"/>
          <w:vertAlign w:val="superscript"/>
          <w:lang w:eastAsia="en-US"/>
        </w:rPr>
        <w:t>th</w:t>
      </w:r>
      <w:r w:rsidRPr="004B1AE3">
        <w:rPr>
          <w:rFonts w:asciiTheme="minorHAnsi" w:hAnsiTheme="minorHAnsi" w:cstheme="minorHAnsi"/>
          <w:b/>
          <w:bCs/>
          <w:color w:val="000000" w:themeColor="text1"/>
          <w:sz w:val="28"/>
          <w:szCs w:val="28"/>
          <w:lang w:eastAsia="en-US"/>
        </w:rPr>
        <w:t>, 2019</w:t>
      </w:r>
    </w:p>
    <w:p w:rsidR="00514934" w:rsidRPr="004B1AE3" w:rsidRDefault="00514934" w:rsidP="00514934">
      <w:pPr>
        <w:rPr>
          <w:rFonts w:asciiTheme="minorHAnsi" w:hAnsiTheme="minorHAnsi" w:cstheme="minorHAnsi"/>
          <w:b/>
          <w:bCs/>
          <w:color w:val="000000" w:themeColor="text1"/>
          <w:sz w:val="28"/>
          <w:szCs w:val="28"/>
          <w:lang w:eastAsia="en-US"/>
        </w:rPr>
      </w:pPr>
      <w:r>
        <w:rPr>
          <w:rFonts w:asciiTheme="minorHAnsi" w:hAnsiTheme="minorHAnsi" w:cstheme="minorHAnsi"/>
          <w:b/>
          <w:bCs/>
          <w:color w:val="000000" w:themeColor="text1"/>
          <w:sz w:val="28"/>
          <w:szCs w:val="28"/>
          <w:lang w:eastAsia="en-US"/>
        </w:rPr>
        <w:t>Speaking points</w:t>
      </w:r>
    </w:p>
    <w:p w:rsidR="0079516A" w:rsidRPr="004B1AE3" w:rsidRDefault="0079516A" w:rsidP="00C17835">
      <w:pPr>
        <w:pBdr>
          <w:bottom w:val="single" w:sz="6" w:space="1" w:color="auto"/>
        </w:pBdr>
        <w:rPr>
          <w:rFonts w:asciiTheme="minorHAnsi" w:hAnsiTheme="minorHAnsi" w:cstheme="minorHAnsi"/>
          <w:b/>
          <w:bCs/>
          <w:color w:val="000000" w:themeColor="text1"/>
          <w:u w:val="single"/>
          <w:lang w:eastAsia="en-US"/>
        </w:rPr>
      </w:pPr>
    </w:p>
    <w:p w:rsidR="0079516A" w:rsidRPr="004B1AE3" w:rsidRDefault="0079516A" w:rsidP="00C17835">
      <w:pPr>
        <w:rPr>
          <w:rFonts w:asciiTheme="minorHAnsi" w:hAnsiTheme="minorHAnsi" w:cstheme="minorHAnsi"/>
          <w:b/>
          <w:bCs/>
          <w:color w:val="000000" w:themeColor="text1"/>
          <w:u w:val="single"/>
          <w:lang w:eastAsia="en-US"/>
        </w:rPr>
      </w:pPr>
    </w:p>
    <w:p w:rsidR="0079516A" w:rsidRPr="00514934" w:rsidRDefault="00514934" w:rsidP="0079516A">
      <w:pPr>
        <w:rPr>
          <w:rFonts w:asciiTheme="minorHAnsi" w:hAnsiTheme="minorHAnsi" w:cstheme="minorHAnsi"/>
          <w:b/>
          <w:bCs/>
          <w:color w:val="000000" w:themeColor="text1"/>
          <w:lang w:eastAsia="en-US"/>
        </w:rPr>
      </w:pPr>
      <w:r w:rsidRPr="00514934">
        <w:rPr>
          <w:rFonts w:asciiTheme="minorHAnsi" w:hAnsiTheme="minorHAnsi" w:cstheme="minorHAnsi"/>
          <w:b/>
          <w:bCs/>
          <w:color w:val="000000" w:themeColor="text1"/>
          <w:lang w:eastAsia="en-US"/>
        </w:rPr>
        <w:t>INTRO</w:t>
      </w:r>
      <w:r w:rsidR="00C17835" w:rsidRPr="00514934">
        <w:rPr>
          <w:rFonts w:asciiTheme="minorHAnsi" w:hAnsiTheme="minorHAnsi" w:cstheme="minorHAnsi"/>
          <w:b/>
          <w:bCs/>
          <w:color w:val="000000" w:themeColor="text1"/>
          <w:lang w:eastAsia="en-US"/>
        </w:rPr>
        <w:t xml:space="preserve"> </w:t>
      </w:r>
    </w:p>
    <w:p w:rsidR="0079516A" w:rsidRDefault="00C17835" w:rsidP="0079516A">
      <w:pPr>
        <w:rPr>
          <w:rFonts w:asciiTheme="minorHAnsi" w:hAnsiTheme="minorHAnsi" w:cstheme="minorHAnsi"/>
          <w:color w:val="000000" w:themeColor="text1"/>
          <w:lang w:eastAsia="en-US"/>
        </w:rPr>
      </w:pPr>
      <w:r w:rsidRPr="004B1AE3">
        <w:rPr>
          <w:rFonts w:asciiTheme="minorHAnsi" w:hAnsiTheme="minorHAnsi" w:cstheme="minorHAnsi"/>
          <w:color w:val="000000" w:themeColor="text1"/>
          <w:lang w:eastAsia="en-US"/>
        </w:rPr>
        <w:t xml:space="preserve">Since our last presentation to </w:t>
      </w:r>
      <w:r w:rsidR="00441EE8" w:rsidRPr="004B1AE3">
        <w:rPr>
          <w:rFonts w:asciiTheme="minorHAnsi" w:hAnsiTheme="minorHAnsi" w:cstheme="minorHAnsi"/>
          <w:color w:val="000000" w:themeColor="text1"/>
          <w:lang w:eastAsia="en-US"/>
        </w:rPr>
        <w:t>CIOC</w:t>
      </w:r>
      <w:r w:rsidRPr="004B1AE3">
        <w:rPr>
          <w:rFonts w:asciiTheme="minorHAnsi" w:hAnsiTheme="minorHAnsi" w:cstheme="minorHAnsi"/>
          <w:color w:val="000000" w:themeColor="text1"/>
          <w:lang w:eastAsia="en-US"/>
        </w:rPr>
        <w:t xml:space="preserve"> on September 1</w:t>
      </w:r>
      <w:r w:rsidR="00441EE8" w:rsidRPr="004B1AE3">
        <w:rPr>
          <w:rFonts w:asciiTheme="minorHAnsi" w:hAnsiTheme="minorHAnsi" w:cstheme="minorHAnsi"/>
          <w:color w:val="000000" w:themeColor="text1"/>
          <w:lang w:eastAsia="en-US"/>
        </w:rPr>
        <w:t>7</w:t>
      </w:r>
      <w:r w:rsidR="004B1AE3" w:rsidRPr="004B1AE3">
        <w:rPr>
          <w:rFonts w:asciiTheme="minorHAnsi" w:hAnsiTheme="minorHAnsi" w:cstheme="minorHAnsi"/>
          <w:color w:val="000000" w:themeColor="text1"/>
          <w:vertAlign w:val="superscript"/>
          <w:lang w:eastAsia="en-US"/>
        </w:rPr>
        <w:t>th</w:t>
      </w:r>
      <w:r w:rsidRPr="004B1AE3">
        <w:rPr>
          <w:rFonts w:asciiTheme="minorHAnsi" w:hAnsiTheme="minorHAnsi" w:cstheme="minorHAnsi"/>
          <w:color w:val="000000" w:themeColor="text1"/>
          <w:lang w:eastAsia="en-US"/>
        </w:rPr>
        <w:t>, the</w:t>
      </w:r>
      <w:r w:rsidR="00F44628" w:rsidRPr="004B1AE3">
        <w:rPr>
          <w:rFonts w:asciiTheme="minorHAnsi" w:hAnsiTheme="minorHAnsi" w:cstheme="minorHAnsi"/>
          <w:color w:val="000000" w:themeColor="text1"/>
          <w:lang w:eastAsia="en-US"/>
        </w:rPr>
        <w:t xml:space="preserve"> team has made significant progress in its mandate to identify options for a new HR and Pay solution. </w:t>
      </w:r>
    </w:p>
    <w:p w:rsidR="004B1AE3" w:rsidRDefault="004B1AE3" w:rsidP="0079516A">
      <w:pPr>
        <w:rPr>
          <w:rFonts w:asciiTheme="minorHAnsi" w:hAnsiTheme="minorHAnsi" w:cstheme="minorHAnsi"/>
          <w:color w:val="000000" w:themeColor="text1"/>
          <w:lang w:eastAsia="en-US"/>
        </w:rPr>
      </w:pPr>
    </w:p>
    <w:p w:rsidR="00414F1C" w:rsidRPr="00414F1C" w:rsidRDefault="00514934" w:rsidP="0079516A">
      <w:pPr>
        <w:rPr>
          <w:rFonts w:asciiTheme="minorHAnsi" w:hAnsiTheme="minorHAnsi" w:cstheme="minorHAnsi"/>
          <w:b/>
          <w:color w:val="000000" w:themeColor="text1"/>
          <w:lang w:eastAsia="en-US"/>
        </w:rPr>
      </w:pPr>
      <w:r>
        <w:rPr>
          <w:rFonts w:asciiTheme="minorHAnsi" w:hAnsiTheme="minorHAnsi" w:cstheme="minorHAnsi"/>
          <w:b/>
          <w:color w:val="000000" w:themeColor="text1"/>
          <w:lang w:eastAsia="en-US"/>
        </w:rPr>
        <w:t>INDUSTRY DAY</w:t>
      </w:r>
    </w:p>
    <w:p w:rsidR="004B1AE3" w:rsidRDefault="004B1AE3" w:rsidP="004B1AE3">
      <w:pPr>
        <w:pStyle w:val="ListParagraph"/>
        <w:numPr>
          <w:ilvl w:val="0"/>
          <w:numId w:val="1"/>
        </w:numPr>
      </w:pPr>
      <w:r>
        <w:t>On September 19</w:t>
      </w:r>
      <w:r w:rsidRPr="004B1AE3">
        <w:rPr>
          <w:vertAlign w:val="superscript"/>
        </w:rPr>
        <w:t>th</w:t>
      </w:r>
      <w:r>
        <w:t xml:space="preserve"> held an Industry Day </w:t>
      </w:r>
      <w:r w:rsidR="00015026">
        <w:t xml:space="preserve">announcing the </w:t>
      </w:r>
      <w:r w:rsidR="00414F1C">
        <w:t xml:space="preserve">NextGen </w:t>
      </w:r>
      <w:r>
        <w:t>Agile Procurement Process</w:t>
      </w:r>
    </w:p>
    <w:p w:rsidR="00414F1C" w:rsidRDefault="00414F1C" w:rsidP="00414F1C">
      <w:pPr>
        <w:pStyle w:val="ListParagraph"/>
        <w:numPr>
          <w:ilvl w:val="0"/>
          <w:numId w:val="1"/>
        </w:numPr>
        <w:rPr>
          <w:rFonts w:asciiTheme="minorHAnsi" w:hAnsiTheme="minorHAnsi" w:cstheme="minorHAnsi"/>
          <w:color w:val="000000" w:themeColor="text1"/>
          <w:lang w:eastAsia="en-US"/>
        </w:rPr>
      </w:pPr>
      <w:r w:rsidRPr="004B1AE3">
        <w:rPr>
          <w:rFonts w:asciiTheme="minorHAnsi" w:hAnsiTheme="minorHAnsi" w:cstheme="minorHAnsi"/>
          <w:color w:val="000000" w:themeColor="text1"/>
          <w:lang w:eastAsia="en-US"/>
        </w:rPr>
        <w:t>The event included in-person participation from over 120 members of industry and 60 members of the GC community, as well as online participation</w:t>
      </w:r>
    </w:p>
    <w:p w:rsidR="00414F1C" w:rsidRPr="004B1AE3" w:rsidRDefault="00414F1C" w:rsidP="00414F1C">
      <w:pPr>
        <w:pStyle w:val="ListParagraph"/>
        <w:numPr>
          <w:ilvl w:val="0"/>
          <w:numId w:val="1"/>
        </w:numPr>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The purpose of Industry Day was to:</w:t>
      </w:r>
    </w:p>
    <w:p w:rsidR="00414F1C" w:rsidRDefault="00414F1C" w:rsidP="00414F1C">
      <w:pPr>
        <w:pStyle w:val="ListParagraph"/>
        <w:numPr>
          <w:ilvl w:val="1"/>
          <w:numId w:val="1"/>
        </w:numPr>
        <w:spacing w:after="160" w:line="252" w:lineRule="auto"/>
        <w:contextualSpacing/>
      </w:pPr>
      <w:r>
        <w:t>provide an overview of the next generation HR and pay initiative and its expected outcomes;</w:t>
      </w:r>
    </w:p>
    <w:p w:rsidR="00414F1C" w:rsidRDefault="00015026" w:rsidP="00414F1C">
      <w:pPr>
        <w:pStyle w:val="ListParagraph"/>
        <w:numPr>
          <w:ilvl w:val="1"/>
          <w:numId w:val="1"/>
        </w:numPr>
        <w:spacing w:after="160" w:line="252" w:lineRule="auto"/>
        <w:contextualSpacing/>
      </w:pPr>
      <w:r>
        <w:t>s</w:t>
      </w:r>
      <w:r w:rsidR="00414F1C">
        <w:t>eek feedback from industry on the approach NextGen has taken; and,</w:t>
      </w:r>
    </w:p>
    <w:p w:rsidR="00414F1C" w:rsidRDefault="00015026" w:rsidP="00414F1C">
      <w:pPr>
        <w:pStyle w:val="ListParagraph"/>
        <w:numPr>
          <w:ilvl w:val="1"/>
          <w:numId w:val="1"/>
        </w:numPr>
        <w:spacing w:after="160" w:line="252" w:lineRule="auto"/>
        <w:contextualSpacing/>
      </w:pPr>
      <w:proofErr w:type="gramStart"/>
      <w:r>
        <w:t>a</w:t>
      </w:r>
      <w:r w:rsidR="00414F1C">
        <w:t>ssess</w:t>
      </w:r>
      <w:proofErr w:type="gramEnd"/>
      <w:r w:rsidR="00414F1C">
        <w:t xml:space="preserve"> the level of interest and the capacity of industry to deliver a solution.</w:t>
      </w:r>
    </w:p>
    <w:p w:rsidR="00414F1C" w:rsidRPr="00414F1C" w:rsidRDefault="00514934" w:rsidP="00414F1C">
      <w:pPr>
        <w:rPr>
          <w:b/>
        </w:rPr>
      </w:pPr>
      <w:r>
        <w:rPr>
          <w:b/>
        </w:rPr>
        <w:t>PROCUREMENT PROCESS</w:t>
      </w:r>
    </w:p>
    <w:p w:rsidR="00514934" w:rsidRDefault="004B1AE3" w:rsidP="00514934">
      <w:pPr>
        <w:pStyle w:val="ListParagraph"/>
        <w:numPr>
          <w:ilvl w:val="0"/>
          <w:numId w:val="1"/>
        </w:numPr>
      </w:pPr>
      <w:r>
        <w:t xml:space="preserve">The Agile Procurement Process is a three gated approach that </w:t>
      </w:r>
      <w:r w:rsidR="00414F1C">
        <w:t>assesses</w:t>
      </w:r>
      <w:r>
        <w:t xml:space="preserve"> key requirements from vendors in an effort to find options for a next </w:t>
      </w:r>
      <w:r w:rsidR="00514934">
        <w:t>generation HR and pay solution</w:t>
      </w:r>
    </w:p>
    <w:p w:rsidR="00514934" w:rsidRDefault="00514934" w:rsidP="00514934">
      <w:pPr>
        <w:pStyle w:val="ListParagraph"/>
        <w:numPr>
          <w:ilvl w:val="0"/>
          <w:numId w:val="1"/>
        </w:numPr>
      </w:pPr>
      <w:r>
        <w:t xml:space="preserve">To date, two of the three gates have </w:t>
      </w:r>
      <w:r w:rsidR="00015026">
        <w:t xml:space="preserve">been completed </w:t>
      </w:r>
      <w:r>
        <w:t>and progress continues through iterative conversations with industry and stakeholders</w:t>
      </w:r>
    </w:p>
    <w:p w:rsidR="00514934" w:rsidRDefault="00514934" w:rsidP="00514934">
      <w:pPr>
        <w:pStyle w:val="ListParagraph"/>
        <w:numPr>
          <w:ilvl w:val="0"/>
          <w:numId w:val="1"/>
        </w:numPr>
      </w:pPr>
      <w:r w:rsidRPr="00514934">
        <w:t xml:space="preserve">By adopting </w:t>
      </w:r>
      <w:r>
        <w:t>an</w:t>
      </w:r>
      <w:r w:rsidRPr="00514934">
        <w:t xml:space="preserve"> agile approach, the NextGen Team is able to work in smaller, faster sprints, offering the flexibility to adapt as vendors show us what is available and possible, allowing for course corrections as needed, and a better end-product designed by users. This approach is flexible, iterative and allows us to work directly with industry before a solution is procured.</w:t>
      </w:r>
    </w:p>
    <w:p w:rsidR="00F44628" w:rsidRPr="004B1AE3" w:rsidRDefault="00F44628" w:rsidP="00F44628">
      <w:pPr>
        <w:rPr>
          <w:rFonts w:asciiTheme="minorHAnsi" w:hAnsiTheme="minorHAnsi" w:cstheme="minorHAnsi"/>
          <w:color w:val="000000" w:themeColor="text1"/>
          <w:lang w:eastAsia="en-US"/>
        </w:rPr>
      </w:pPr>
    </w:p>
    <w:p w:rsidR="00C17835" w:rsidRPr="00514934" w:rsidRDefault="00514934" w:rsidP="0079516A">
      <w:pPr>
        <w:rPr>
          <w:rFonts w:asciiTheme="minorHAnsi" w:hAnsiTheme="minorHAnsi" w:cstheme="minorHAnsi"/>
          <w:color w:val="000000" w:themeColor="text1"/>
          <w:lang w:eastAsia="en-US"/>
        </w:rPr>
      </w:pPr>
      <w:r>
        <w:rPr>
          <w:rFonts w:asciiTheme="minorHAnsi" w:hAnsiTheme="minorHAnsi" w:cstheme="minorHAnsi"/>
          <w:b/>
          <w:bCs/>
          <w:color w:val="000000" w:themeColor="text1"/>
          <w:lang w:eastAsia="en-US"/>
        </w:rPr>
        <w:t>GATE ONE</w:t>
      </w:r>
    </w:p>
    <w:p w:rsidR="00514934" w:rsidRDefault="00A20D5B" w:rsidP="0079516A">
      <w:pPr>
        <w:pStyle w:val="ListParagraph"/>
        <w:numPr>
          <w:ilvl w:val="0"/>
          <w:numId w:val="2"/>
        </w:numPr>
        <w:rPr>
          <w:rFonts w:asciiTheme="minorHAnsi" w:hAnsiTheme="minorHAnsi" w:cstheme="minorHAnsi"/>
          <w:color w:val="000000" w:themeColor="text1"/>
          <w:lang w:eastAsia="en-US"/>
        </w:rPr>
      </w:pPr>
      <w:r w:rsidRPr="004B1AE3">
        <w:rPr>
          <w:rFonts w:asciiTheme="minorHAnsi" w:hAnsiTheme="minorHAnsi" w:cstheme="minorHAnsi"/>
          <w:color w:val="000000" w:themeColor="text1"/>
          <w:lang w:eastAsia="en-US"/>
        </w:rPr>
        <w:t>Gate One</w:t>
      </w:r>
      <w:r w:rsidR="00C17835" w:rsidRPr="004B1AE3">
        <w:rPr>
          <w:rFonts w:asciiTheme="minorHAnsi" w:hAnsiTheme="minorHAnsi" w:cstheme="minorHAnsi"/>
          <w:color w:val="000000" w:themeColor="text1"/>
          <w:lang w:eastAsia="en-US"/>
        </w:rPr>
        <w:t xml:space="preserve"> launched Oct</w:t>
      </w:r>
      <w:r w:rsidR="00514934">
        <w:rPr>
          <w:rFonts w:asciiTheme="minorHAnsi" w:hAnsiTheme="minorHAnsi" w:cstheme="minorHAnsi"/>
          <w:color w:val="000000" w:themeColor="text1"/>
          <w:lang w:eastAsia="en-US"/>
        </w:rPr>
        <w:t>ober</w:t>
      </w:r>
      <w:r w:rsidR="00C17835" w:rsidRPr="004B1AE3">
        <w:rPr>
          <w:rFonts w:asciiTheme="minorHAnsi" w:hAnsiTheme="minorHAnsi" w:cstheme="minorHAnsi"/>
          <w:color w:val="000000" w:themeColor="text1"/>
          <w:lang w:eastAsia="en-US"/>
        </w:rPr>
        <w:t xml:space="preserve"> 1</w:t>
      </w:r>
      <w:r w:rsidR="00514934" w:rsidRPr="00514934">
        <w:rPr>
          <w:rFonts w:asciiTheme="minorHAnsi" w:hAnsiTheme="minorHAnsi" w:cstheme="minorHAnsi"/>
          <w:color w:val="000000" w:themeColor="text1"/>
          <w:vertAlign w:val="superscript"/>
          <w:lang w:eastAsia="en-US"/>
        </w:rPr>
        <w:t>st</w:t>
      </w:r>
      <w:r w:rsidR="00514934">
        <w:rPr>
          <w:rFonts w:asciiTheme="minorHAnsi" w:hAnsiTheme="minorHAnsi" w:cstheme="minorHAnsi"/>
          <w:color w:val="000000" w:themeColor="text1"/>
          <w:lang w:eastAsia="en-US"/>
        </w:rPr>
        <w:t xml:space="preserve"> </w:t>
      </w:r>
      <w:r w:rsidRPr="004B1AE3">
        <w:rPr>
          <w:rFonts w:asciiTheme="minorHAnsi" w:hAnsiTheme="minorHAnsi" w:cstheme="minorHAnsi"/>
          <w:color w:val="000000" w:themeColor="text1"/>
          <w:lang w:eastAsia="en-US"/>
        </w:rPr>
        <w:t>and closed November 14</w:t>
      </w:r>
      <w:r w:rsidRPr="004B1AE3">
        <w:rPr>
          <w:rFonts w:asciiTheme="minorHAnsi" w:hAnsiTheme="minorHAnsi" w:cstheme="minorHAnsi"/>
          <w:color w:val="000000" w:themeColor="text1"/>
          <w:vertAlign w:val="superscript"/>
          <w:lang w:eastAsia="en-US"/>
        </w:rPr>
        <w:t>th</w:t>
      </w:r>
    </w:p>
    <w:p w:rsidR="00514934" w:rsidRPr="00514934" w:rsidRDefault="00514934" w:rsidP="000323B1">
      <w:pPr>
        <w:pStyle w:val="ListParagraph"/>
        <w:numPr>
          <w:ilvl w:val="0"/>
          <w:numId w:val="2"/>
        </w:numPr>
        <w:rPr>
          <w:rFonts w:asciiTheme="minorHAnsi" w:hAnsiTheme="minorHAnsi" w:cstheme="minorHAnsi"/>
          <w:color w:val="000000" w:themeColor="text1"/>
          <w:lang w:eastAsia="en-US"/>
        </w:rPr>
      </w:pPr>
      <w:r w:rsidRPr="00514934">
        <w:rPr>
          <w:rFonts w:asciiTheme="minorHAnsi" w:hAnsiTheme="minorHAnsi" w:cstheme="minorHAnsi"/>
          <w:color w:val="000000" w:themeColor="text1"/>
          <w:lang w:eastAsia="en-US"/>
        </w:rPr>
        <w:t xml:space="preserve">In this gate, </w:t>
      </w:r>
      <w:r w:rsidRPr="009838A2">
        <w:t xml:space="preserve">vendors </w:t>
      </w:r>
      <w:r>
        <w:t>were</w:t>
      </w:r>
      <w:r w:rsidRPr="009838A2">
        <w:t xml:space="preserve"> asked to “show us”</w:t>
      </w:r>
      <w:r>
        <w:t xml:space="preserve"> that</w:t>
      </w:r>
      <w:r w:rsidRPr="009838A2">
        <w:t xml:space="preserve"> </w:t>
      </w:r>
      <w:r>
        <w:t xml:space="preserve">their solutions aligned with </w:t>
      </w:r>
      <w:r w:rsidRPr="009838A2">
        <w:t>GC Digital Standa</w:t>
      </w:r>
      <w:r>
        <w:t>rd such as cloud</w:t>
      </w:r>
      <w:r w:rsidRPr="00514934">
        <w:rPr>
          <w:rFonts w:asciiTheme="minorHAnsi" w:hAnsiTheme="minorHAnsi" w:cstheme="minorHAnsi"/>
          <w:color w:val="000000" w:themeColor="text1"/>
          <w:lang w:eastAsia="en-US"/>
        </w:rPr>
        <w:t xml:space="preserve"> and business capabilities</w:t>
      </w:r>
      <w:r w:rsidR="00D9096C">
        <w:rPr>
          <w:rFonts w:asciiTheme="minorHAnsi" w:hAnsiTheme="minorHAnsi" w:cstheme="minorHAnsi"/>
          <w:color w:val="000000" w:themeColor="text1"/>
          <w:lang w:eastAsia="en-US"/>
        </w:rPr>
        <w:t xml:space="preserve"> and </w:t>
      </w:r>
      <w:r w:rsidRPr="00514934">
        <w:rPr>
          <w:rFonts w:asciiTheme="minorHAnsi" w:hAnsiTheme="minorHAnsi" w:cstheme="minorHAnsi"/>
          <w:color w:val="000000" w:themeColor="text1"/>
          <w:lang w:eastAsia="en-US"/>
        </w:rPr>
        <w:t>ownership of intellectual property</w:t>
      </w:r>
    </w:p>
    <w:p w:rsidR="00C17835" w:rsidRPr="00514934" w:rsidRDefault="00514934" w:rsidP="0079516A">
      <w:pPr>
        <w:pStyle w:val="ListParagraph"/>
        <w:numPr>
          <w:ilvl w:val="0"/>
          <w:numId w:val="2"/>
        </w:numPr>
        <w:rPr>
          <w:rFonts w:asciiTheme="minorHAnsi" w:hAnsiTheme="minorHAnsi" w:cstheme="minorHAnsi"/>
          <w:color w:val="000000" w:themeColor="text1"/>
          <w:lang w:eastAsia="en-US"/>
        </w:rPr>
      </w:pPr>
      <w:r w:rsidRPr="000E0B30">
        <w:t xml:space="preserve">Gate 1 resulted in five successful bidders that </w:t>
      </w:r>
      <w:r>
        <w:t>were eligible</w:t>
      </w:r>
      <w:r w:rsidRPr="000E0B30">
        <w:t xml:space="preserve"> to participate in the Gate 2 Invitation to Quali</w:t>
      </w:r>
      <w:r w:rsidR="00D9096C">
        <w:t>f</w:t>
      </w:r>
      <w:r w:rsidRPr="000E0B30">
        <w:t>y (ITQ).</w:t>
      </w:r>
    </w:p>
    <w:p w:rsidR="00514934" w:rsidRPr="00514934" w:rsidRDefault="00514934" w:rsidP="00514934">
      <w:pPr>
        <w:pStyle w:val="ListParagraph"/>
        <w:ind w:left="360"/>
        <w:rPr>
          <w:rFonts w:asciiTheme="minorHAnsi" w:hAnsiTheme="minorHAnsi" w:cstheme="minorHAnsi"/>
          <w:color w:val="000000" w:themeColor="text1"/>
          <w:lang w:eastAsia="en-US"/>
        </w:rPr>
      </w:pPr>
    </w:p>
    <w:p w:rsidR="00C17835" w:rsidRPr="00514934" w:rsidRDefault="00514934" w:rsidP="0079516A">
      <w:pPr>
        <w:rPr>
          <w:rFonts w:asciiTheme="minorHAnsi" w:hAnsiTheme="minorHAnsi" w:cstheme="minorHAnsi"/>
          <w:color w:val="000000" w:themeColor="text1"/>
          <w:lang w:eastAsia="en-US"/>
        </w:rPr>
      </w:pPr>
      <w:r>
        <w:rPr>
          <w:rFonts w:asciiTheme="minorHAnsi" w:hAnsiTheme="minorHAnsi" w:cstheme="minorHAnsi"/>
          <w:b/>
          <w:bCs/>
          <w:color w:val="000000" w:themeColor="text1"/>
          <w:lang w:eastAsia="en-US"/>
        </w:rPr>
        <w:t>GATE TWO</w:t>
      </w:r>
    </w:p>
    <w:p w:rsidR="00514934" w:rsidRDefault="00C17835" w:rsidP="00A20D5B">
      <w:pPr>
        <w:pStyle w:val="ListParagraph"/>
        <w:numPr>
          <w:ilvl w:val="0"/>
          <w:numId w:val="3"/>
        </w:numPr>
        <w:rPr>
          <w:rFonts w:asciiTheme="minorHAnsi" w:hAnsiTheme="minorHAnsi" w:cstheme="minorHAnsi"/>
          <w:color w:val="000000" w:themeColor="text1"/>
          <w:lang w:eastAsia="en-US"/>
        </w:rPr>
      </w:pPr>
      <w:r w:rsidRPr="004B1AE3">
        <w:rPr>
          <w:rFonts w:asciiTheme="minorHAnsi" w:hAnsiTheme="minorHAnsi" w:cstheme="minorHAnsi"/>
          <w:color w:val="000000" w:themeColor="text1"/>
          <w:lang w:eastAsia="en-US"/>
        </w:rPr>
        <w:t xml:space="preserve">Gate Two </w:t>
      </w:r>
      <w:r w:rsidR="00A20D5B" w:rsidRPr="004B1AE3">
        <w:rPr>
          <w:rFonts w:asciiTheme="minorHAnsi" w:hAnsiTheme="minorHAnsi" w:cstheme="minorHAnsi"/>
          <w:color w:val="000000" w:themeColor="text1"/>
          <w:lang w:eastAsia="en-US"/>
        </w:rPr>
        <w:t>launched November 23</w:t>
      </w:r>
      <w:r w:rsidR="00514934" w:rsidRPr="00514934">
        <w:rPr>
          <w:rFonts w:asciiTheme="minorHAnsi" w:hAnsiTheme="minorHAnsi" w:cstheme="minorHAnsi"/>
          <w:color w:val="000000" w:themeColor="text1"/>
          <w:vertAlign w:val="superscript"/>
          <w:lang w:eastAsia="en-US"/>
        </w:rPr>
        <w:t>rd</w:t>
      </w:r>
      <w:r w:rsidR="00514934">
        <w:rPr>
          <w:rFonts w:asciiTheme="minorHAnsi" w:hAnsiTheme="minorHAnsi" w:cstheme="minorHAnsi"/>
          <w:color w:val="000000" w:themeColor="text1"/>
          <w:lang w:eastAsia="en-US"/>
        </w:rPr>
        <w:t xml:space="preserve"> </w:t>
      </w:r>
      <w:r w:rsidR="00A20D5B" w:rsidRPr="004B1AE3">
        <w:rPr>
          <w:rFonts w:asciiTheme="minorHAnsi" w:hAnsiTheme="minorHAnsi" w:cstheme="minorHAnsi"/>
          <w:color w:val="000000" w:themeColor="text1"/>
          <w:lang w:eastAsia="en-US"/>
        </w:rPr>
        <w:t>and closed February 4</w:t>
      </w:r>
      <w:r w:rsidR="00514934" w:rsidRPr="00514934">
        <w:rPr>
          <w:rFonts w:asciiTheme="minorHAnsi" w:hAnsiTheme="minorHAnsi" w:cstheme="minorHAnsi"/>
          <w:color w:val="000000" w:themeColor="text1"/>
          <w:vertAlign w:val="superscript"/>
          <w:lang w:eastAsia="en-US"/>
        </w:rPr>
        <w:t>th</w:t>
      </w:r>
    </w:p>
    <w:p w:rsidR="00C17835" w:rsidRPr="00514934" w:rsidRDefault="00514934" w:rsidP="00A20D5B">
      <w:pPr>
        <w:pStyle w:val="ListParagraph"/>
        <w:numPr>
          <w:ilvl w:val="0"/>
          <w:numId w:val="3"/>
        </w:numPr>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I</w:t>
      </w:r>
      <w:r w:rsidR="00A20D5B" w:rsidRPr="004B1AE3">
        <w:rPr>
          <w:rFonts w:asciiTheme="minorHAnsi" w:hAnsiTheme="minorHAnsi" w:cstheme="minorHAnsi"/>
          <w:color w:val="000000" w:themeColor="text1"/>
          <w:lang w:eastAsia="en-US"/>
        </w:rPr>
        <w:t xml:space="preserve">n this gate, vendors were asked </w:t>
      </w:r>
      <w:r w:rsidR="00C17835" w:rsidRPr="004B1AE3">
        <w:rPr>
          <w:rFonts w:asciiTheme="minorHAnsi" w:hAnsiTheme="minorHAnsi" w:cstheme="minorHAnsi"/>
          <w:color w:val="000000" w:themeColor="text1"/>
          <w:lang w:eastAsia="en-US"/>
        </w:rPr>
        <w:t>to let us perform hands-on sessions with users, unions, and subject matter experts to prove their solution against 13 requirements;</w:t>
      </w:r>
      <w:r>
        <w:rPr>
          <w:rFonts w:asciiTheme="minorHAnsi" w:hAnsiTheme="minorHAnsi" w:cstheme="minorHAnsi"/>
          <w:color w:val="000000" w:themeColor="text1"/>
          <w:lang w:eastAsia="en-US"/>
        </w:rPr>
        <w:t xml:space="preserve"> </w:t>
      </w:r>
      <w:r w:rsidRPr="00E3601F">
        <w:rPr>
          <w:sz w:val="24"/>
          <w:szCs w:val="24"/>
          <w:lang w:val="en-US"/>
        </w:rPr>
        <w:t>including GC business capabilities and outcomes and architecture outcomes</w:t>
      </w:r>
    </w:p>
    <w:p w:rsidR="00514934" w:rsidRPr="004B1AE3" w:rsidRDefault="00514934" w:rsidP="00514934">
      <w:pPr>
        <w:pStyle w:val="ListParagraph"/>
        <w:numPr>
          <w:ilvl w:val="0"/>
          <w:numId w:val="3"/>
        </w:numPr>
        <w:spacing w:after="120" w:line="276" w:lineRule="auto"/>
        <w:contextualSpacing/>
        <w:rPr>
          <w:rFonts w:asciiTheme="minorHAnsi" w:hAnsiTheme="minorHAnsi" w:cstheme="minorHAnsi"/>
        </w:rPr>
      </w:pPr>
      <w:r w:rsidRPr="004B1AE3">
        <w:rPr>
          <w:rFonts w:asciiTheme="minorHAnsi" w:hAnsiTheme="minorHAnsi" w:cstheme="minorHAnsi"/>
        </w:rPr>
        <w:t>200 users from across Canada conducted simple tasks using the vendor’s solutions and reported their results to the NextGen Evaluation Team</w:t>
      </w:r>
    </w:p>
    <w:p w:rsidR="00514934" w:rsidRPr="004B1AE3" w:rsidRDefault="00514934" w:rsidP="00514934">
      <w:pPr>
        <w:pStyle w:val="ListParagraph"/>
        <w:numPr>
          <w:ilvl w:val="0"/>
          <w:numId w:val="3"/>
        </w:numPr>
        <w:spacing w:after="120" w:line="276" w:lineRule="auto"/>
        <w:contextualSpacing/>
        <w:rPr>
          <w:rFonts w:asciiTheme="minorHAnsi" w:hAnsiTheme="minorHAnsi" w:cstheme="minorHAnsi"/>
        </w:rPr>
      </w:pPr>
      <w:r w:rsidRPr="004B1AE3">
        <w:rPr>
          <w:rFonts w:asciiTheme="minorHAnsi" w:hAnsiTheme="minorHAnsi" w:cstheme="minorHAnsi"/>
        </w:rPr>
        <w:t>Vendors then presented their solutions to the NextGen Evaluation Team where 30 Subject Matter Experts challenged the vendors on their solutions with complex scenarios</w:t>
      </w:r>
    </w:p>
    <w:p w:rsidR="00514934" w:rsidRPr="00514934" w:rsidRDefault="00514934" w:rsidP="00514934">
      <w:pPr>
        <w:pStyle w:val="ListParagraph"/>
        <w:numPr>
          <w:ilvl w:val="0"/>
          <w:numId w:val="3"/>
        </w:numPr>
        <w:rPr>
          <w:rFonts w:asciiTheme="minorHAnsi" w:hAnsiTheme="minorHAnsi" w:cstheme="minorHAnsi"/>
          <w:color w:val="000000" w:themeColor="text1"/>
          <w:lang w:eastAsia="en-US"/>
        </w:rPr>
      </w:pPr>
      <w:r>
        <w:t xml:space="preserve">Gate 2 </w:t>
      </w:r>
      <w:r w:rsidRPr="000E0B30">
        <w:t xml:space="preserve">resulted in </w:t>
      </w:r>
      <w:r>
        <w:t xml:space="preserve">three </w:t>
      </w:r>
      <w:r w:rsidRPr="000E0B30">
        <w:t>successful bidders that</w:t>
      </w:r>
      <w:r>
        <w:t xml:space="preserve"> are now eligible</w:t>
      </w:r>
      <w:r w:rsidRPr="000E0B30">
        <w:t xml:space="preserve"> to participate in the Gate </w:t>
      </w:r>
      <w:r>
        <w:t>3</w:t>
      </w:r>
      <w:r w:rsidRPr="000E0B30">
        <w:t xml:space="preserve"> Invitation to Quali</w:t>
      </w:r>
      <w:r w:rsidR="00D9096C">
        <w:t>f</w:t>
      </w:r>
      <w:r w:rsidRPr="000E0B30">
        <w:t>y (ITQ).</w:t>
      </w:r>
    </w:p>
    <w:p w:rsidR="00514934" w:rsidRDefault="00514934" w:rsidP="00514934">
      <w:pPr>
        <w:rPr>
          <w:rFonts w:asciiTheme="minorHAnsi" w:hAnsiTheme="minorHAnsi" w:cstheme="minorHAnsi"/>
          <w:color w:val="000000" w:themeColor="text1"/>
          <w:lang w:eastAsia="en-US"/>
        </w:rPr>
      </w:pPr>
    </w:p>
    <w:p w:rsidR="00514934" w:rsidRPr="00B37D8B" w:rsidRDefault="00514934" w:rsidP="00B37D8B">
      <w:pPr>
        <w:rPr>
          <w:b/>
          <w:lang w:val="en-US"/>
        </w:rPr>
      </w:pPr>
      <w:r w:rsidRPr="00B37D8B">
        <w:rPr>
          <w:b/>
          <w:lang w:val="en-US"/>
        </w:rPr>
        <w:lastRenderedPageBreak/>
        <w:t>GATE THREE</w:t>
      </w:r>
    </w:p>
    <w:p w:rsidR="00B37D8B" w:rsidRDefault="00B37D8B" w:rsidP="00B37D8B">
      <w:pPr>
        <w:pStyle w:val="ListParagraph"/>
        <w:numPr>
          <w:ilvl w:val="0"/>
          <w:numId w:val="7"/>
        </w:numPr>
        <w:spacing w:after="160"/>
        <w:contextualSpacing/>
      </w:pPr>
      <w:r>
        <w:t>Details for Gate 3 are currently being developed and are expected in the coming weeks</w:t>
      </w:r>
    </w:p>
    <w:p w:rsidR="00B37D8B" w:rsidRPr="00B37D8B" w:rsidRDefault="00B37D8B" w:rsidP="0015739B">
      <w:pPr>
        <w:pStyle w:val="ListParagraph"/>
        <w:numPr>
          <w:ilvl w:val="0"/>
          <w:numId w:val="7"/>
        </w:numPr>
        <w:spacing w:after="120" w:line="276" w:lineRule="auto"/>
        <w:contextualSpacing/>
      </w:pPr>
      <w:r w:rsidRPr="00B37D8B">
        <w:t>Examples of criteria that may be included:</w:t>
      </w:r>
    </w:p>
    <w:p w:rsidR="00B37D8B" w:rsidRPr="00B37D8B" w:rsidRDefault="00B37D8B" w:rsidP="00B37D8B">
      <w:pPr>
        <w:pStyle w:val="ListParagraph"/>
        <w:numPr>
          <w:ilvl w:val="1"/>
          <w:numId w:val="7"/>
        </w:numPr>
        <w:spacing w:after="120" w:line="276" w:lineRule="auto"/>
        <w:contextualSpacing/>
      </w:pPr>
      <w:r w:rsidRPr="00B37D8B">
        <w:t>Potential deployment models and roadmap</w:t>
      </w:r>
    </w:p>
    <w:p w:rsidR="00B37D8B" w:rsidRPr="00B37D8B" w:rsidRDefault="00B37D8B" w:rsidP="00B37D8B">
      <w:pPr>
        <w:pStyle w:val="ListParagraph"/>
        <w:numPr>
          <w:ilvl w:val="1"/>
          <w:numId w:val="7"/>
        </w:numPr>
        <w:spacing w:after="120" w:line="276" w:lineRule="auto"/>
        <w:contextualSpacing/>
      </w:pPr>
      <w:r w:rsidRPr="00B37D8B">
        <w:t>Data cleansing, migration and governance approach</w:t>
      </w:r>
    </w:p>
    <w:p w:rsidR="00B37D8B" w:rsidRDefault="00B37D8B" w:rsidP="00B37D8B">
      <w:pPr>
        <w:pStyle w:val="ListParagraph"/>
        <w:numPr>
          <w:ilvl w:val="1"/>
          <w:numId w:val="7"/>
        </w:numPr>
      </w:pPr>
      <w:r>
        <w:t xml:space="preserve">Pay Load testing </w:t>
      </w:r>
    </w:p>
    <w:p w:rsidR="00B37D8B" w:rsidRDefault="00B37D8B" w:rsidP="00B37D8B">
      <w:pPr>
        <w:pStyle w:val="ListParagraph"/>
        <w:numPr>
          <w:ilvl w:val="1"/>
          <w:numId w:val="7"/>
        </w:numPr>
      </w:pPr>
      <w:r>
        <w:t>Solution, Pilot,  Enterprise Implementation and ongoing maintenance costing</w:t>
      </w:r>
    </w:p>
    <w:p w:rsidR="00B37D8B" w:rsidRDefault="00B37D8B" w:rsidP="00B37D8B">
      <w:pPr>
        <w:pStyle w:val="ListParagraph"/>
        <w:numPr>
          <w:ilvl w:val="1"/>
          <w:numId w:val="7"/>
        </w:numPr>
      </w:pPr>
      <w:r>
        <w:t>Contract terms and conditions</w:t>
      </w:r>
    </w:p>
    <w:p w:rsidR="00B37D8B" w:rsidRDefault="00B37D8B" w:rsidP="00B37D8B">
      <w:pPr>
        <w:pStyle w:val="ListParagraph"/>
        <w:numPr>
          <w:ilvl w:val="1"/>
          <w:numId w:val="7"/>
        </w:numPr>
      </w:pPr>
      <w:r>
        <w:t>Change Management Capacity and Strategy</w:t>
      </w:r>
    </w:p>
    <w:p w:rsidR="00B37D8B" w:rsidRDefault="00B37D8B" w:rsidP="00B37D8B">
      <w:pPr>
        <w:pStyle w:val="ListParagraph"/>
        <w:numPr>
          <w:ilvl w:val="1"/>
          <w:numId w:val="7"/>
        </w:numPr>
      </w:pPr>
      <w:r>
        <w:t>Service Level Agreement</w:t>
      </w:r>
    </w:p>
    <w:p w:rsidR="00514934" w:rsidRDefault="00514934" w:rsidP="00B37D8B">
      <w:pPr>
        <w:spacing w:after="120" w:line="276" w:lineRule="auto"/>
        <w:contextualSpacing/>
        <w:rPr>
          <w:rFonts w:asciiTheme="minorHAnsi" w:hAnsiTheme="minorHAnsi" w:cstheme="minorHAnsi"/>
          <w:color w:val="000000" w:themeColor="text1"/>
          <w:lang w:eastAsia="en-US"/>
        </w:rPr>
      </w:pPr>
    </w:p>
    <w:p w:rsidR="00B37D8B" w:rsidRPr="00B37D8B" w:rsidRDefault="00B37D8B" w:rsidP="00B37D8B">
      <w:pPr>
        <w:rPr>
          <w:b/>
          <w:lang w:val="en-US"/>
        </w:rPr>
      </w:pPr>
      <w:r w:rsidRPr="00B37D8B">
        <w:rPr>
          <w:b/>
          <w:lang w:val="en-US"/>
        </w:rPr>
        <w:t>ENGAGEMENT</w:t>
      </w:r>
    </w:p>
    <w:p w:rsidR="00B37D8B" w:rsidRDefault="004B1AE3" w:rsidP="00B37D8B">
      <w:pPr>
        <w:pStyle w:val="ListParagraph"/>
        <w:numPr>
          <w:ilvl w:val="0"/>
          <w:numId w:val="7"/>
        </w:numPr>
        <w:spacing w:after="160"/>
        <w:contextualSpacing/>
      </w:pPr>
      <w:r>
        <w:t>In parallel, the NextGen Team has been engaging with users, including employees, HR specialists, and managers to place the user at the heart of this process and</w:t>
      </w:r>
      <w:r w:rsidR="00B37D8B">
        <w:t xml:space="preserve"> develop business outcomes</w:t>
      </w:r>
    </w:p>
    <w:p w:rsidR="00B37D8B" w:rsidRPr="00B37D8B" w:rsidRDefault="004B1AE3" w:rsidP="00B37D8B">
      <w:pPr>
        <w:pStyle w:val="ListParagraph"/>
        <w:numPr>
          <w:ilvl w:val="0"/>
          <w:numId w:val="7"/>
        </w:numPr>
        <w:spacing w:after="160" w:line="259" w:lineRule="auto"/>
        <w:contextualSpacing/>
      </w:pPr>
      <w:r>
        <w:t xml:space="preserve">To date, a number of initial engagement sessions, as well as a User Day </w:t>
      </w:r>
      <w:r w:rsidR="00B37D8B">
        <w:t>and User Expos</w:t>
      </w:r>
      <w:r>
        <w:t xml:space="preserve">, have helped </w:t>
      </w:r>
      <w:r w:rsidRPr="00B37D8B">
        <w:t>identify and validate HR business requirements</w:t>
      </w:r>
      <w:r w:rsidR="00B37D8B" w:rsidRPr="00B37D8B">
        <w:t xml:space="preserve"> and</w:t>
      </w:r>
      <w:r w:rsidRPr="00B37D8B">
        <w:t xml:space="preserve"> understand user needs</w:t>
      </w:r>
      <w:r w:rsidR="00B37D8B" w:rsidRPr="00B37D8B">
        <w:t>.</w:t>
      </w:r>
    </w:p>
    <w:p w:rsidR="00B37D8B" w:rsidRPr="003A1BDE" w:rsidRDefault="00B37D8B" w:rsidP="003A1BDE">
      <w:pPr>
        <w:ind w:left="360"/>
        <w:rPr>
          <w:b/>
          <w:u w:val="single"/>
        </w:rPr>
      </w:pPr>
      <w:r w:rsidRPr="003A1BDE">
        <w:rPr>
          <w:b/>
          <w:u w:val="single"/>
        </w:rPr>
        <w:t>ENGAGMENT WORKSHOPS/USER DAY</w:t>
      </w:r>
    </w:p>
    <w:p w:rsidR="00C17835" w:rsidRPr="00B37D8B" w:rsidRDefault="00B37D8B" w:rsidP="003A1BDE">
      <w:pPr>
        <w:pStyle w:val="ListParagraph"/>
        <w:numPr>
          <w:ilvl w:val="0"/>
          <w:numId w:val="7"/>
        </w:numPr>
        <w:spacing w:after="160" w:line="259" w:lineRule="auto"/>
        <w:ind w:left="720"/>
        <w:contextualSpacing/>
      </w:pPr>
      <w:r w:rsidRPr="00B37D8B">
        <w:t>Between September</w:t>
      </w:r>
      <w:r>
        <w:t xml:space="preserve"> 14</w:t>
      </w:r>
      <w:r w:rsidRPr="00B37D8B">
        <w:rPr>
          <w:vertAlign w:val="superscript"/>
        </w:rPr>
        <w:t>th</w:t>
      </w:r>
      <w:r>
        <w:t xml:space="preserve"> </w:t>
      </w:r>
      <w:r w:rsidRPr="00B37D8B">
        <w:t xml:space="preserve">and October </w:t>
      </w:r>
      <w:r>
        <w:t>12</w:t>
      </w:r>
      <w:r w:rsidRPr="00B37D8B">
        <w:rPr>
          <w:vertAlign w:val="superscript"/>
        </w:rPr>
        <w:t>th</w:t>
      </w:r>
      <w:r w:rsidRPr="00B37D8B">
        <w:t>, a</w:t>
      </w:r>
      <w:r w:rsidR="00C17835" w:rsidRPr="00B37D8B">
        <w:t xml:space="preserve"> series of </w:t>
      </w:r>
      <w:r w:rsidRPr="00B37D8B">
        <w:t>workshops were held</w:t>
      </w:r>
      <w:r w:rsidR="00C17835" w:rsidRPr="00B37D8B">
        <w:t xml:space="preserve"> in Ottawa, Halifax, and Vancouver to obtain </w:t>
      </w:r>
      <w:r w:rsidRPr="00B37D8B">
        <w:t xml:space="preserve">initial </w:t>
      </w:r>
      <w:r w:rsidR="00C17835" w:rsidRPr="00B37D8B">
        <w:t xml:space="preserve">feedback from a wide variety of participants on the scope, functionality, current pain points and user personas; </w:t>
      </w:r>
    </w:p>
    <w:p w:rsidR="00B37D8B" w:rsidRDefault="00C17835" w:rsidP="003A1BDE">
      <w:pPr>
        <w:pStyle w:val="ListParagraph"/>
        <w:numPr>
          <w:ilvl w:val="0"/>
          <w:numId w:val="7"/>
        </w:numPr>
        <w:spacing w:after="160" w:line="259" w:lineRule="auto"/>
        <w:ind w:left="720"/>
        <w:contextualSpacing/>
      </w:pPr>
      <w:r w:rsidRPr="00B37D8B">
        <w:t xml:space="preserve">These sessions were complemented by a User Day held </w:t>
      </w:r>
      <w:r w:rsidR="00B37D8B" w:rsidRPr="00B37D8B">
        <w:t xml:space="preserve">November 20th </w:t>
      </w:r>
      <w:r w:rsidRPr="00B37D8B">
        <w:t xml:space="preserve">in Gatineau that helped further validate business requirements to support the </w:t>
      </w:r>
      <w:proofErr w:type="spellStart"/>
      <w:r w:rsidRPr="00B37D8B">
        <w:t>NextGen’s</w:t>
      </w:r>
      <w:proofErr w:type="spellEnd"/>
      <w:r w:rsidRPr="00B37D8B">
        <w:t xml:space="preserve"> agile procurement proces</w:t>
      </w:r>
      <w:r w:rsidR="00B37D8B" w:rsidRPr="00B37D8B">
        <w:t>s</w:t>
      </w:r>
    </w:p>
    <w:p w:rsidR="00B37D8B" w:rsidRPr="00B37D8B" w:rsidRDefault="00B37D8B" w:rsidP="003A1BDE">
      <w:pPr>
        <w:pStyle w:val="ListParagraph"/>
        <w:numPr>
          <w:ilvl w:val="0"/>
          <w:numId w:val="7"/>
        </w:numPr>
        <w:spacing w:after="160" w:line="259" w:lineRule="auto"/>
        <w:ind w:left="720"/>
        <w:contextualSpacing/>
      </w:pPr>
      <w:r>
        <w:t>Public servants from various departments and communities participated, including m</w:t>
      </w:r>
      <w:r w:rsidRPr="00B37D8B">
        <w:t>anagers, compensation advisors, HR practitioners, financial</w:t>
      </w:r>
      <w:r>
        <w:t xml:space="preserve"> practitioners and employees.</w:t>
      </w:r>
    </w:p>
    <w:p w:rsidR="00B37D8B" w:rsidRPr="00B37D8B" w:rsidRDefault="00C17835" w:rsidP="003A1BDE">
      <w:pPr>
        <w:pStyle w:val="ListParagraph"/>
        <w:numPr>
          <w:ilvl w:val="0"/>
          <w:numId w:val="7"/>
        </w:numPr>
        <w:spacing w:after="160" w:line="259" w:lineRule="auto"/>
        <w:ind w:left="720"/>
        <w:contextualSpacing/>
      </w:pPr>
      <w:r w:rsidRPr="00B37D8B">
        <w:t>User Day was similar to Industry Day in that it kicked off the first of several open discuss</w:t>
      </w:r>
      <w:r w:rsidR="00B37D8B" w:rsidRPr="00B37D8B">
        <w:t>ions with the general user-base</w:t>
      </w:r>
    </w:p>
    <w:p w:rsidR="00C17835" w:rsidRPr="003A1BDE" w:rsidRDefault="00B37D8B" w:rsidP="003A1BDE">
      <w:pPr>
        <w:ind w:left="360"/>
        <w:rPr>
          <w:rFonts w:ascii="Calibri Light" w:hAnsi="Calibri Light" w:cs="Calibri Light"/>
          <w:b/>
          <w:color w:val="000000" w:themeColor="text1"/>
          <w:u w:val="single"/>
          <w:lang w:eastAsia="en-US"/>
        </w:rPr>
      </w:pPr>
      <w:r w:rsidRPr="003A1BDE">
        <w:rPr>
          <w:rFonts w:ascii="Calibri Light" w:hAnsi="Calibri Light" w:cs="Calibri Light"/>
          <w:b/>
          <w:color w:val="000000" w:themeColor="text1"/>
          <w:u w:val="single"/>
          <w:lang w:eastAsia="en-US"/>
        </w:rPr>
        <w:t>USER EXPOS</w:t>
      </w:r>
    </w:p>
    <w:p w:rsidR="00B37D8B" w:rsidRPr="003A1BDE" w:rsidRDefault="00B37D8B" w:rsidP="003A1BDE">
      <w:pPr>
        <w:pStyle w:val="ListParagraph"/>
        <w:numPr>
          <w:ilvl w:val="0"/>
          <w:numId w:val="7"/>
        </w:numPr>
        <w:spacing w:after="160" w:line="259" w:lineRule="auto"/>
        <w:ind w:left="720"/>
        <w:contextualSpacing/>
      </w:pPr>
      <w:r w:rsidRPr="003A1BDE">
        <w:t>In an effort to create awareness around the NextGen Initiative and offer opportunities for hands-on engagement, held 15 User Expos in seven cities, including Ottawa, Gatineau, Montreal, Dartmouth, Victoria, Edmonton and Winnipeg.</w:t>
      </w:r>
    </w:p>
    <w:p w:rsidR="00B37D8B" w:rsidRPr="008F2D8C" w:rsidRDefault="00B37D8B" w:rsidP="00B37D8B">
      <w:pPr>
        <w:pStyle w:val="ListParagraph"/>
        <w:ind w:left="360"/>
        <w:rPr>
          <w:sz w:val="24"/>
          <w:szCs w:val="24"/>
          <w:lang w:val="en-US"/>
        </w:rPr>
      </w:pPr>
    </w:p>
    <w:p w:rsidR="00B37D8B" w:rsidRPr="00B37D8B" w:rsidRDefault="00B37D8B" w:rsidP="00B37D8B">
      <w:pPr>
        <w:pStyle w:val="ListParagraph"/>
        <w:numPr>
          <w:ilvl w:val="0"/>
          <w:numId w:val="7"/>
        </w:numPr>
        <w:spacing w:after="160" w:line="259" w:lineRule="auto"/>
        <w:contextualSpacing/>
      </w:pPr>
      <w:r w:rsidRPr="00B37D8B">
        <w:t>What we’ve heard to date from public servants is</w:t>
      </w:r>
      <w:r>
        <w:t>:</w:t>
      </w:r>
    </w:p>
    <w:p w:rsidR="00B37D8B" w:rsidRPr="00B37D8B" w:rsidRDefault="00B37D8B" w:rsidP="00B37D8B">
      <w:pPr>
        <w:pStyle w:val="ListParagraph"/>
        <w:numPr>
          <w:ilvl w:val="1"/>
          <w:numId w:val="7"/>
        </w:numPr>
        <w:spacing w:after="160" w:line="259" w:lineRule="auto"/>
        <w:contextualSpacing/>
      </w:pPr>
      <w:r w:rsidRPr="00B37D8B">
        <w:t>Overall, employees want a system that works and pays people on time.</w:t>
      </w:r>
    </w:p>
    <w:p w:rsidR="00B37D8B" w:rsidRPr="00B37D8B" w:rsidRDefault="00B37D8B" w:rsidP="00B37D8B">
      <w:pPr>
        <w:pStyle w:val="ListParagraph"/>
        <w:numPr>
          <w:ilvl w:val="1"/>
          <w:numId w:val="7"/>
        </w:numPr>
        <w:spacing w:after="160" w:line="259" w:lineRule="auto"/>
        <w:contextualSpacing/>
      </w:pPr>
      <w:r w:rsidRPr="00B37D8B">
        <w:t>A new system must be simple and user friendly with easy to understand paystubs</w:t>
      </w:r>
    </w:p>
    <w:p w:rsidR="00B37D8B" w:rsidRPr="00B37D8B" w:rsidRDefault="00B37D8B" w:rsidP="00B37D8B">
      <w:pPr>
        <w:pStyle w:val="ListParagraph"/>
        <w:numPr>
          <w:ilvl w:val="1"/>
          <w:numId w:val="7"/>
        </w:numPr>
        <w:spacing w:after="160" w:line="259" w:lineRule="auto"/>
        <w:contextualSpacing/>
      </w:pPr>
      <w:r w:rsidRPr="00B37D8B">
        <w:t>Access to their pay information from anywhere, digital and paperless</w:t>
      </w:r>
    </w:p>
    <w:p w:rsidR="00B37D8B" w:rsidRPr="00B37D8B" w:rsidRDefault="00B37D8B" w:rsidP="00B37D8B">
      <w:pPr>
        <w:pStyle w:val="ListParagraph"/>
        <w:numPr>
          <w:ilvl w:val="1"/>
          <w:numId w:val="7"/>
        </w:numPr>
        <w:spacing w:after="160" w:line="259" w:lineRule="auto"/>
        <w:contextualSpacing/>
      </w:pPr>
      <w:r w:rsidRPr="00B37D8B">
        <w:t>Empathy and human interaction</w:t>
      </w:r>
    </w:p>
    <w:p w:rsidR="00B37D8B" w:rsidRDefault="00B37D8B" w:rsidP="00B37D8B">
      <w:pPr>
        <w:rPr>
          <w:b/>
        </w:rPr>
      </w:pPr>
      <w:r>
        <w:rPr>
          <w:b/>
        </w:rPr>
        <w:t>CONCLUSION</w:t>
      </w:r>
    </w:p>
    <w:p w:rsidR="00B37D8B" w:rsidRPr="000E0B30" w:rsidRDefault="00B37D8B" w:rsidP="00B37D8B">
      <w:pPr>
        <w:pStyle w:val="ListParagraph"/>
        <w:numPr>
          <w:ilvl w:val="0"/>
          <w:numId w:val="7"/>
        </w:numPr>
      </w:pPr>
      <w:r w:rsidRPr="000E0B30">
        <w:t xml:space="preserve">The Next Generation HR and Pay team is committed to understanding the lessons learned from Phoenix, </w:t>
      </w:r>
      <w:r>
        <w:t xml:space="preserve">will continue </w:t>
      </w:r>
      <w:r w:rsidRPr="000E0B30">
        <w:t>engaging with users and vendors, and working in an iterative and agile way that will inform future recommendations for a HR and pay alternative.</w:t>
      </w:r>
    </w:p>
    <w:p w:rsidR="00B37D8B" w:rsidRPr="00B37D8B" w:rsidRDefault="00B37D8B" w:rsidP="00B37D8B">
      <w:pPr>
        <w:pStyle w:val="ListParagraph"/>
        <w:numPr>
          <w:ilvl w:val="0"/>
          <w:numId w:val="7"/>
        </w:numPr>
        <w:spacing w:after="160" w:line="259" w:lineRule="auto"/>
        <w:contextualSpacing/>
      </w:pPr>
      <w:r w:rsidRPr="00B37D8B">
        <w:t xml:space="preserve">By </w:t>
      </w:r>
      <w:r>
        <w:t xml:space="preserve">March, </w:t>
      </w:r>
      <w:r w:rsidRPr="00B37D8B">
        <w:t>the NextGen Team will have identified viable market options, engaged with users and vendors</w:t>
      </w:r>
      <w:r w:rsidR="003A1BDE">
        <w:t xml:space="preserve"> and begun </w:t>
      </w:r>
      <w:r w:rsidRPr="00B37D8B">
        <w:t>assess</w:t>
      </w:r>
      <w:r w:rsidR="003A1BDE">
        <w:t xml:space="preserve">ing </w:t>
      </w:r>
      <w:r w:rsidRPr="00B37D8B">
        <w:t>the degree of HR transformation required</w:t>
      </w:r>
      <w:r w:rsidR="003A1BDE">
        <w:t xml:space="preserve"> to b</w:t>
      </w:r>
      <w:r w:rsidRPr="00B37D8B">
        <w:t>e in a positio</w:t>
      </w:r>
      <w:r>
        <w:t>n to present recommendations by spring 2019</w:t>
      </w:r>
      <w:r w:rsidR="003A1BDE">
        <w:t xml:space="preserve"> on a way forward</w:t>
      </w:r>
      <w:r>
        <w:t>.</w:t>
      </w:r>
      <w:r w:rsidRPr="00B37D8B">
        <w:t xml:space="preserve"> </w:t>
      </w:r>
      <w:bookmarkStart w:id="0" w:name="_GoBack"/>
      <w:bookmarkEnd w:id="0"/>
    </w:p>
    <w:p w:rsidR="00B37D8B" w:rsidRPr="0079516A" w:rsidRDefault="00B37D8B" w:rsidP="0079516A">
      <w:pPr>
        <w:rPr>
          <w:rFonts w:ascii="Calibri Light" w:hAnsi="Calibri Light" w:cs="Calibri Light"/>
          <w:color w:val="000000" w:themeColor="text1"/>
          <w:lang w:eastAsia="en-US"/>
        </w:rPr>
      </w:pPr>
    </w:p>
    <w:p w:rsidR="0015298B" w:rsidRPr="0079516A" w:rsidRDefault="0015298B" w:rsidP="0079516A">
      <w:pPr>
        <w:rPr>
          <w:color w:val="000000" w:themeColor="text1"/>
        </w:rPr>
      </w:pPr>
    </w:p>
    <w:sectPr w:rsidR="0015298B" w:rsidRPr="0079516A" w:rsidSect="002A7F43">
      <w:headerReference w:type="even" r:id="rId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E15" w:rsidRDefault="003A6E15" w:rsidP="002A7F43">
      <w:r>
        <w:separator/>
      </w:r>
    </w:p>
  </w:endnote>
  <w:endnote w:type="continuationSeparator" w:id="0">
    <w:p w:rsidR="003A6E15" w:rsidRDefault="003A6E15" w:rsidP="002A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E15" w:rsidRDefault="003A6E15" w:rsidP="002A7F43">
      <w:r>
        <w:separator/>
      </w:r>
    </w:p>
  </w:footnote>
  <w:footnote w:type="continuationSeparator" w:id="0">
    <w:p w:rsidR="003A6E15" w:rsidRDefault="003A6E15" w:rsidP="002A7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F43" w:rsidRDefault="002A7F43" w:rsidP="002A7F43">
    <w:pPr>
      <w:pStyle w:val="Header"/>
    </w:pPr>
    <w:bookmarkStart w:id="1" w:name="TITUS1HeaderEvenPages"/>
  </w:p>
  <w:bookmarkEnd w:id="1"/>
  <w:p w:rsidR="002A7F43" w:rsidRDefault="002A7F43" w:rsidP="002A7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F43" w:rsidRDefault="002A7F43" w:rsidP="002A7F43">
    <w:pPr>
      <w:pStyle w:val="Header"/>
    </w:pPr>
    <w:bookmarkStart w:id="2" w:name="TITUS1HeaderPrimary"/>
  </w:p>
  <w:bookmarkEnd w:id="2"/>
  <w:p w:rsidR="002A7F43" w:rsidRDefault="002A7F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F43" w:rsidRDefault="002A7F43" w:rsidP="002A7F43">
    <w:pPr>
      <w:pStyle w:val="Header"/>
    </w:pPr>
    <w:bookmarkStart w:id="3" w:name="TITUS1HeaderFirstPage"/>
  </w:p>
  <w:bookmarkEnd w:id="3"/>
  <w:p w:rsidR="002A7F43" w:rsidRDefault="002A7F43" w:rsidP="002A7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1DA"/>
    <w:multiLevelType w:val="hybridMultilevel"/>
    <w:tmpl w:val="507E50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65B7D6D"/>
    <w:multiLevelType w:val="hybridMultilevel"/>
    <w:tmpl w:val="541060A6"/>
    <w:lvl w:ilvl="0" w:tplc="59E4DE68">
      <w:start w:val="1"/>
      <w:numFmt w:val="bullet"/>
      <w:lvlText w:val=""/>
      <w:lvlJc w:val="left"/>
      <w:pPr>
        <w:ind w:left="720" w:hanging="360"/>
      </w:pPr>
      <w:rPr>
        <w:rFonts w:ascii="Symbol" w:hAnsi="Symbol"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3A5CDD"/>
    <w:multiLevelType w:val="hybridMultilevel"/>
    <w:tmpl w:val="E3C6B2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FFF5699"/>
    <w:multiLevelType w:val="hybridMultilevel"/>
    <w:tmpl w:val="AAC49EA6"/>
    <w:lvl w:ilvl="0" w:tplc="045CB296">
      <w:start w:val="1"/>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443E53"/>
    <w:multiLevelType w:val="hybridMultilevel"/>
    <w:tmpl w:val="7D7224A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15:restartNumberingAfterBreak="0">
    <w:nsid w:val="16D87F9D"/>
    <w:multiLevelType w:val="hybridMultilevel"/>
    <w:tmpl w:val="6994F012"/>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A0E2724"/>
    <w:multiLevelType w:val="hybridMultilevel"/>
    <w:tmpl w:val="B0BCAF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0E13CB"/>
    <w:multiLevelType w:val="hybridMultilevel"/>
    <w:tmpl w:val="EFD41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9A20A5"/>
    <w:multiLevelType w:val="hybridMultilevel"/>
    <w:tmpl w:val="20769352"/>
    <w:lvl w:ilvl="0" w:tplc="14AA212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962236A"/>
    <w:multiLevelType w:val="hybridMultilevel"/>
    <w:tmpl w:val="AC04B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F5198A"/>
    <w:multiLevelType w:val="hybridMultilevel"/>
    <w:tmpl w:val="E3445D2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242175F"/>
    <w:multiLevelType w:val="hybridMultilevel"/>
    <w:tmpl w:val="5BECF6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A22B85"/>
    <w:multiLevelType w:val="hybridMultilevel"/>
    <w:tmpl w:val="9C7CA72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28B6831"/>
    <w:multiLevelType w:val="hybridMultilevel"/>
    <w:tmpl w:val="E98883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6D27A54"/>
    <w:multiLevelType w:val="hybridMultilevel"/>
    <w:tmpl w:val="5440820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5" w15:restartNumberingAfterBreak="0">
    <w:nsid w:val="57923F9E"/>
    <w:multiLevelType w:val="hybridMultilevel"/>
    <w:tmpl w:val="A93E2D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5AC910A3"/>
    <w:multiLevelType w:val="hybridMultilevel"/>
    <w:tmpl w:val="CE9CCE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AD61654"/>
    <w:multiLevelType w:val="hybridMultilevel"/>
    <w:tmpl w:val="15584F4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942204"/>
    <w:multiLevelType w:val="hybridMultilevel"/>
    <w:tmpl w:val="4F4A5D0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9" w15:restartNumberingAfterBreak="0">
    <w:nsid w:val="6895798F"/>
    <w:multiLevelType w:val="hybridMultilevel"/>
    <w:tmpl w:val="4B66139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0" w15:restartNumberingAfterBreak="0">
    <w:nsid w:val="6A97739E"/>
    <w:multiLevelType w:val="hybridMultilevel"/>
    <w:tmpl w:val="6722077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1" w15:restartNumberingAfterBreak="0">
    <w:nsid w:val="73513D06"/>
    <w:multiLevelType w:val="hybridMultilevel"/>
    <w:tmpl w:val="96222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4"/>
  </w:num>
  <w:num w:numId="4">
    <w:abstractNumId w:val="2"/>
  </w:num>
  <w:num w:numId="5">
    <w:abstractNumId w:val="2"/>
  </w:num>
  <w:num w:numId="6">
    <w:abstractNumId w:val="20"/>
  </w:num>
  <w:num w:numId="7">
    <w:abstractNumId w:val="10"/>
  </w:num>
  <w:num w:numId="8">
    <w:abstractNumId w:val="15"/>
  </w:num>
  <w:num w:numId="9">
    <w:abstractNumId w:val="13"/>
  </w:num>
  <w:num w:numId="10">
    <w:abstractNumId w:val="7"/>
  </w:num>
  <w:num w:numId="11">
    <w:abstractNumId w:val="16"/>
  </w:num>
  <w:num w:numId="12">
    <w:abstractNumId w:val="6"/>
  </w:num>
  <w:num w:numId="13">
    <w:abstractNumId w:val="8"/>
  </w:num>
  <w:num w:numId="14">
    <w:abstractNumId w:val="21"/>
  </w:num>
  <w:num w:numId="15">
    <w:abstractNumId w:val="9"/>
  </w:num>
  <w:num w:numId="16">
    <w:abstractNumId w:val="4"/>
  </w:num>
  <w:num w:numId="17">
    <w:abstractNumId w:val="7"/>
  </w:num>
  <w:num w:numId="18">
    <w:abstractNumId w:val="0"/>
  </w:num>
  <w:num w:numId="19">
    <w:abstractNumId w:val="11"/>
  </w:num>
  <w:num w:numId="20">
    <w:abstractNumId w:val="3"/>
  </w:num>
  <w:num w:numId="21">
    <w:abstractNumId w:val="5"/>
  </w:num>
  <w:num w:numId="22">
    <w:abstractNumId w:val="1"/>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35"/>
    <w:rsid w:val="00015026"/>
    <w:rsid w:val="000455BE"/>
    <w:rsid w:val="000A7D41"/>
    <w:rsid w:val="0015298B"/>
    <w:rsid w:val="002A7F43"/>
    <w:rsid w:val="003205E9"/>
    <w:rsid w:val="003A1BDE"/>
    <w:rsid w:val="003A6E15"/>
    <w:rsid w:val="00414F1C"/>
    <w:rsid w:val="00441EE8"/>
    <w:rsid w:val="00446AC2"/>
    <w:rsid w:val="004B1AE3"/>
    <w:rsid w:val="00514934"/>
    <w:rsid w:val="0066602E"/>
    <w:rsid w:val="006678B3"/>
    <w:rsid w:val="0079516A"/>
    <w:rsid w:val="00A20D5B"/>
    <w:rsid w:val="00AA005E"/>
    <w:rsid w:val="00AB2A0D"/>
    <w:rsid w:val="00B37D8B"/>
    <w:rsid w:val="00C17835"/>
    <w:rsid w:val="00D9096C"/>
    <w:rsid w:val="00EC2CB7"/>
    <w:rsid w:val="00F446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B20D9-5490-476C-BA25-FE31B493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835"/>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7835"/>
    <w:pPr>
      <w:ind w:left="720"/>
    </w:pPr>
  </w:style>
  <w:style w:type="paragraph" w:styleId="Header">
    <w:name w:val="header"/>
    <w:basedOn w:val="Normal"/>
    <w:link w:val="HeaderChar"/>
    <w:uiPriority w:val="99"/>
    <w:unhideWhenUsed/>
    <w:rsid w:val="002A7F43"/>
    <w:pPr>
      <w:tabs>
        <w:tab w:val="center" w:pos="4680"/>
        <w:tab w:val="right" w:pos="9360"/>
      </w:tabs>
    </w:pPr>
  </w:style>
  <w:style w:type="character" w:customStyle="1" w:styleId="HeaderChar">
    <w:name w:val="Header Char"/>
    <w:basedOn w:val="DefaultParagraphFont"/>
    <w:link w:val="Header"/>
    <w:uiPriority w:val="99"/>
    <w:rsid w:val="002A7F43"/>
    <w:rPr>
      <w:rFonts w:ascii="Calibri" w:hAnsi="Calibri" w:cs="Calibri"/>
      <w:lang w:eastAsia="en-CA"/>
    </w:rPr>
  </w:style>
  <w:style w:type="paragraph" w:styleId="Footer">
    <w:name w:val="footer"/>
    <w:basedOn w:val="Normal"/>
    <w:link w:val="FooterChar"/>
    <w:uiPriority w:val="99"/>
    <w:unhideWhenUsed/>
    <w:rsid w:val="002A7F43"/>
    <w:pPr>
      <w:tabs>
        <w:tab w:val="center" w:pos="4680"/>
        <w:tab w:val="right" w:pos="9360"/>
      </w:tabs>
    </w:pPr>
  </w:style>
  <w:style w:type="character" w:customStyle="1" w:styleId="FooterChar">
    <w:name w:val="Footer Char"/>
    <w:basedOn w:val="DefaultParagraphFont"/>
    <w:link w:val="Footer"/>
    <w:uiPriority w:val="99"/>
    <w:rsid w:val="002A7F43"/>
    <w:rPr>
      <w:rFonts w:ascii="Calibri" w:hAnsi="Calibri" w:cs="Calibri"/>
      <w:lang w:eastAsia="en-CA"/>
    </w:rPr>
  </w:style>
  <w:style w:type="character" w:customStyle="1" w:styleId="ListParagraphChar">
    <w:name w:val="List Paragraph Char"/>
    <w:basedOn w:val="DefaultParagraphFont"/>
    <w:link w:val="ListParagraph"/>
    <w:uiPriority w:val="34"/>
    <w:rsid w:val="00514934"/>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1119">
      <w:bodyDiv w:val="1"/>
      <w:marLeft w:val="0"/>
      <w:marRight w:val="0"/>
      <w:marTop w:val="0"/>
      <w:marBottom w:val="0"/>
      <w:divBdr>
        <w:top w:val="none" w:sz="0" w:space="0" w:color="auto"/>
        <w:left w:val="none" w:sz="0" w:space="0" w:color="auto"/>
        <w:bottom w:val="none" w:sz="0" w:space="0" w:color="auto"/>
        <w:right w:val="none" w:sz="0" w:space="0" w:color="auto"/>
      </w:divBdr>
    </w:div>
    <w:div w:id="440608835">
      <w:bodyDiv w:val="1"/>
      <w:marLeft w:val="0"/>
      <w:marRight w:val="0"/>
      <w:marTop w:val="0"/>
      <w:marBottom w:val="0"/>
      <w:divBdr>
        <w:top w:val="none" w:sz="0" w:space="0" w:color="auto"/>
        <w:left w:val="none" w:sz="0" w:space="0" w:color="auto"/>
        <w:bottom w:val="none" w:sz="0" w:space="0" w:color="auto"/>
        <w:right w:val="none" w:sz="0" w:space="0" w:color="auto"/>
      </w:divBdr>
    </w:div>
    <w:div w:id="445273589">
      <w:bodyDiv w:val="1"/>
      <w:marLeft w:val="0"/>
      <w:marRight w:val="0"/>
      <w:marTop w:val="0"/>
      <w:marBottom w:val="0"/>
      <w:divBdr>
        <w:top w:val="none" w:sz="0" w:space="0" w:color="auto"/>
        <w:left w:val="none" w:sz="0" w:space="0" w:color="auto"/>
        <w:bottom w:val="none" w:sz="0" w:space="0" w:color="auto"/>
        <w:right w:val="none" w:sz="0" w:space="0" w:color="auto"/>
      </w:divBdr>
    </w:div>
    <w:div w:id="505050016">
      <w:bodyDiv w:val="1"/>
      <w:marLeft w:val="0"/>
      <w:marRight w:val="0"/>
      <w:marTop w:val="0"/>
      <w:marBottom w:val="0"/>
      <w:divBdr>
        <w:top w:val="none" w:sz="0" w:space="0" w:color="auto"/>
        <w:left w:val="none" w:sz="0" w:space="0" w:color="auto"/>
        <w:bottom w:val="none" w:sz="0" w:space="0" w:color="auto"/>
        <w:right w:val="none" w:sz="0" w:space="0" w:color="auto"/>
      </w:divBdr>
    </w:div>
    <w:div w:id="667907659">
      <w:bodyDiv w:val="1"/>
      <w:marLeft w:val="0"/>
      <w:marRight w:val="0"/>
      <w:marTop w:val="0"/>
      <w:marBottom w:val="0"/>
      <w:divBdr>
        <w:top w:val="none" w:sz="0" w:space="0" w:color="auto"/>
        <w:left w:val="none" w:sz="0" w:space="0" w:color="auto"/>
        <w:bottom w:val="none" w:sz="0" w:space="0" w:color="auto"/>
        <w:right w:val="none" w:sz="0" w:space="0" w:color="auto"/>
      </w:divBdr>
    </w:div>
    <w:div w:id="799107243">
      <w:bodyDiv w:val="1"/>
      <w:marLeft w:val="0"/>
      <w:marRight w:val="0"/>
      <w:marTop w:val="0"/>
      <w:marBottom w:val="0"/>
      <w:divBdr>
        <w:top w:val="none" w:sz="0" w:space="0" w:color="auto"/>
        <w:left w:val="none" w:sz="0" w:space="0" w:color="auto"/>
        <w:bottom w:val="none" w:sz="0" w:space="0" w:color="auto"/>
        <w:right w:val="none" w:sz="0" w:space="0" w:color="auto"/>
      </w:divBdr>
    </w:div>
    <w:div w:id="879587748">
      <w:bodyDiv w:val="1"/>
      <w:marLeft w:val="0"/>
      <w:marRight w:val="0"/>
      <w:marTop w:val="0"/>
      <w:marBottom w:val="0"/>
      <w:divBdr>
        <w:top w:val="none" w:sz="0" w:space="0" w:color="auto"/>
        <w:left w:val="none" w:sz="0" w:space="0" w:color="auto"/>
        <w:bottom w:val="none" w:sz="0" w:space="0" w:color="auto"/>
        <w:right w:val="none" w:sz="0" w:space="0" w:color="auto"/>
      </w:divBdr>
    </w:div>
    <w:div w:id="1472407464">
      <w:bodyDiv w:val="1"/>
      <w:marLeft w:val="0"/>
      <w:marRight w:val="0"/>
      <w:marTop w:val="0"/>
      <w:marBottom w:val="0"/>
      <w:divBdr>
        <w:top w:val="none" w:sz="0" w:space="0" w:color="auto"/>
        <w:left w:val="none" w:sz="0" w:space="0" w:color="auto"/>
        <w:bottom w:val="none" w:sz="0" w:space="0" w:color="auto"/>
        <w:right w:val="none" w:sz="0" w:space="0" w:color="auto"/>
      </w:divBdr>
    </w:div>
    <w:div w:id="1834297589">
      <w:bodyDiv w:val="1"/>
      <w:marLeft w:val="0"/>
      <w:marRight w:val="0"/>
      <w:marTop w:val="0"/>
      <w:marBottom w:val="0"/>
      <w:divBdr>
        <w:top w:val="none" w:sz="0" w:space="0" w:color="auto"/>
        <w:left w:val="none" w:sz="0" w:space="0" w:color="auto"/>
        <w:bottom w:val="none" w:sz="0" w:space="0" w:color="auto"/>
        <w:right w:val="none" w:sz="0" w:space="0" w:color="auto"/>
      </w:divBdr>
    </w:div>
    <w:div w:id="213909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Kavanagh, Kyra</dc:creator>
  <cp:keywords/>
  <dc:description/>
  <cp:lastModifiedBy>Manchevsky, Jacquie</cp:lastModifiedBy>
  <cp:revision>2</cp:revision>
  <dcterms:created xsi:type="dcterms:W3CDTF">2019-02-22T15:28:00Z</dcterms:created>
  <dcterms:modified xsi:type="dcterms:W3CDTF">2019-02-22T15:28:00Z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452b4c31-fc68-4063-a3fb-5b14f4ae7618</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