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766A9" w14:textId="6790BDDF" w:rsidR="005A08BB" w:rsidRPr="00F54417" w:rsidRDefault="005A08BB" w:rsidP="005A08BB">
      <w:pPr>
        <w:ind w:left="-720"/>
        <w:jc w:val="center"/>
        <w:rPr>
          <w:color w:val="004D71"/>
          <w:sz w:val="96"/>
          <w:szCs w:val="144"/>
        </w:rPr>
      </w:pPr>
    </w:p>
    <w:p w14:paraId="554A19AA" w14:textId="77777777" w:rsidR="005A08BB" w:rsidRPr="00F54417" w:rsidRDefault="005A08BB" w:rsidP="005A08BB">
      <w:pPr>
        <w:ind w:left="-720"/>
        <w:jc w:val="center"/>
        <w:rPr>
          <w:color w:val="004D71"/>
          <w:sz w:val="96"/>
          <w:szCs w:val="144"/>
        </w:rPr>
      </w:pPr>
    </w:p>
    <w:p w14:paraId="16C77869" w14:textId="3C6689D4" w:rsidR="00E40FFB" w:rsidRPr="000E2D21" w:rsidRDefault="00CA5F85" w:rsidP="00E40FFB">
      <w:pPr>
        <w:jc w:val="center"/>
        <w:rPr>
          <w:rFonts w:cs="Calibri"/>
          <w:color w:val="000000" w:themeColor="text1"/>
          <w:sz w:val="96"/>
          <w:szCs w:val="48"/>
        </w:rPr>
      </w:pPr>
      <w:r w:rsidRPr="002170DB">
        <w:rPr>
          <w:rFonts w:cs="Calibri"/>
          <w:color w:val="004D71"/>
          <w:sz w:val="52"/>
          <w:szCs w:val="52"/>
        </w:rPr>
        <w:t>Orientation sur la modernisation des applications</w:t>
      </w:r>
      <w:r w:rsidR="009B65F6" w:rsidRPr="000E2D21">
        <w:rPr>
          <w:rFonts w:cs="Calibri"/>
          <w:color w:val="004D71"/>
          <w:sz w:val="96"/>
          <w:szCs w:val="144"/>
        </w:rPr>
        <w:t xml:space="preserve"> </w:t>
      </w:r>
      <w:r w:rsidR="009B65F6" w:rsidRPr="000E2D21">
        <w:rPr>
          <w:rFonts w:cs="Calibri"/>
          <w:color w:val="004D71"/>
          <w:sz w:val="144"/>
          <w:szCs w:val="144"/>
        </w:rPr>
        <w:br/>
      </w:r>
      <w:r w:rsidR="00C46D5A" w:rsidRPr="000E2D21">
        <w:rPr>
          <w:rFonts w:cs="Calibri"/>
          <w:color w:val="000000" w:themeColor="text1"/>
          <w:sz w:val="96"/>
          <w:szCs w:val="48"/>
        </w:rPr>
        <w:t>Modèles d</w:t>
      </w:r>
      <w:r w:rsidR="001F551F" w:rsidRPr="000E2D21">
        <w:rPr>
          <w:rFonts w:cs="Calibri"/>
          <w:color w:val="000000" w:themeColor="text1"/>
          <w:sz w:val="96"/>
          <w:szCs w:val="48"/>
        </w:rPr>
        <w:t>’</w:t>
      </w:r>
      <w:r w:rsidR="00C46D5A" w:rsidRPr="000E2D21">
        <w:rPr>
          <w:rFonts w:cs="Calibri"/>
          <w:color w:val="000000" w:themeColor="text1"/>
          <w:sz w:val="96"/>
          <w:szCs w:val="48"/>
        </w:rPr>
        <w:t>architecture axés sur l</w:t>
      </w:r>
      <w:r w:rsidR="001F551F" w:rsidRPr="000E2D21">
        <w:rPr>
          <w:rFonts w:cs="Calibri"/>
          <w:color w:val="000000" w:themeColor="text1"/>
          <w:sz w:val="96"/>
          <w:szCs w:val="48"/>
        </w:rPr>
        <w:t>’</w:t>
      </w:r>
      <w:r w:rsidR="00C46D5A" w:rsidRPr="000E2D21">
        <w:rPr>
          <w:rFonts w:cs="Calibri"/>
          <w:color w:val="000000" w:themeColor="text1"/>
          <w:sz w:val="96"/>
          <w:szCs w:val="48"/>
        </w:rPr>
        <w:t>IPA pour la PaaS du nuage public</w:t>
      </w:r>
    </w:p>
    <w:p w14:paraId="7D630BF6" w14:textId="77777777" w:rsidR="00814063" w:rsidRPr="000E2D21" w:rsidRDefault="00814063" w:rsidP="005A08BB">
      <w:pPr>
        <w:ind w:left="-720"/>
        <w:jc w:val="center"/>
        <w:rPr>
          <w:rFonts w:cs="Calibri"/>
          <w:color w:val="000000" w:themeColor="text1"/>
          <w:sz w:val="96"/>
          <w:szCs w:val="48"/>
        </w:rPr>
      </w:pPr>
    </w:p>
    <w:p w14:paraId="5BCEE8EE" w14:textId="2C96BBEA" w:rsidR="005A08BB" w:rsidRPr="006F25AE" w:rsidRDefault="00D52209" w:rsidP="005A08BB">
      <w:pPr>
        <w:ind w:left="-720"/>
        <w:jc w:val="center"/>
        <w:rPr>
          <w:rFonts w:cs="Calibri"/>
          <w:color w:val="1F4E79" w:themeColor="accent1" w:themeShade="80"/>
          <w:sz w:val="32"/>
          <w:szCs w:val="20"/>
        </w:rPr>
      </w:pPr>
      <w:r w:rsidRPr="000E2D21">
        <w:rPr>
          <w:rFonts w:cs="Calibri"/>
          <w:color w:val="1F4E79" w:themeColor="accent1" w:themeShade="80"/>
          <w:sz w:val="32"/>
          <w:szCs w:val="20"/>
        </w:rPr>
        <w:t>Version</w:t>
      </w:r>
      <w:r w:rsidR="002170DB" w:rsidRPr="000E2D21">
        <w:rPr>
          <w:rFonts w:cs="Calibri"/>
          <w:color w:val="1F4E79" w:themeColor="accent1" w:themeShade="80"/>
          <w:sz w:val="32"/>
          <w:szCs w:val="20"/>
        </w:rPr>
        <w:t> </w:t>
      </w:r>
      <w:r w:rsidRPr="006F25AE">
        <w:rPr>
          <w:rFonts w:cs="Calibri"/>
          <w:color w:val="1F4E79" w:themeColor="accent1" w:themeShade="80"/>
          <w:sz w:val="32"/>
          <w:szCs w:val="20"/>
        </w:rPr>
        <w:t>1.1</w:t>
      </w:r>
    </w:p>
    <w:p w14:paraId="2BCAE960" w14:textId="2DB3D9D9" w:rsidR="009A2C25" w:rsidRPr="006F25AE" w:rsidRDefault="00CA5F85" w:rsidP="005A08BB">
      <w:pPr>
        <w:ind w:left="-720"/>
        <w:jc w:val="center"/>
        <w:rPr>
          <w:rFonts w:cs="Calibri"/>
          <w:color w:val="1F4E79" w:themeColor="accent1" w:themeShade="80"/>
          <w:sz w:val="18"/>
          <w:szCs w:val="10"/>
        </w:rPr>
      </w:pPr>
      <w:r w:rsidRPr="006F25AE">
        <w:rPr>
          <w:rFonts w:cs="Calibri"/>
          <w:color w:val="1F4E79" w:themeColor="accent1" w:themeShade="80"/>
          <w:sz w:val="18"/>
          <w:szCs w:val="10"/>
        </w:rPr>
        <w:t>Approuvée à la réunion du Conseil d</w:t>
      </w:r>
      <w:r w:rsidR="001F551F" w:rsidRPr="006F25AE">
        <w:rPr>
          <w:rFonts w:cs="Calibri"/>
          <w:color w:val="1F4E79" w:themeColor="accent1" w:themeShade="80"/>
          <w:sz w:val="18"/>
          <w:szCs w:val="10"/>
        </w:rPr>
        <w:t>’</w:t>
      </w:r>
      <w:r w:rsidRPr="006F25AE">
        <w:rPr>
          <w:rFonts w:cs="Calibri"/>
          <w:color w:val="1F4E79" w:themeColor="accent1" w:themeShade="80"/>
          <w:sz w:val="18"/>
          <w:szCs w:val="10"/>
        </w:rPr>
        <w:t>examen de l</w:t>
      </w:r>
      <w:r w:rsidR="001F551F" w:rsidRPr="006F25AE">
        <w:rPr>
          <w:rFonts w:cs="Calibri"/>
          <w:color w:val="1F4E79" w:themeColor="accent1" w:themeShade="80"/>
          <w:sz w:val="18"/>
          <w:szCs w:val="10"/>
        </w:rPr>
        <w:t>’</w:t>
      </w:r>
      <w:r w:rsidRPr="006F25AE">
        <w:rPr>
          <w:rFonts w:cs="Calibri"/>
          <w:color w:val="1F4E79" w:themeColor="accent1" w:themeShade="80"/>
          <w:sz w:val="18"/>
          <w:szCs w:val="10"/>
        </w:rPr>
        <w:t>architecture intégrée du gouvernement du Canada (CEAI GC) du 25</w:t>
      </w:r>
      <w:r w:rsidR="002170DB" w:rsidRPr="006F25AE">
        <w:rPr>
          <w:rFonts w:cs="Calibri"/>
          <w:color w:val="1F4E79" w:themeColor="accent1" w:themeShade="80"/>
          <w:sz w:val="18"/>
          <w:szCs w:val="10"/>
        </w:rPr>
        <w:t> </w:t>
      </w:r>
      <w:r w:rsidRPr="006F25AE">
        <w:rPr>
          <w:rFonts w:cs="Calibri"/>
          <w:color w:val="1F4E79" w:themeColor="accent1" w:themeShade="80"/>
          <w:sz w:val="18"/>
          <w:szCs w:val="10"/>
        </w:rPr>
        <w:t>mars 2021</w:t>
      </w:r>
    </w:p>
    <w:p w14:paraId="2267C578" w14:textId="77777777" w:rsidR="00681532" w:rsidRPr="006F25AE" w:rsidRDefault="00681532" w:rsidP="00681532">
      <w:pPr>
        <w:rPr>
          <w:rFonts w:cs="Calibri"/>
          <w:color w:val="1F4E79" w:themeColor="accent1" w:themeShade="80"/>
          <w:sz w:val="32"/>
          <w:szCs w:val="20"/>
        </w:rPr>
      </w:pPr>
    </w:p>
    <w:p w14:paraId="020F4BEA" w14:textId="77777777" w:rsidR="00681532" w:rsidRPr="006F25AE" w:rsidRDefault="00681532" w:rsidP="00681532">
      <w:pPr>
        <w:rPr>
          <w:rFonts w:cs="Calibri"/>
          <w:color w:val="000000" w:themeColor="text1"/>
          <w:sz w:val="96"/>
          <w:szCs w:val="48"/>
        </w:rPr>
        <w:sectPr w:rsidR="00681532" w:rsidRPr="006F25AE" w:rsidSect="00092F1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1"/>
          <w:cols w:space="720"/>
          <w:docGrid w:linePitch="326"/>
        </w:sectPr>
      </w:pPr>
    </w:p>
    <w:sdt>
      <w:sdtPr>
        <w:rPr>
          <w:rFonts w:ascii="Calibri" w:eastAsia="Times New Roman" w:hAnsi="Calibri" w:cs="Times New Roman"/>
          <w:color w:val="auto"/>
          <w:sz w:val="22"/>
          <w:szCs w:val="24"/>
        </w:rPr>
        <w:id w:val="-27568112"/>
        <w:docPartObj>
          <w:docPartGallery w:val="Table of Contents"/>
          <w:docPartUnique/>
        </w:docPartObj>
      </w:sdtPr>
      <w:sdtEndPr>
        <w:rPr>
          <w:b/>
          <w:bCs/>
        </w:rPr>
      </w:sdtEndPr>
      <w:sdtContent>
        <w:p w14:paraId="1FDFEFC8" w14:textId="1C5574B1" w:rsidR="00610B87" w:rsidRPr="000E2D21" w:rsidRDefault="00CA5F85">
          <w:pPr>
            <w:pStyle w:val="TOCHeading"/>
            <w:rPr>
              <w:b/>
              <w:bCs/>
              <w:color w:val="1F4E79" w:themeColor="accent1" w:themeShade="80"/>
            </w:rPr>
          </w:pPr>
          <w:r w:rsidRPr="002170DB">
            <w:rPr>
              <w:b/>
              <w:bCs/>
              <w:color w:val="1F4E79" w:themeColor="accent1" w:themeShade="80"/>
            </w:rPr>
            <w:t>Table des matières</w:t>
          </w:r>
        </w:p>
        <w:p w14:paraId="2430E996" w14:textId="0963D895" w:rsidR="000B3577" w:rsidRPr="000E2D21" w:rsidRDefault="009B65F6">
          <w:pPr>
            <w:pStyle w:val="TOC1"/>
            <w:tabs>
              <w:tab w:val="right" w:leader="dot" w:pos="9350"/>
            </w:tabs>
            <w:rPr>
              <w:rFonts w:asciiTheme="minorHAnsi" w:eastAsiaTheme="minorEastAsia" w:hAnsiTheme="minorHAnsi" w:cstheme="minorBidi"/>
              <w:noProof/>
              <w:szCs w:val="22"/>
              <w:lang w:eastAsia="fr-CA"/>
            </w:rPr>
          </w:pPr>
          <w:r w:rsidRPr="000E2D21">
            <w:fldChar w:fldCharType="begin"/>
          </w:r>
          <w:r w:rsidRPr="006F25AE">
            <w:instrText xml:space="preserve"> TOC \o "1-3" \h \z \u </w:instrText>
          </w:r>
          <w:r w:rsidRPr="000E2D21">
            <w:fldChar w:fldCharType="separate"/>
          </w:r>
          <w:hyperlink w:anchor="_Toc77159448" w:history="1">
            <w:r w:rsidR="000B3577" w:rsidRPr="006F25AE">
              <w:rPr>
                <w:rStyle w:val="Hyperlink"/>
                <w:noProof/>
              </w:rPr>
              <w:t>Aperçu</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_Toc77159448 \h </w:instrText>
            </w:r>
            <w:r w:rsidR="000B3577" w:rsidRPr="006F25AE">
              <w:rPr>
                <w:noProof/>
                <w:webHidden/>
              </w:rPr>
            </w:r>
            <w:r w:rsidR="000B3577" w:rsidRPr="006F25AE">
              <w:rPr>
                <w:noProof/>
                <w:webHidden/>
              </w:rPr>
              <w:fldChar w:fldCharType="separate"/>
            </w:r>
            <w:r w:rsidR="000B3577" w:rsidRPr="006F25AE">
              <w:rPr>
                <w:noProof/>
                <w:webHidden/>
              </w:rPr>
              <w:t>2</w:t>
            </w:r>
            <w:r w:rsidR="000B3577" w:rsidRPr="006F25AE">
              <w:rPr>
                <w:noProof/>
                <w:webHidden/>
              </w:rPr>
              <w:fldChar w:fldCharType="end"/>
            </w:r>
          </w:hyperlink>
        </w:p>
        <w:p w14:paraId="037DE986" w14:textId="4272B41B"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49" w:history="1">
            <w:r w:rsidR="000B3577" w:rsidRPr="006F25AE">
              <w:rPr>
                <w:rStyle w:val="Hyperlink"/>
                <w:noProof/>
              </w:rPr>
              <w:t>Pourquoi une architecture axée sur les IPA?</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_Toc77159449 \h </w:instrText>
            </w:r>
            <w:r w:rsidR="000B3577" w:rsidRPr="006F25AE">
              <w:rPr>
                <w:noProof/>
                <w:webHidden/>
              </w:rPr>
            </w:r>
            <w:r w:rsidR="000B3577" w:rsidRPr="006F25AE">
              <w:rPr>
                <w:noProof/>
                <w:webHidden/>
              </w:rPr>
              <w:fldChar w:fldCharType="separate"/>
            </w:r>
            <w:r w:rsidR="000B3577" w:rsidRPr="006F25AE">
              <w:rPr>
                <w:noProof/>
                <w:webHidden/>
              </w:rPr>
              <w:t>4</w:t>
            </w:r>
            <w:r w:rsidR="000B3577" w:rsidRPr="006F25AE">
              <w:rPr>
                <w:noProof/>
                <w:webHidden/>
              </w:rPr>
              <w:fldChar w:fldCharType="end"/>
            </w:r>
          </w:hyperlink>
        </w:p>
        <w:p w14:paraId="10747ED7" w14:textId="79FEA6E6"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50" w:history="1">
            <w:r w:rsidR="000B3577" w:rsidRPr="006F25AE">
              <w:rPr>
                <w:rStyle w:val="Hyperlink"/>
                <w:noProof/>
              </w:rPr>
              <w:t>Modèles élaborés à partir de la collaboration</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_Toc77159450 \h </w:instrText>
            </w:r>
            <w:r w:rsidR="000B3577" w:rsidRPr="006F25AE">
              <w:rPr>
                <w:noProof/>
                <w:webHidden/>
              </w:rPr>
            </w:r>
            <w:r w:rsidR="000B3577" w:rsidRPr="006F25AE">
              <w:rPr>
                <w:noProof/>
                <w:webHidden/>
              </w:rPr>
              <w:fldChar w:fldCharType="separate"/>
            </w:r>
            <w:r w:rsidR="000B3577" w:rsidRPr="006F25AE">
              <w:rPr>
                <w:noProof/>
                <w:webHidden/>
              </w:rPr>
              <w:t>5</w:t>
            </w:r>
            <w:r w:rsidR="000B3577" w:rsidRPr="006F25AE">
              <w:rPr>
                <w:noProof/>
                <w:webHidden/>
              </w:rPr>
              <w:fldChar w:fldCharType="end"/>
            </w:r>
          </w:hyperlink>
        </w:p>
        <w:p w14:paraId="6032CAAE" w14:textId="40D4FAA8"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51" w:history="1">
            <w:r w:rsidR="000B3577" w:rsidRPr="006F25AE">
              <w:rPr>
                <w:rStyle w:val="Hyperlink"/>
                <w:noProof/>
              </w:rPr>
              <w:t>Références aux politiques</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_Toc77159451 \h </w:instrText>
            </w:r>
            <w:r w:rsidR="000B3577" w:rsidRPr="006F25AE">
              <w:rPr>
                <w:noProof/>
                <w:webHidden/>
              </w:rPr>
            </w:r>
            <w:r w:rsidR="000B3577" w:rsidRPr="006F25AE">
              <w:rPr>
                <w:noProof/>
                <w:webHidden/>
              </w:rPr>
              <w:fldChar w:fldCharType="separate"/>
            </w:r>
            <w:r w:rsidR="000B3577" w:rsidRPr="006F25AE">
              <w:rPr>
                <w:noProof/>
                <w:webHidden/>
              </w:rPr>
              <w:t>6</w:t>
            </w:r>
            <w:r w:rsidR="000B3577" w:rsidRPr="006F25AE">
              <w:rPr>
                <w:noProof/>
                <w:webHidden/>
              </w:rPr>
              <w:fldChar w:fldCharType="end"/>
            </w:r>
          </w:hyperlink>
        </w:p>
        <w:p w14:paraId="1796677B" w14:textId="2CEAAFBD"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52" w:history="1">
            <w:r w:rsidR="000B3577" w:rsidRPr="006F25AE">
              <w:rPr>
                <w:rStyle w:val="Hyperlink"/>
                <w:noProof/>
              </w:rPr>
              <w:t>Références de l</w:t>
            </w:r>
            <w:r w:rsidR="001F551F" w:rsidRPr="006F25AE">
              <w:rPr>
                <w:rStyle w:val="Hyperlink"/>
                <w:noProof/>
              </w:rPr>
              <w:t>’</w:t>
            </w:r>
            <w:r w:rsidR="000B3577" w:rsidRPr="006F25AE">
              <w:rPr>
                <w:rStyle w:val="Hyperlink"/>
                <w:noProof/>
              </w:rPr>
              <w:t>architecture de sécurité</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_Toc77159452 \h </w:instrText>
            </w:r>
            <w:r w:rsidR="000B3577" w:rsidRPr="006F25AE">
              <w:rPr>
                <w:noProof/>
                <w:webHidden/>
              </w:rPr>
            </w:r>
            <w:r w:rsidR="000B3577" w:rsidRPr="006F25AE">
              <w:rPr>
                <w:noProof/>
                <w:webHidden/>
              </w:rPr>
              <w:fldChar w:fldCharType="separate"/>
            </w:r>
            <w:r w:rsidR="000B3577" w:rsidRPr="006F25AE">
              <w:rPr>
                <w:noProof/>
                <w:webHidden/>
              </w:rPr>
              <w:t>7</w:t>
            </w:r>
            <w:r w:rsidR="000B3577" w:rsidRPr="006F25AE">
              <w:rPr>
                <w:noProof/>
                <w:webHidden/>
              </w:rPr>
              <w:fldChar w:fldCharType="end"/>
            </w:r>
          </w:hyperlink>
        </w:p>
        <w:p w14:paraId="000C8D3D" w14:textId="2C3BF862"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53" w:history="1">
            <w:r w:rsidR="000B3577" w:rsidRPr="006F25AE">
              <w:rPr>
                <w:rStyle w:val="Hyperlink"/>
                <w:noProof/>
              </w:rPr>
              <w:t>Points d</w:t>
            </w:r>
            <w:r w:rsidR="001F551F" w:rsidRPr="006F25AE">
              <w:rPr>
                <w:rStyle w:val="Hyperlink"/>
                <w:noProof/>
              </w:rPr>
              <w:t>’</w:t>
            </w:r>
            <w:r w:rsidR="000B3577" w:rsidRPr="006F25AE">
              <w:rPr>
                <w:rStyle w:val="Hyperlink"/>
                <w:noProof/>
              </w:rPr>
              <w:t>extrêmité IPA fournis avec la PaaS</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_Toc77159453 \h </w:instrText>
            </w:r>
            <w:r w:rsidR="000B3577" w:rsidRPr="006F25AE">
              <w:rPr>
                <w:noProof/>
                <w:webHidden/>
              </w:rPr>
            </w:r>
            <w:r w:rsidR="000B3577" w:rsidRPr="006F25AE">
              <w:rPr>
                <w:noProof/>
                <w:webHidden/>
              </w:rPr>
              <w:fldChar w:fldCharType="separate"/>
            </w:r>
            <w:r w:rsidR="000B3577" w:rsidRPr="006F25AE">
              <w:rPr>
                <w:noProof/>
                <w:webHidden/>
              </w:rPr>
              <w:t>8</w:t>
            </w:r>
            <w:r w:rsidR="000B3577" w:rsidRPr="006F25AE">
              <w:rPr>
                <w:noProof/>
                <w:webHidden/>
              </w:rPr>
              <w:fldChar w:fldCharType="end"/>
            </w:r>
          </w:hyperlink>
        </w:p>
        <w:p w14:paraId="7C930F6F" w14:textId="115D97DA"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54" w:history="1">
            <w:r w:rsidR="000B3577" w:rsidRPr="006F25AE">
              <w:rPr>
                <w:rStyle w:val="Hyperlink"/>
                <w:noProof/>
              </w:rPr>
              <w:t>Modèles et anti-modèles d</w:t>
            </w:r>
            <w:r w:rsidR="001F551F" w:rsidRPr="006F25AE">
              <w:rPr>
                <w:rStyle w:val="Hyperlink"/>
                <w:noProof/>
              </w:rPr>
              <w:t>’</w:t>
            </w:r>
            <w:r w:rsidR="000B3577" w:rsidRPr="006F25AE">
              <w:rPr>
                <w:rStyle w:val="Hyperlink"/>
                <w:noProof/>
              </w:rPr>
              <w:t>architecture</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_Toc77159454 \h </w:instrText>
            </w:r>
            <w:r w:rsidR="000B3577" w:rsidRPr="006F25AE">
              <w:rPr>
                <w:noProof/>
                <w:webHidden/>
              </w:rPr>
            </w:r>
            <w:r w:rsidR="000B3577" w:rsidRPr="006F25AE">
              <w:rPr>
                <w:noProof/>
                <w:webHidden/>
              </w:rPr>
              <w:fldChar w:fldCharType="separate"/>
            </w:r>
            <w:r w:rsidR="000B3577" w:rsidRPr="006F25AE">
              <w:rPr>
                <w:noProof/>
                <w:webHidden/>
              </w:rPr>
              <w:t>9</w:t>
            </w:r>
            <w:r w:rsidR="000B3577" w:rsidRPr="006F25AE">
              <w:rPr>
                <w:noProof/>
                <w:webHidden/>
              </w:rPr>
              <w:fldChar w:fldCharType="end"/>
            </w:r>
          </w:hyperlink>
        </w:p>
        <w:p w14:paraId="30C410F5" w14:textId="76547059"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55" w:history="1">
            <w:r w:rsidR="000B3577" w:rsidRPr="006F25AE">
              <w:rPr>
                <w:rStyle w:val="Hyperlink"/>
                <w:noProof/>
              </w:rPr>
              <w:t>Anti-modèle 1a : Transferts par lots</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_Toc77159455 \h </w:instrText>
            </w:r>
            <w:r w:rsidR="000B3577" w:rsidRPr="006F25AE">
              <w:rPr>
                <w:noProof/>
                <w:webHidden/>
              </w:rPr>
            </w:r>
            <w:r w:rsidR="000B3577" w:rsidRPr="006F25AE">
              <w:rPr>
                <w:noProof/>
                <w:webHidden/>
              </w:rPr>
              <w:fldChar w:fldCharType="separate"/>
            </w:r>
            <w:r w:rsidR="000B3577" w:rsidRPr="006F25AE">
              <w:rPr>
                <w:noProof/>
                <w:webHidden/>
              </w:rPr>
              <w:t>9</w:t>
            </w:r>
            <w:r w:rsidR="000B3577" w:rsidRPr="006F25AE">
              <w:rPr>
                <w:noProof/>
                <w:webHidden/>
              </w:rPr>
              <w:fldChar w:fldCharType="end"/>
            </w:r>
          </w:hyperlink>
        </w:p>
        <w:p w14:paraId="6CCB6363" w14:textId="18C061DA"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56" w:history="1">
            <w:r w:rsidR="000B3577" w:rsidRPr="006F25AE">
              <w:rPr>
                <w:rStyle w:val="Hyperlink"/>
                <w:noProof/>
              </w:rPr>
              <w:t>Modèle 1b : Interfaces du programmation d</w:t>
            </w:r>
            <w:r w:rsidR="001F551F" w:rsidRPr="006F25AE">
              <w:rPr>
                <w:rStyle w:val="Hyperlink"/>
                <w:noProof/>
              </w:rPr>
              <w:t>’</w:t>
            </w:r>
            <w:r w:rsidR="000B3577" w:rsidRPr="006F25AE">
              <w:rPr>
                <w:rStyle w:val="Hyperlink"/>
                <w:noProof/>
              </w:rPr>
              <w:t>applications (IPA)</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_Toc77159456 \h </w:instrText>
            </w:r>
            <w:r w:rsidR="000B3577" w:rsidRPr="006F25AE">
              <w:rPr>
                <w:noProof/>
                <w:webHidden/>
              </w:rPr>
            </w:r>
            <w:r w:rsidR="000B3577" w:rsidRPr="006F25AE">
              <w:rPr>
                <w:noProof/>
                <w:webHidden/>
              </w:rPr>
              <w:fldChar w:fldCharType="separate"/>
            </w:r>
            <w:r w:rsidR="000B3577" w:rsidRPr="006F25AE">
              <w:rPr>
                <w:noProof/>
                <w:webHidden/>
              </w:rPr>
              <w:t>10</w:t>
            </w:r>
            <w:r w:rsidR="000B3577" w:rsidRPr="006F25AE">
              <w:rPr>
                <w:noProof/>
                <w:webHidden/>
              </w:rPr>
              <w:fldChar w:fldCharType="end"/>
            </w:r>
          </w:hyperlink>
        </w:p>
        <w:p w14:paraId="51B0CBBE" w14:textId="743F6BE3"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57" w:history="1">
            <w:r w:rsidR="000B3577" w:rsidRPr="006F25AE">
              <w:rPr>
                <w:rStyle w:val="Hyperlink"/>
                <w:noProof/>
              </w:rPr>
              <w:t>Anti-modèle 2a : Connexion directe client-service</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_Toc77159457 \h </w:instrText>
            </w:r>
            <w:r w:rsidR="000B3577" w:rsidRPr="006F25AE">
              <w:rPr>
                <w:noProof/>
                <w:webHidden/>
              </w:rPr>
            </w:r>
            <w:r w:rsidR="000B3577" w:rsidRPr="006F25AE">
              <w:rPr>
                <w:noProof/>
                <w:webHidden/>
              </w:rPr>
              <w:fldChar w:fldCharType="separate"/>
            </w:r>
            <w:r w:rsidR="000B3577" w:rsidRPr="006F25AE">
              <w:rPr>
                <w:noProof/>
                <w:webHidden/>
              </w:rPr>
              <w:t>11</w:t>
            </w:r>
            <w:r w:rsidR="000B3577" w:rsidRPr="006F25AE">
              <w:rPr>
                <w:noProof/>
                <w:webHidden/>
              </w:rPr>
              <w:fldChar w:fldCharType="end"/>
            </w:r>
          </w:hyperlink>
        </w:p>
        <w:p w14:paraId="06851EC1" w14:textId="45BD40BA"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58" w:history="1">
            <w:r w:rsidR="000B3577" w:rsidRPr="006F25AE">
              <w:rPr>
                <w:rStyle w:val="Hyperlink"/>
                <w:noProof/>
              </w:rPr>
              <w:t>Modèle 2b : Passerelle IPA (proxy inverse)</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_Toc77159458 \h </w:instrText>
            </w:r>
            <w:r w:rsidR="000B3577" w:rsidRPr="006F25AE">
              <w:rPr>
                <w:noProof/>
                <w:webHidden/>
              </w:rPr>
            </w:r>
            <w:r w:rsidR="000B3577" w:rsidRPr="006F25AE">
              <w:rPr>
                <w:noProof/>
                <w:webHidden/>
              </w:rPr>
              <w:fldChar w:fldCharType="separate"/>
            </w:r>
            <w:r w:rsidR="000B3577" w:rsidRPr="006F25AE">
              <w:rPr>
                <w:noProof/>
                <w:webHidden/>
              </w:rPr>
              <w:t>12</w:t>
            </w:r>
            <w:r w:rsidR="000B3577" w:rsidRPr="006F25AE">
              <w:rPr>
                <w:noProof/>
                <w:webHidden/>
              </w:rPr>
              <w:fldChar w:fldCharType="end"/>
            </w:r>
          </w:hyperlink>
        </w:p>
        <w:p w14:paraId="3BF986B7" w14:textId="5FD1CFEE"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59" w:history="1">
            <w:r w:rsidR="000B3577" w:rsidRPr="006F25AE">
              <w:rPr>
                <w:rStyle w:val="Hyperlink"/>
                <w:noProof/>
              </w:rPr>
              <w:t>Anti-modèle 3a : Passerelle IPA et pare-feu réseau</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_Toc77159459 \h </w:instrText>
            </w:r>
            <w:r w:rsidR="000B3577" w:rsidRPr="006F25AE">
              <w:rPr>
                <w:noProof/>
                <w:webHidden/>
              </w:rPr>
            </w:r>
            <w:r w:rsidR="000B3577" w:rsidRPr="006F25AE">
              <w:rPr>
                <w:noProof/>
                <w:webHidden/>
              </w:rPr>
              <w:fldChar w:fldCharType="separate"/>
            </w:r>
            <w:r w:rsidR="000B3577" w:rsidRPr="006F25AE">
              <w:rPr>
                <w:noProof/>
                <w:webHidden/>
              </w:rPr>
              <w:t>15</w:t>
            </w:r>
            <w:r w:rsidR="000B3577" w:rsidRPr="006F25AE">
              <w:rPr>
                <w:noProof/>
                <w:webHidden/>
              </w:rPr>
              <w:fldChar w:fldCharType="end"/>
            </w:r>
          </w:hyperlink>
        </w:p>
        <w:p w14:paraId="6EB1E196" w14:textId="0D419B85"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0" w:history="1">
            <w:r w:rsidR="000B3577" w:rsidRPr="006F25AE">
              <w:rPr>
                <w:rStyle w:val="Hyperlink"/>
                <w:noProof/>
              </w:rPr>
              <w:t>Modèle 3b : Passerelle IPA avec pare-feu d</w:t>
            </w:r>
            <w:r w:rsidR="001F551F" w:rsidRPr="006F25AE">
              <w:rPr>
                <w:rStyle w:val="Hyperlink"/>
                <w:noProof/>
              </w:rPr>
              <w:t>’</w:t>
            </w:r>
            <w:r w:rsidR="000B3577" w:rsidRPr="006F25AE">
              <w:rPr>
                <w:rStyle w:val="Hyperlink"/>
                <w:noProof/>
              </w:rPr>
              <w:t>application Web</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_Toc77159460 \h </w:instrText>
            </w:r>
            <w:r w:rsidR="000B3577" w:rsidRPr="006F25AE">
              <w:rPr>
                <w:noProof/>
                <w:webHidden/>
              </w:rPr>
            </w:r>
            <w:r w:rsidR="000B3577" w:rsidRPr="006F25AE">
              <w:rPr>
                <w:noProof/>
                <w:webHidden/>
              </w:rPr>
              <w:fldChar w:fldCharType="separate"/>
            </w:r>
            <w:r w:rsidR="000B3577" w:rsidRPr="006F25AE">
              <w:rPr>
                <w:noProof/>
                <w:webHidden/>
              </w:rPr>
              <w:t>16</w:t>
            </w:r>
            <w:r w:rsidR="000B3577" w:rsidRPr="006F25AE">
              <w:rPr>
                <w:noProof/>
                <w:webHidden/>
              </w:rPr>
              <w:fldChar w:fldCharType="end"/>
            </w:r>
          </w:hyperlink>
        </w:p>
        <w:p w14:paraId="39281FCB" w14:textId="4CB4D835"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1" w:history="1">
            <w:r w:rsidR="000B3577" w:rsidRPr="006F25AE">
              <w:rPr>
                <w:rStyle w:val="Hyperlink"/>
                <w:noProof/>
              </w:rPr>
              <w:t>Anti-modèle 4a : Modèle d</w:t>
            </w:r>
            <w:r w:rsidR="001F551F" w:rsidRPr="006F25AE">
              <w:rPr>
                <w:rStyle w:val="Hyperlink"/>
                <w:noProof/>
              </w:rPr>
              <w:t>’</w:t>
            </w:r>
            <w:r w:rsidR="000B3577" w:rsidRPr="006F25AE">
              <w:rPr>
                <w:rStyle w:val="Hyperlink"/>
                <w:noProof/>
              </w:rPr>
              <w:t>exploitation par étape pour les services de plateforme IPA</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_Toc77159461 \h </w:instrText>
            </w:r>
            <w:r w:rsidR="000B3577" w:rsidRPr="006F25AE">
              <w:rPr>
                <w:noProof/>
                <w:webHidden/>
              </w:rPr>
            </w:r>
            <w:r w:rsidR="000B3577" w:rsidRPr="006F25AE">
              <w:rPr>
                <w:noProof/>
                <w:webHidden/>
              </w:rPr>
              <w:fldChar w:fldCharType="separate"/>
            </w:r>
            <w:r w:rsidR="000B3577" w:rsidRPr="006F25AE">
              <w:rPr>
                <w:noProof/>
                <w:webHidden/>
              </w:rPr>
              <w:t>18</w:t>
            </w:r>
            <w:r w:rsidR="000B3577" w:rsidRPr="006F25AE">
              <w:rPr>
                <w:noProof/>
                <w:webHidden/>
              </w:rPr>
              <w:fldChar w:fldCharType="end"/>
            </w:r>
          </w:hyperlink>
        </w:p>
        <w:p w14:paraId="53588297" w14:textId="6F57E8D1"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2" w:history="1">
            <w:r w:rsidR="000B3577" w:rsidRPr="006F25AE">
              <w:rPr>
                <w:rStyle w:val="Hyperlink"/>
                <w:noProof/>
              </w:rPr>
              <w:t>Modèle 4a : Modèle d</w:t>
            </w:r>
            <w:r w:rsidR="001F551F" w:rsidRPr="006F25AE">
              <w:rPr>
                <w:rStyle w:val="Hyperlink"/>
                <w:noProof/>
              </w:rPr>
              <w:t>’</w:t>
            </w:r>
            <w:r w:rsidR="000B3577" w:rsidRPr="006F25AE">
              <w:rPr>
                <w:rStyle w:val="Hyperlink"/>
                <w:noProof/>
              </w:rPr>
              <w:t>exploitation pour les services de plateforme IPA</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_Toc77159462 \h </w:instrText>
            </w:r>
            <w:r w:rsidR="000B3577" w:rsidRPr="006F25AE">
              <w:rPr>
                <w:noProof/>
                <w:webHidden/>
              </w:rPr>
            </w:r>
            <w:r w:rsidR="000B3577" w:rsidRPr="006F25AE">
              <w:rPr>
                <w:noProof/>
                <w:webHidden/>
              </w:rPr>
              <w:fldChar w:fldCharType="separate"/>
            </w:r>
            <w:r w:rsidR="000B3577" w:rsidRPr="006F25AE">
              <w:rPr>
                <w:noProof/>
                <w:webHidden/>
              </w:rPr>
              <w:t>19</w:t>
            </w:r>
            <w:r w:rsidR="000B3577" w:rsidRPr="006F25AE">
              <w:rPr>
                <w:noProof/>
                <w:webHidden/>
              </w:rPr>
              <w:fldChar w:fldCharType="end"/>
            </w:r>
          </w:hyperlink>
        </w:p>
        <w:p w14:paraId="0596BE84" w14:textId="0DA7E306"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63" w:history="1">
            <w:r w:rsidR="000B3577" w:rsidRPr="006F25AE">
              <w:rPr>
                <w:rStyle w:val="Hyperlink"/>
                <w:noProof/>
              </w:rPr>
              <w:t>Harmonisation avec les scénarios de connectivité du GC</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_Toc77159463 \h </w:instrText>
            </w:r>
            <w:r w:rsidR="000B3577" w:rsidRPr="006F25AE">
              <w:rPr>
                <w:noProof/>
                <w:webHidden/>
              </w:rPr>
            </w:r>
            <w:r w:rsidR="000B3577" w:rsidRPr="006F25AE">
              <w:rPr>
                <w:noProof/>
                <w:webHidden/>
              </w:rPr>
              <w:fldChar w:fldCharType="separate"/>
            </w:r>
            <w:r w:rsidR="000B3577" w:rsidRPr="006F25AE">
              <w:rPr>
                <w:noProof/>
                <w:webHidden/>
              </w:rPr>
              <w:t>21</w:t>
            </w:r>
            <w:r w:rsidR="000B3577" w:rsidRPr="006F25AE">
              <w:rPr>
                <w:noProof/>
                <w:webHidden/>
              </w:rPr>
              <w:fldChar w:fldCharType="end"/>
            </w:r>
          </w:hyperlink>
        </w:p>
        <w:p w14:paraId="03177166" w14:textId="7637D1AB"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64" w:history="1">
            <w:r w:rsidR="000B3577" w:rsidRPr="006F25AE">
              <w:rPr>
                <w:rStyle w:val="Hyperlink"/>
                <w:noProof/>
              </w:rPr>
              <w:t>Cas d</w:t>
            </w:r>
            <w:r w:rsidR="001F551F" w:rsidRPr="006F25AE">
              <w:rPr>
                <w:rStyle w:val="Hyperlink"/>
                <w:noProof/>
              </w:rPr>
              <w:t>’</w:t>
            </w:r>
            <w:r w:rsidR="000B3577" w:rsidRPr="006F25AE">
              <w:rPr>
                <w:rStyle w:val="Hyperlink"/>
                <w:noProof/>
              </w:rPr>
              <w:t>utilisation</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_Toc77159464 \h </w:instrText>
            </w:r>
            <w:r w:rsidR="000B3577" w:rsidRPr="006F25AE">
              <w:rPr>
                <w:noProof/>
                <w:webHidden/>
              </w:rPr>
            </w:r>
            <w:r w:rsidR="000B3577" w:rsidRPr="006F25AE">
              <w:rPr>
                <w:noProof/>
                <w:webHidden/>
              </w:rPr>
              <w:fldChar w:fldCharType="separate"/>
            </w:r>
            <w:r w:rsidR="000B3577" w:rsidRPr="006F25AE">
              <w:rPr>
                <w:noProof/>
                <w:webHidden/>
              </w:rPr>
              <w:t>22</w:t>
            </w:r>
            <w:r w:rsidR="000B3577" w:rsidRPr="006F25AE">
              <w:rPr>
                <w:noProof/>
                <w:webHidden/>
              </w:rPr>
              <w:fldChar w:fldCharType="end"/>
            </w:r>
          </w:hyperlink>
        </w:p>
        <w:p w14:paraId="3566064F" w14:textId="2666C47D"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5" w:history="1">
            <w:r w:rsidR="000B3577" w:rsidRPr="006F25AE">
              <w:rPr>
                <w:rStyle w:val="Hyperlink"/>
                <w:noProof/>
              </w:rPr>
              <w:t>Cas d</w:t>
            </w:r>
            <w:r w:rsidR="001F551F" w:rsidRPr="006F25AE">
              <w:rPr>
                <w:rStyle w:val="Hyperlink"/>
                <w:noProof/>
              </w:rPr>
              <w:t>’</w:t>
            </w:r>
            <w:r w:rsidR="000B3577" w:rsidRPr="006F25AE">
              <w:rPr>
                <w:rStyle w:val="Hyperlink"/>
                <w:noProof/>
              </w:rPr>
              <w:t>utilisation 1 : SaaS vers application hébergée dans le nuage du GC</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_Toc77159465 \h </w:instrText>
            </w:r>
            <w:r w:rsidR="000B3577" w:rsidRPr="006F25AE">
              <w:rPr>
                <w:noProof/>
                <w:webHidden/>
              </w:rPr>
            </w:r>
            <w:r w:rsidR="000B3577" w:rsidRPr="006F25AE">
              <w:rPr>
                <w:noProof/>
                <w:webHidden/>
              </w:rPr>
              <w:fldChar w:fldCharType="separate"/>
            </w:r>
            <w:r w:rsidR="000B3577" w:rsidRPr="006F25AE">
              <w:rPr>
                <w:noProof/>
                <w:webHidden/>
              </w:rPr>
              <w:t>22</w:t>
            </w:r>
            <w:r w:rsidR="000B3577" w:rsidRPr="006F25AE">
              <w:rPr>
                <w:noProof/>
                <w:webHidden/>
              </w:rPr>
              <w:fldChar w:fldCharType="end"/>
            </w:r>
          </w:hyperlink>
        </w:p>
        <w:p w14:paraId="260CDDA5" w14:textId="661D18EA"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6" w:history="1">
            <w:r w:rsidR="000B3577" w:rsidRPr="006F25AE">
              <w:rPr>
                <w:rStyle w:val="Hyperlink"/>
                <w:noProof/>
              </w:rPr>
              <w:t>Cas d</w:t>
            </w:r>
            <w:r w:rsidR="001F551F" w:rsidRPr="006F25AE">
              <w:rPr>
                <w:rStyle w:val="Hyperlink"/>
                <w:noProof/>
              </w:rPr>
              <w:t>’</w:t>
            </w:r>
            <w:r w:rsidR="000B3577" w:rsidRPr="006F25AE">
              <w:rPr>
                <w:rStyle w:val="Hyperlink"/>
                <w:noProof/>
              </w:rPr>
              <w:t>utilisation 2 : Application hébergée du centre de données du GC vers application hébergée dans le nuage du GC</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_Toc77159466 \h </w:instrText>
            </w:r>
            <w:r w:rsidR="000B3577" w:rsidRPr="006F25AE">
              <w:rPr>
                <w:noProof/>
                <w:webHidden/>
              </w:rPr>
            </w:r>
            <w:r w:rsidR="000B3577" w:rsidRPr="006F25AE">
              <w:rPr>
                <w:noProof/>
                <w:webHidden/>
              </w:rPr>
              <w:fldChar w:fldCharType="separate"/>
            </w:r>
            <w:r w:rsidR="000B3577" w:rsidRPr="006F25AE">
              <w:rPr>
                <w:noProof/>
                <w:webHidden/>
              </w:rPr>
              <w:t>23</w:t>
            </w:r>
            <w:r w:rsidR="000B3577" w:rsidRPr="006F25AE">
              <w:rPr>
                <w:noProof/>
                <w:webHidden/>
              </w:rPr>
              <w:fldChar w:fldCharType="end"/>
            </w:r>
          </w:hyperlink>
        </w:p>
        <w:p w14:paraId="569FBE5C" w14:textId="1EBD0025"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67" w:history="1">
            <w:r w:rsidR="000B3577" w:rsidRPr="006F25AE">
              <w:rPr>
                <w:rStyle w:val="Hyperlink"/>
                <w:noProof/>
              </w:rPr>
              <w:t>Architectures de solutions du fournisseur de nuage</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_Toc77159467 \h </w:instrText>
            </w:r>
            <w:r w:rsidR="000B3577" w:rsidRPr="006F25AE">
              <w:rPr>
                <w:noProof/>
                <w:webHidden/>
              </w:rPr>
            </w:r>
            <w:r w:rsidR="000B3577" w:rsidRPr="006F25AE">
              <w:rPr>
                <w:noProof/>
                <w:webHidden/>
              </w:rPr>
              <w:fldChar w:fldCharType="separate"/>
            </w:r>
            <w:r w:rsidR="000B3577" w:rsidRPr="006F25AE">
              <w:rPr>
                <w:noProof/>
                <w:webHidden/>
              </w:rPr>
              <w:t>24</w:t>
            </w:r>
            <w:r w:rsidR="000B3577" w:rsidRPr="006F25AE">
              <w:rPr>
                <w:noProof/>
                <w:webHidden/>
              </w:rPr>
              <w:fldChar w:fldCharType="end"/>
            </w:r>
          </w:hyperlink>
        </w:p>
        <w:p w14:paraId="4956AAD6" w14:textId="7CA07B99"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8" w:history="1">
            <w:r w:rsidR="000B3577" w:rsidRPr="006F25AE">
              <w:rPr>
                <w:rStyle w:val="Hyperlink"/>
                <w:noProof/>
              </w:rPr>
              <w:t>Amazon Web Services</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_Toc77159468 \h </w:instrText>
            </w:r>
            <w:r w:rsidR="000B3577" w:rsidRPr="006F25AE">
              <w:rPr>
                <w:noProof/>
                <w:webHidden/>
              </w:rPr>
            </w:r>
            <w:r w:rsidR="000B3577" w:rsidRPr="006F25AE">
              <w:rPr>
                <w:noProof/>
                <w:webHidden/>
              </w:rPr>
              <w:fldChar w:fldCharType="separate"/>
            </w:r>
            <w:r w:rsidR="000B3577" w:rsidRPr="006F25AE">
              <w:rPr>
                <w:noProof/>
                <w:webHidden/>
              </w:rPr>
              <w:t>24</w:t>
            </w:r>
            <w:r w:rsidR="000B3577" w:rsidRPr="006F25AE">
              <w:rPr>
                <w:noProof/>
                <w:webHidden/>
              </w:rPr>
              <w:fldChar w:fldCharType="end"/>
            </w:r>
          </w:hyperlink>
        </w:p>
        <w:p w14:paraId="1CE49E4C" w14:textId="4F5BF6A8"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69" w:history="1">
            <w:r w:rsidR="000B3577" w:rsidRPr="006F25AE">
              <w:rPr>
                <w:rStyle w:val="Hyperlink"/>
                <w:noProof/>
              </w:rPr>
              <w:t>Microsoft</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_Toc77159469 \h </w:instrText>
            </w:r>
            <w:r w:rsidR="000B3577" w:rsidRPr="006F25AE">
              <w:rPr>
                <w:noProof/>
                <w:webHidden/>
              </w:rPr>
            </w:r>
            <w:r w:rsidR="000B3577" w:rsidRPr="006F25AE">
              <w:rPr>
                <w:noProof/>
                <w:webHidden/>
              </w:rPr>
              <w:fldChar w:fldCharType="separate"/>
            </w:r>
            <w:r w:rsidR="000B3577" w:rsidRPr="006F25AE">
              <w:rPr>
                <w:noProof/>
                <w:webHidden/>
              </w:rPr>
              <w:t>26</w:t>
            </w:r>
            <w:r w:rsidR="000B3577" w:rsidRPr="006F25AE">
              <w:rPr>
                <w:noProof/>
                <w:webHidden/>
              </w:rPr>
              <w:fldChar w:fldCharType="end"/>
            </w:r>
          </w:hyperlink>
        </w:p>
        <w:p w14:paraId="09999930" w14:textId="1B242171" w:rsidR="000B3577" w:rsidRPr="000E2D21" w:rsidRDefault="00805A10">
          <w:pPr>
            <w:pStyle w:val="TOC2"/>
            <w:tabs>
              <w:tab w:val="right" w:leader="dot" w:pos="9350"/>
            </w:tabs>
            <w:rPr>
              <w:rFonts w:asciiTheme="minorHAnsi" w:eastAsiaTheme="minorEastAsia" w:hAnsiTheme="minorHAnsi" w:cstheme="minorBidi"/>
              <w:noProof/>
              <w:szCs w:val="22"/>
              <w:lang w:eastAsia="fr-CA"/>
            </w:rPr>
          </w:pPr>
          <w:hyperlink w:anchor="_Toc77159470" w:history="1">
            <w:r w:rsidR="000B3577" w:rsidRPr="006F25AE">
              <w:rPr>
                <w:rStyle w:val="Hyperlink"/>
                <w:noProof/>
              </w:rPr>
              <w:t>Oracle</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_Toc77159470 \h </w:instrText>
            </w:r>
            <w:r w:rsidR="000B3577" w:rsidRPr="006F25AE">
              <w:rPr>
                <w:noProof/>
                <w:webHidden/>
              </w:rPr>
            </w:r>
            <w:r w:rsidR="000B3577" w:rsidRPr="006F25AE">
              <w:rPr>
                <w:noProof/>
                <w:webHidden/>
              </w:rPr>
              <w:fldChar w:fldCharType="separate"/>
            </w:r>
            <w:r w:rsidR="000B3577" w:rsidRPr="006F25AE">
              <w:rPr>
                <w:noProof/>
                <w:webHidden/>
              </w:rPr>
              <w:t>27</w:t>
            </w:r>
            <w:r w:rsidR="000B3577" w:rsidRPr="006F25AE">
              <w:rPr>
                <w:noProof/>
                <w:webHidden/>
              </w:rPr>
              <w:fldChar w:fldCharType="end"/>
            </w:r>
          </w:hyperlink>
        </w:p>
        <w:p w14:paraId="6496762A" w14:textId="73ACE9ED" w:rsidR="000B3577" w:rsidRPr="000E2D21" w:rsidRDefault="00805A10">
          <w:pPr>
            <w:pStyle w:val="TOC1"/>
            <w:tabs>
              <w:tab w:val="right" w:leader="dot" w:pos="9350"/>
            </w:tabs>
            <w:rPr>
              <w:rFonts w:asciiTheme="minorHAnsi" w:eastAsiaTheme="minorEastAsia" w:hAnsiTheme="minorHAnsi" w:cstheme="minorBidi"/>
              <w:noProof/>
              <w:szCs w:val="22"/>
              <w:lang w:eastAsia="fr-CA"/>
            </w:rPr>
          </w:pPr>
          <w:hyperlink w:anchor="_Toc77159471" w:history="1">
            <w:r w:rsidR="000B3577" w:rsidRPr="006F25AE">
              <w:rPr>
                <w:rStyle w:val="Hyperlink"/>
                <w:noProof/>
              </w:rPr>
              <w:t>Références</w:t>
            </w:r>
            <w:r w:rsidR="000B3577" w:rsidRPr="006F25AE">
              <w:rPr>
                <w:noProof/>
                <w:webHidden/>
              </w:rPr>
              <w:tab/>
            </w:r>
            <w:r w:rsidR="000B3577" w:rsidRPr="006F25AE">
              <w:rPr>
                <w:noProof/>
                <w:webHidden/>
              </w:rPr>
              <w:fldChar w:fldCharType="begin"/>
            </w:r>
            <w:r w:rsidR="000B3577" w:rsidRPr="006F25AE">
              <w:rPr>
                <w:noProof/>
                <w:webHidden/>
              </w:rPr>
              <w:instrText xml:space="preserve"> PAGEREF _Toc77159471 \h </w:instrText>
            </w:r>
            <w:r w:rsidR="000B3577" w:rsidRPr="006F25AE">
              <w:rPr>
                <w:noProof/>
                <w:webHidden/>
              </w:rPr>
            </w:r>
            <w:r w:rsidR="000B3577" w:rsidRPr="006F25AE">
              <w:rPr>
                <w:noProof/>
                <w:webHidden/>
              </w:rPr>
              <w:fldChar w:fldCharType="separate"/>
            </w:r>
            <w:r w:rsidR="000B3577" w:rsidRPr="006F25AE">
              <w:rPr>
                <w:noProof/>
                <w:webHidden/>
              </w:rPr>
              <w:t>28</w:t>
            </w:r>
            <w:r w:rsidR="000B3577" w:rsidRPr="006F25AE">
              <w:rPr>
                <w:noProof/>
                <w:webHidden/>
              </w:rPr>
              <w:fldChar w:fldCharType="end"/>
            </w:r>
          </w:hyperlink>
        </w:p>
        <w:p w14:paraId="12FA8235" w14:textId="7B401E25" w:rsidR="00610B87" w:rsidRPr="002170DB" w:rsidRDefault="009B65F6">
          <w:r w:rsidRPr="000E2D21">
            <w:rPr>
              <w:b/>
              <w:bCs/>
            </w:rPr>
            <w:fldChar w:fldCharType="end"/>
          </w:r>
        </w:p>
      </w:sdtContent>
    </w:sdt>
    <w:p w14:paraId="2F61EEEA" w14:textId="77777777" w:rsidR="00610B87" w:rsidRPr="000E2D21" w:rsidRDefault="00610B87" w:rsidP="00814063">
      <w:pPr>
        <w:pStyle w:val="Heading1"/>
      </w:pPr>
    </w:p>
    <w:p w14:paraId="5B1761AB" w14:textId="77777777" w:rsidR="00610B87" w:rsidRPr="006F25AE" w:rsidRDefault="009B65F6">
      <w:pPr>
        <w:rPr>
          <w:rFonts w:eastAsia="Calibri" w:cs="Calibri"/>
          <w:b/>
          <w:bCs/>
          <w:color w:val="1F4E79"/>
          <w:sz w:val="32"/>
          <w:szCs w:val="22"/>
        </w:rPr>
      </w:pPr>
      <w:r w:rsidRPr="006F25AE">
        <w:br w:type="page"/>
      </w:r>
    </w:p>
    <w:p w14:paraId="2B0AD515" w14:textId="4417AAC7" w:rsidR="00B12A46" w:rsidRPr="006F25AE" w:rsidRDefault="00CA5F85" w:rsidP="00814063">
      <w:pPr>
        <w:pStyle w:val="Heading1"/>
      </w:pPr>
      <w:bookmarkStart w:id="0" w:name="_Toc77159448"/>
      <w:r w:rsidRPr="006F25AE">
        <w:lastRenderedPageBreak/>
        <w:t>Aperçu</w:t>
      </w:r>
      <w:bookmarkEnd w:id="0"/>
    </w:p>
    <w:p w14:paraId="599D590C" w14:textId="38B5C233" w:rsidR="00E40FFB" w:rsidRPr="006F25AE" w:rsidRDefault="00C46D5A" w:rsidP="00E40FFB">
      <w:r w:rsidRPr="006F25AE">
        <w:t>En avril 2020, le gouvernement du Canada a mis à jour la Directive sur les services et le numérique afin d</w:t>
      </w:r>
      <w:r w:rsidR="001F551F" w:rsidRPr="006F25AE">
        <w:t>’</w:t>
      </w:r>
      <w:r w:rsidRPr="006F25AE">
        <w:t>y inclure des procédures obligatoires pour les interfaces de programmation d</w:t>
      </w:r>
      <w:r w:rsidR="001F551F" w:rsidRPr="006F25AE">
        <w:t>’</w:t>
      </w:r>
      <w:r w:rsidRPr="006F25AE">
        <w:t>applications (IPA).</w:t>
      </w:r>
      <w:r w:rsidR="009B65F6" w:rsidRPr="006F25AE">
        <w:t xml:space="preserve"> </w:t>
      </w:r>
      <w:r w:rsidRPr="006F25AE">
        <w:t>L</w:t>
      </w:r>
      <w:r w:rsidR="001F551F" w:rsidRPr="006F25AE">
        <w:t>’</w:t>
      </w:r>
      <w:r w:rsidRPr="006F25AE">
        <w:t>accent mis sur les IPA est naturel; une économie de plateforme est née de l</w:t>
      </w:r>
      <w:r w:rsidR="001F551F" w:rsidRPr="006F25AE">
        <w:t>’</w:t>
      </w:r>
      <w:r w:rsidRPr="006F25AE">
        <w:t>externalisation des méthodes d</w:t>
      </w:r>
      <w:r w:rsidR="001F551F" w:rsidRPr="006F25AE">
        <w:t>’</w:t>
      </w:r>
      <w:r w:rsidRPr="006F25AE">
        <w:t>application, de sorte que d</w:t>
      </w:r>
      <w:r w:rsidR="001F551F" w:rsidRPr="006F25AE">
        <w:t>’</w:t>
      </w:r>
      <w:r w:rsidRPr="006F25AE">
        <w:t>autres plateformes et l</w:t>
      </w:r>
      <w:r w:rsidR="001F551F" w:rsidRPr="006F25AE">
        <w:t>’</w:t>
      </w:r>
      <w:r w:rsidRPr="006F25AE">
        <w:t>automatisation puissent accéder à ces méthodes dans l</w:t>
      </w:r>
      <w:r w:rsidR="001F551F" w:rsidRPr="006F25AE">
        <w:t>’</w:t>
      </w:r>
      <w:r w:rsidRPr="006F25AE">
        <w:t>ensemble du protocole http/s omniprésent et largement pris en charge.</w:t>
      </w:r>
      <w:r w:rsidR="009B65F6" w:rsidRPr="006F25AE">
        <w:t xml:space="preserve"> </w:t>
      </w:r>
      <w:r w:rsidR="006C56B4" w:rsidRPr="006F25AE">
        <w:t>Cela fournit aux développeurs des architectures puissantes favorisant la communication entre les services à l</w:t>
      </w:r>
      <w:r w:rsidR="001F551F" w:rsidRPr="006F25AE">
        <w:t>’</w:t>
      </w:r>
      <w:r w:rsidR="006C56B4" w:rsidRPr="006F25AE">
        <w:t>aide des technologies normalisées.</w:t>
      </w:r>
    </w:p>
    <w:p w14:paraId="046E1A13" w14:textId="77777777" w:rsidR="00E40FFB" w:rsidRPr="006F25AE" w:rsidRDefault="00E40FFB" w:rsidP="00E40FFB"/>
    <w:p w14:paraId="0EEAEFEC" w14:textId="2DAC55EC" w:rsidR="00E40FFB" w:rsidRPr="006F25AE" w:rsidRDefault="00C46D5A" w:rsidP="00E40FFB">
      <w:r w:rsidRPr="006F25AE">
        <w:t>Tout comme l</w:t>
      </w:r>
      <w:r w:rsidR="001F551F" w:rsidRPr="006F25AE">
        <w:t>’</w:t>
      </w:r>
      <w:r w:rsidRPr="006F25AE">
        <w:t>interface graphique utilisateur (GUI) est la méthode par laquelle les utilisateurs humains accèdent aux applications, les IPA sont la façon dont d</w:t>
      </w:r>
      <w:r w:rsidR="001F551F" w:rsidRPr="006F25AE">
        <w:t>’</w:t>
      </w:r>
      <w:r w:rsidRPr="006F25AE">
        <w:t>autres systèmes (services) accèdent aux applications.</w:t>
      </w:r>
      <w:r w:rsidR="009B65F6" w:rsidRPr="006F25AE">
        <w:t xml:space="preserve"> </w:t>
      </w:r>
      <w:r w:rsidRPr="006F25AE">
        <w:t>Les IPA rendent l</w:t>
      </w:r>
      <w:r w:rsidR="001F551F" w:rsidRPr="006F25AE">
        <w:t>’</w:t>
      </w:r>
      <w:r w:rsidRPr="006F25AE">
        <w:t>automatisation possible.</w:t>
      </w:r>
    </w:p>
    <w:p w14:paraId="6602D9DE" w14:textId="77777777" w:rsidR="00E40FFB" w:rsidRPr="006F25AE" w:rsidRDefault="00E40FFB" w:rsidP="00E40FFB"/>
    <w:p w14:paraId="166D0F24" w14:textId="61A3B8BC" w:rsidR="005F7CDB" w:rsidRPr="006F25AE" w:rsidRDefault="001F25CC" w:rsidP="00E40FFB">
      <w:r w:rsidRPr="006F25AE">
        <w:t>L</w:t>
      </w:r>
      <w:r w:rsidR="001F551F" w:rsidRPr="006F25AE">
        <w:t>’</w:t>
      </w:r>
      <w:r w:rsidRPr="006F25AE">
        <w:t>architecture des applications du GC est en train de changer.</w:t>
      </w:r>
      <w:r w:rsidR="000B35F5" w:rsidRPr="006F25AE">
        <w:t xml:space="preserve"> </w:t>
      </w:r>
      <w:r w:rsidRPr="006F25AE">
        <w:t>Traditionnellement, nos données sensibles et nos systèmes étaient déployés dans un périmètre qui, pour la plupart, appartenait au GC et à ses entrepreneurs et qui était exploité par eux.</w:t>
      </w:r>
      <w:r w:rsidR="000B35F5" w:rsidRPr="006F25AE">
        <w:t xml:space="preserve"> </w:t>
      </w:r>
      <w:r w:rsidRPr="006F25AE">
        <w:t>L</w:t>
      </w:r>
      <w:r w:rsidR="001F551F" w:rsidRPr="006F25AE">
        <w:t>’</w:t>
      </w:r>
      <w:r w:rsidRPr="006F25AE">
        <w:t>intégration du système se limitait souvent à un centre de données ou à l</w:t>
      </w:r>
      <w:r w:rsidR="001F551F" w:rsidRPr="006F25AE">
        <w:t>’</w:t>
      </w:r>
      <w:r w:rsidRPr="006F25AE">
        <w:t>ensemble du réseau du GC.</w:t>
      </w:r>
    </w:p>
    <w:p w14:paraId="70EA845C" w14:textId="77777777" w:rsidR="000B35F5" w:rsidRPr="006F25AE" w:rsidRDefault="000B35F5" w:rsidP="00E40FFB"/>
    <w:p w14:paraId="6FE4A4AC" w14:textId="77777777" w:rsidR="00D37B22" w:rsidRPr="002170DB" w:rsidRDefault="009B65F6" w:rsidP="00D37B22">
      <w:pPr>
        <w:keepNext/>
      </w:pPr>
      <w:r w:rsidRPr="002170DB">
        <w:rPr>
          <w:noProof/>
        </w:rPr>
        <w:drawing>
          <wp:inline distT="0" distB="0" distL="0" distR="0" wp14:anchorId="290D264B" wp14:editId="7882CB88">
            <wp:extent cx="5943331" cy="199948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rcRect t="16045" b="24145"/>
                    <a:stretch>
                      <a:fillRect/>
                    </a:stretch>
                  </pic:blipFill>
                  <pic:spPr bwMode="auto">
                    <a:xfrm>
                      <a:off x="0" y="0"/>
                      <a:ext cx="5943600" cy="1999578"/>
                    </a:xfrm>
                    <a:prstGeom prst="rect">
                      <a:avLst/>
                    </a:prstGeom>
                    <a:ln>
                      <a:noFill/>
                    </a:ln>
                    <a:extLst>
                      <a:ext uri="{53640926-AAD7-44D8-BBD7-CCE9431645EC}">
                        <a14:shadowObscured xmlns:a14="http://schemas.microsoft.com/office/drawing/2010/main"/>
                      </a:ext>
                    </a:extLst>
                  </pic:spPr>
                </pic:pic>
              </a:graphicData>
            </a:graphic>
          </wp:inline>
        </w:drawing>
      </w:r>
    </w:p>
    <w:p w14:paraId="318E4003" w14:textId="09A88B96" w:rsidR="000B35F5" w:rsidRPr="006F25AE" w:rsidRDefault="009B65F6" w:rsidP="00D37B22">
      <w:pPr>
        <w:pStyle w:val="Caption"/>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1</w:t>
      </w:r>
      <w:r w:rsidR="006A57A9" w:rsidRPr="000E2D21">
        <w:fldChar w:fldCharType="end"/>
      </w:r>
      <w:r w:rsidR="002170DB" w:rsidRPr="002170DB">
        <w:t> </w:t>
      </w:r>
      <w:r w:rsidR="001F25CC" w:rsidRPr="000E2D21">
        <w:t>: Vue traditionnelle du déploiement d</w:t>
      </w:r>
      <w:r w:rsidR="001F551F" w:rsidRPr="006F25AE">
        <w:t>’</w:t>
      </w:r>
      <w:r w:rsidR="001F25CC" w:rsidRPr="006F25AE">
        <w:t>applications lorsque des données sensibles sont conservées dans le périmètre du GC</w:t>
      </w:r>
    </w:p>
    <w:p w14:paraId="393A91BA" w14:textId="77777777" w:rsidR="00D37B22" w:rsidRPr="006F25AE" w:rsidRDefault="00D37B22" w:rsidP="00E40FFB"/>
    <w:p w14:paraId="16F54FDC" w14:textId="21FFAC85" w:rsidR="006A19C4" w:rsidRPr="006F25AE" w:rsidRDefault="001F25CC" w:rsidP="00686FD3">
      <w:r w:rsidRPr="006F25AE">
        <w:t>L</w:t>
      </w:r>
      <w:r w:rsidR="001F551F" w:rsidRPr="006F25AE">
        <w:t>’</w:t>
      </w:r>
      <w:r w:rsidRPr="006F25AE">
        <w:t>architecture des applications du GC couvre de plus en plus Internet.</w:t>
      </w:r>
      <w:r w:rsidR="00686FD3" w:rsidRPr="006F25AE">
        <w:t xml:space="preserve"> </w:t>
      </w:r>
      <w:r w:rsidR="00C46D5A" w:rsidRPr="006F25AE">
        <w:t>L</w:t>
      </w:r>
      <w:r w:rsidR="001F551F" w:rsidRPr="006F25AE">
        <w:t>’</w:t>
      </w:r>
      <w:r w:rsidR="00C46D5A" w:rsidRPr="006F25AE">
        <w:t>introduction de services infonuagiques et de référentiels de données Web fait basculer le GC vers une architecture où les services échangent des données à l</w:t>
      </w:r>
      <w:r w:rsidR="001F551F" w:rsidRPr="006F25AE">
        <w:t>’</w:t>
      </w:r>
      <w:r w:rsidR="00C46D5A" w:rsidRPr="006F25AE">
        <w:t>aide du protocole https sur Internet avec des points d</w:t>
      </w:r>
      <w:r w:rsidR="001F551F" w:rsidRPr="006F25AE">
        <w:t>’</w:t>
      </w:r>
      <w:r w:rsidR="00392005" w:rsidRPr="006F25AE">
        <w:t>extrémité</w:t>
      </w:r>
      <w:r w:rsidR="00C46D5A" w:rsidRPr="006F25AE">
        <w:t xml:space="preserve"> d</w:t>
      </w:r>
      <w:r w:rsidR="001F551F" w:rsidRPr="006F25AE">
        <w:t>’</w:t>
      </w:r>
      <w:r w:rsidR="00C46D5A" w:rsidRPr="006F25AE">
        <w:t>IPA.</w:t>
      </w:r>
      <w:r w:rsidR="00686FD3" w:rsidRPr="006F25AE">
        <w:t xml:space="preserve"> </w:t>
      </w:r>
      <w:r w:rsidRPr="006F25AE">
        <w:t>La poussée vers les services numériques conduit le GC à adopter des architectures qui rapprochent ces services de l</w:t>
      </w:r>
      <w:r w:rsidR="001F551F" w:rsidRPr="006F25AE">
        <w:t>’</w:t>
      </w:r>
      <w:r w:rsidRPr="006F25AE">
        <w:t>emplacement où nos utilisateurs y ont accès; Internet.</w:t>
      </w:r>
      <w:r w:rsidR="00686FD3" w:rsidRPr="006F25AE">
        <w:t xml:space="preserve"> </w:t>
      </w:r>
    </w:p>
    <w:p w14:paraId="5C0562BE" w14:textId="77777777" w:rsidR="000B35F5" w:rsidRPr="006F25AE" w:rsidRDefault="000B35F5" w:rsidP="00E40FFB"/>
    <w:p w14:paraId="55A9F93A" w14:textId="77777777" w:rsidR="00D37B22" w:rsidRPr="002170DB" w:rsidRDefault="009B65F6" w:rsidP="00D37B22">
      <w:pPr>
        <w:keepNext/>
      </w:pPr>
      <w:r w:rsidRPr="002170DB">
        <w:rPr>
          <w:noProof/>
        </w:rPr>
        <w:drawing>
          <wp:inline distT="0" distB="0" distL="0" distR="0" wp14:anchorId="4CC71AC4" wp14:editId="0D5A9C82">
            <wp:extent cx="5942825" cy="2359152"/>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6892" name=""/>
                    <pic:cNvPicPr/>
                  </pic:nvPicPr>
                  <pic:blipFill>
                    <a:blip r:embed="rId19"/>
                    <a:srcRect t="12581" b="16845"/>
                    <a:stretch>
                      <a:fillRect/>
                    </a:stretch>
                  </pic:blipFill>
                  <pic:spPr bwMode="auto">
                    <a:xfrm>
                      <a:off x="0" y="0"/>
                      <a:ext cx="5943600" cy="2359460"/>
                    </a:xfrm>
                    <a:prstGeom prst="rect">
                      <a:avLst/>
                    </a:prstGeom>
                    <a:ln>
                      <a:noFill/>
                    </a:ln>
                    <a:extLst>
                      <a:ext uri="{53640926-AAD7-44D8-BBD7-CCE9431645EC}">
                        <a14:shadowObscured xmlns:a14="http://schemas.microsoft.com/office/drawing/2010/main"/>
                      </a:ext>
                    </a:extLst>
                  </pic:spPr>
                </pic:pic>
              </a:graphicData>
            </a:graphic>
          </wp:inline>
        </w:drawing>
      </w:r>
    </w:p>
    <w:p w14:paraId="74CAF69E" w14:textId="688A388A" w:rsidR="005F7CDB" w:rsidRPr="006F25AE" w:rsidRDefault="009B65F6" w:rsidP="00D37B22">
      <w:pPr>
        <w:pStyle w:val="Caption"/>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2</w:t>
      </w:r>
      <w:r w:rsidR="006A57A9" w:rsidRPr="000E2D21">
        <w:fldChar w:fldCharType="end"/>
      </w:r>
      <w:r w:rsidR="002170DB" w:rsidRPr="002170DB">
        <w:t> </w:t>
      </w:r>
      <w:r w:rsidR="001F25CC" w:rsidRPr="000E2D21">
        <w:t>: Les données sensibles du GC se trouven</w:t>
      </w:r>
      <w:r w:rsidR="001F25CC" w:rsidRPr="006F25AE">
        <w:t>t sur des services Internet</w:t>
      </w:r>
    </w:p>
    <w:p w14:paraId="2963EF5B" w14:textId="77777777" w:rsidR="00D37B22" w:rsidRPr="006F25AE" w:rsidRDefault="00D37B22" w:rsidP="00E40FFB"/>
    <w:p w14:paraId="79E23585" w14:textId="19A7F840" w:rsidR="00E40FFB" w:rsidRPr="006F25AE" w:rsidRDefault="00C46D5A" w:rsidP="00E40FFB">
      <w:r w:rsidRPr="006F25AE">
        <w:t>Ce document d</w:t>
      </w:r>
      <w:r w:rsidR="001F551F" w:rsidRPr="006F25AE">
        <w:t>’</w:t>
      </w:r>
      <w:r w:rsidRPr="006F25AE">
        <w:t>orientation vise à fournir aux développeurs et aux opérations une vue des architectures qui peuvent être utilisées pour activer les IPA.</w:t>
      </w:r>
      <w:r w:rsidR="009B65F6" w:rsidRPr="006F25AE">
        <w:t xml:space="preserve"> </w:t>
      </w:r>
      <w:r w:rsidR="001F25CC" w:rsidRPr="006F25AE">
        <w:t>L</w:t>
      </w:r>
      <w:r w:rsidR="001F551F" w:rsidRPr="006F25AE">
        <w:t>’</w:t>
      </w:r>
      <w:r w:rsidR="001F25CC" w:rsidRPr="006F25AE">
        <w:t>accent est mis sur les technologies d</w:t>
      </w:r>
      <w:r w:rsidR="001F551F" w:rsidRPr="006F25AE">
        <w:t>’</w:t>
      </w:r>
      <w:r w:rsidR="001F25CC" w:rsidRPr="006F25AE">
        <w:t>interconnexion de systèmes ouverts de la couche</w:t>
      </w:r>
      <w:r w:rsidR="002170DB" w:rsidRPr="006F25AE">
        <w:t> </w:t>
      </w:r>
      <w:r w:rsidR="001F25CC" w:rsidRPr="006F25AE">
        <w:t>7 et l</w:t>
      </w:r>
      <w:r w:rsidR="001F551F" w:rsidRPr="006F25AE">
        <w:t>’</w:t>
      </w:r>
      <w:r w:rsidR="001F25CC" w:rsidRPr="006F25AE">
        <w:t>Internet.</w:t>
      </w:r>
      <w:r w:rsidR="009B65F6" w:rsidRPr="006F25AE">
        <w:t xml:space="preserve"> </w:t>
      </w:r>
      <w:r w:rsidRPr="006F25AE">
        <w:t>Une boîte à outils omniprésente de services et de capacités a été mise à disposition par les fournisseurs de services infonuagiques (ainsi que les fournisseurs informatiques traditionnels) qui permettent aux IPA d</w:t>
      </w:r>
      <w:r w:rsidR="001F551F" w:rsidRPr="006F25AE">
        <w:t>’</w:t>
      </w:r>
      <w:r w:rsidRPr="006F25AE">
        <w:t>orchestrer les flux opérationnels sans se soucier des parties profondes de la pile technologique.</w:t>
      </w:r>
      <w:r w:rsidR="009B65F6" w:rsidRPr="006F25AE">
        <w:t xml:space="preserve"> </w:t>
      </w:r>
      <w:r w:rsidR="001F25CC" w:rsidRPr="006F25AE">
        <w:t>Les fournisseurs de services infonuagiques gèrent ces services et les offrent aux consommateurs comme un modèle de PaaS (plateforme comme service).</w:t>
      </w:r>
      <w:r w:rsidR="009B65F6" w:rsidRPr="006F25AE">
        <w:t xml:space="preserve"> </w:t>
      </w:r>
      <w:r w:rsidR="001F25CC" w:rsidRPr="006F25AE">
        <w:t>Ces plateformes natives du nuage sécurisent non seulement nos données, mais en raison de leur évolutivité, ajoutent de la résilience et de la disponibilité à nos services tout en fournissant un modèle de service qui permet aux architectes et aux développeurs de se concentrer sur les choix de configuration et de rester abstraits des activités sous-jacentes d</w:t>
      </w:r>
      <w:r w:rsidR="001F551F" w:rsidRPr="006F25AE">
        <w:t>’</w:t>
      </w:r>
      <w:r w:rsidR="001F25CC" w:rsidRPr="006F25AE">
        <w:t>ingénierie d</w:t>
      </w:r>
      <w:r w:rsidR="001F551F" w:rsidRPr="006F25AE">
        <w:t>’</w:t>
      </w:r>
      <w:r w:rsidR="001F25CC" w:rsidRPr="006F25AE">
        <w:t>infrastructure.</w:t>
      </w:r>
    </w:p>
    <w:p w14:paraId="762C29BF" w14:textId="77777777" w:rsidR="00E40FFB" w:rsidRPr="006F25AE" w:rsidRDefault="00E40FFB" w:rsidP="00E40FFB"/>
    <w:p w14:paraId="174A7D19" w14:textId="77777777" w:rsidR="00E40FFB" w:rsidRPr="006F25AE" w:rsidRDefault="009B65F6" w:rsidP="00E40FFB">
      <w:pPr>
        <w:rPr>
          <w:rFonts w:asciiTheme="majorHAnsi" w:eastAsiaTheme="majorEastAsia" w:hAnsiTheme="majorHAnsi" w:cstheme="majorBidi"/>
          <w:color w:val="2E74B5" w:themeColor="accent1" w:themeShade="BF"/>
          <w:sz w:val="26"/>
          <w:szCs w:val="26"/>
        </w:rPr>
      </w:pPr>
      <w:r w:rsidRPr="006F25AE">
        <w:br w:type="page"/>
      </w:r>
    </w:p>
    <w:p w14:paraId="1FADF38A" w14:textId="06AD347F" w:rsidR="008C4236" w:rsidRPr="006F25AE" w:rsidRDefault="00C46D5A" w:rsidP="003359C9">
      <w:pPr>
        <w:pStyle w:val="Heading1"/>
      </w:pPr>
      <w:bookmarkStart w:id="1" w:name="_Toc77159449"/>
      <w:r w:rsidRPr="006F25AE">
        <w:t>Pourquoi une architecture axée sur les IPA?</w:t>
      </w:r>
      <w:bookmarkEnd w:id="1"/>
    </w:p>
    <w:p w14:paraId="6F64A53C" w14:textId="77777777" w:rsidR="008C4236" w:rsidRPr="006F25AE" w:rsidRDefault="008C4236"/>
    <w:p w14:paraId="0323E02B" w14:textId="1CB8C892" w:rsidR="00CD2FE2" w:rsidRPr="006F25AE" w:rsidRDefault="00C46D5A" w:rsidP="00CD2FE2">
      <w:r w:rsidRPr="006F25AE">
        <w:t>Une approche axée sur les IPA consiste à mettre l</w:t>
      </w:r>
      <w:r w:rsidR="001F551F" w:rsidRPr="006F25AE">
        <w:t>’</w:t>
      </w:r>
      <w:r w:rsidRPr="006F25AE">
        <w:t>accent sur la couche d</w:t>
      </w:r>
      <w:r w:rsidR="001F551F" w:rsidRPr="006F25AE">
        <w:t>’</w:t>
      </w:r>
      <w:r w:rsidRPr="006F25AE">
        <w:t>application pour intégrer les applications et les services dans les réseaux Internet et du GC.</w:t>
      </w:r>
    </w:p>
    <w:p w14:paraId="125B7E5B" w14:textId="77777777" w:rsidR="0094111D" w:rsidRPr="006F25AE" w:rsidRDefault="0094111D" w:rsidP="00CD2FE2"/>
    <w:p w14:paraId="5B0B2D65" w14:textId="41BB303A" w:rsidR="00CD2FE2" w:rsidRPr="006F25AE" w:rsidRDefault="001F25CC" w:rsidP="00CD2FE2">
      <w:r w:rsidRPr="006F25AE">
        <w:t>Si nous prenons une interaction typique d</w:t>
      </w:r>
      <w:r w:rsidR="001F551F" w:rsidRPr="006F25AE">
        <w:t>’</w:t>
      </w:r>
      <w:r w:rsidRPr="006F25AE">
        <w:t>un citoyen avec un service en ligne du GC comme l</w:t>
      </w:r>
      <w:r w:rsidR="001F551F" w:rsidRPr="006F25AE">
        <w:t>’</w:t>
      </w:r>
      <w:r w:rsidRPr="006F25AE">
        <w:t>assurance-emploi au moyen d</w:t>
      </w:r>
      <w:r w:rsidR="001F551F" w:rsidRPr="006F25AE">
        <w:t>’</w:t>
      </w:r>
      <w:r w:rsidRPr="006F25AE">
        <w:t>un portail de Service Canada, un utilisateur accède au portail à l</w:t>
      </w:r>
      <w:r w:rsidR="001F551F" w:rsidRPr="006F25AE">
        <w:t>’</w:t>
      </w:r>
      <w:r w:rsidRPr="006F25AE">
        <w:t>aide d</w:t>
      </w:r>
      <w:r w:rsidR="001F551F" w:rsidRPr="006F25AE">
        <w:t>’</w:t>
      </w:r>
      <w:r w:rsidRPr="006F25AE">
        <w:t>un navigateur Web sur Internet.</w:t>
      </w:r>
      <w:r w:rsidR="009B65F6" w:rsidRPr="006F25AE">
        <w:t xml:space="preserve"> </w:t>
      </w:r>
      <w:r w:rsidRPr="006F25AE">
        <w:t>La connexion entre le navigateur client et le portail est sécurisée par une session https chiffrée et l</w:t>
      </w:r>
      <w:r w:rsidR="001F551F" w:rsidRPr="006F25AE">
        <w:t>’</w:t>
      </w:r>
      <w:r w:rsidRPr="006F25AE">
        <w:t>utilisateur est authentifié.</w:t>
      </w:r>
      <w:r w:rsidR="009B65F6" w:rsidRPr="006F25AE">
        <w:t xml:space="preserve"> </w:t>
      </w:r>
      <w:r w:rsidRPr="006F25AE">
        <w:t>Des renseignements sensibles sont accessibles et mis à jour sur Internet.</w:t>
      </w:r>
    </w:p>
    <w:p w14:paraId="56D95F58" w14:textId="77777777" w:rsidR="00CD2FE2" w:rsidRPr="006F25AE" w:rsidRDefault="009B65F6" w:rsidP="00CD2FE2">
      <w:r w:rsidRPr="006F25AE">
        <w:t xml:space="preserve"> </w:t>
      </w:r>
    </w:p>
    <w:p w14:paraId="6C2BA322" w14:textId="77777777" w:rsidR="00697524" w:rsidRPr="002170DB" w:rsidRDefault="009B65F6" w:rsidP="00697524">
      <w:pPr>
        <w:keepNext/>
        <w:jc w:val="center"/>
      </w:pPr>
      <w:r w:rsidRPr="002170DB">
        <w:rPr>
          <w:noProof/>
        </w:rPr>
        <w:drawing>
          <wp:inline distT="0" distB="0" distL="0" distR="0" wp14:anchorId="6832EFC1" wp14:editId="0524B8BA">
            <wp:extent cx="4546600" cy="147002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45986" name="Picture 3"/>
                    <pic:cNvPicPr>
                      <a:picLocks noChangeAspect="1" noChangeArrowheads="1"/>
                    </pic:cNvPicPr>
                  </pic:nvPicPr>
                  <pic:blipFill>
                    <a:blip r:embed="rId20">
                      <a:extLst>
                        <a:ext uri="{28A0092B-C50C-407E-A947-70E740481C1C}">
                          <a14:useLocalDpi xmlns:a14="http://schemas.microsoft.com/office/drawing/2010/main" val="0"/>
                        </a:ext>
                      </a:extLst>
                    </a:blip>
                    <a:srcRect l="12915" r="12509" b="57130"/>
                    <a:stretch>
                      <a:fillRect/>
                    </a:stretch>
                  </pic:blipFill>
                  <pic:spPr bwMode="auto">
                    <a:xfrm>
                      <a:off x="0" y="0"/>
                      <a:ext cx="4546600" cy="1470025"/>
                    </a:xfrm>
                    <a:prstGeom prst="rect">
                      <a:avLst/>
                    </a:prstGeom>
                    <a:noFill/>
                    <a:ln>
                      <a:noFill/>
                    </a:ln>
                    <a:extLst>
                      <a:ext uri="{53640926-AAD7-44D8-BBD7-CCE9431645EC}">
                        <a14:shadowObscured xmlns:a14="http://schemas.microsoft.com/office/drawing/2010/main"/>
                      </a:ext>
                    </a:extLst>
                  </pic:spPr>
                </pic:pic>
              </a:graphicData>
            </a:graphic>
          </wp:inline>
        </w:drawing>
      </w:r>
    </w:p>
    <w:p w14:paraId="611E4C55" w14:textId="32E1FE71" w:rsidR="00CD2FE2" w:rsidRPr="006F25AE" w:rsidRDefault="009B65F6" w:rsidP="00697524">
      <w:pPr>
        <w:pStyle w:val="Caption"/>
        <w:jc w:val="center"/>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3</w:t>
      </w:r>
      <w:r w:rsidR="006A57A9" w:rsidRPr="000E2D21">
        <w:fldChar w:fldCharType="end"/>
      </w:r>
      <w:r w:rsidR="002170DB" w:rsidRPr="002170DB">
        <w:t> </w:t>
      </w:r>
      <w:r w:rsidR="001F25CC" w:rsidRPr="000E2D21">
        <w:t>: Accès par l</w:t>
      </w:r>
      <w:r w:rsidR="001F551F" w:rsidRPr="006F25AE">
        <w:t>’</w:t>
      </w:r>
      <w:r w:rsidR="001F25CC" w:rsidRPr="006F25AE">
        <w:t>utilisateur et mise à jour des données du GC sur Internet</w:t>
      </w:r>
    </w:p>
    <w:p w14:paraId="626331D1" w14:textId="77777777" w:rsidR="000364BC" w:rsidRPr="006F25AE" w:rsidRDefault="000364BC" w:rsidP="00CD2FE2"/>
    <w:p w14:paraId="127B1012" w14:textId="2E427707" w:rsidR="000364BC" w:rsidRPr="006F25AE" w:rsidRDefault="00C46D5A" w:rsidP="00CD2FE2">
      <w:r w:rsidRPr="006F25AE">
        <w:t>Les IPA sont des points d</w:t>
      </w:r>
      <w:r w:rsidR="001F551F" w:rsidRPr="006F25AE">
        <w:t>’</w:t>
      </w:r>
      <w:r w:rsidR="00392005" w:rsidRPr="006F25AE">
        <w:t>extrémité</w:t>
      </w:r>
      <w:r w:rsidRPr="006F25AE">
        <w:t xml:space="preserve"> qui fournissent une expérience similaire pour l</w:t>
      </w:r>
      <w:r w:rsidR="001F551F" w:rsidRPr="006F25AE">
        <w:t>’</w:t>
      </w:r>
      <w:r w:rsidRPr="006F25AE">
        <w:t>accès et la mise à jour des renseignements dans l</w:t>
      </w:r>
      <w:r w:rsidR="001F551F" w:rsidRPr="006F25AE">
        <w:t>’</w:t>
      </w:r>
      <w:r w:rsidRPr="006F25AE">
        <w:t>application.</w:t>
      </w:r>
      <w:r w:rsidR="009B65F6" w:rsidRPr="006F25AE">
        <w:t xml:space="preserve"> </w:t>
      </w:r>
      <w:r w:rsidR="001F25CC" w:rsidRPr="006F25AE">
        <w:t>Une application ou un service client remplace un utilisateur dans un navigateur Web.</w:t>
      </w:r>
      <w:r w:rsidR="009B65F6" w:rsidRPr="006F25AE">
        <w:t xml:space="preserve"> </w:t>
      </w:r>
      <w:r w:rsidRPr="006F25AE">
        <w:t>Au lieu d</w:t>
      </w:r>
      <w:r w:rsidR="001F551F" w:rsidRPr="006F25AE">
        <w:t>’</w:t>
      </w:r>
      <w:r w:rsidRPr="006F25AE">
        <w:t>accéder à une interface graphique au moyen d</w:t>
      </w:r>
      <w:r w:rsidR="001F551F" w:rsidRPr="006F25AE">
        <w:t>’</w:t>
      </w:r>
      <w:r w:rsidRPr="006F25AE">
        <w:t>un portail, un point d</w:t>
      </w:r>
      <w:r w:rsidR="001F551F" w:rsidRPr="006F25AE">
        <w:t>’</w:t>
      </w:r>
      <w:r w:rsidR="00392005" w:rsidRPr="006F25AE">
        <w:t>extrémité</w:t>
      </w:r>
      <w:r w:rsidRPr="006F25AE">
        <w:t xml:space="preserve"> d</w:t>
      </w:r>
      <w:r w:rsidR="001F551F" w:rsidRPr="006F25AE">
        <w:t>’</w:t>
      </w:r>
      <w:r w:rsidRPr="006F25AE">
        <w:t>IPA expose les fonctions d</w:t>
      </w:r>
      <w:r w:rsidR="001F551F" w:rsidRPr="006F25AE">
        <w:t>’</w:t>
      </w:r>
      <w:r w:rsidRPr="006F25AE">
        <w:t>accès et de mise à jour des données.</w:t>
      </w:r>
      <w:r w:rsidR="009B65F6" w:rsidRPr="006F25AE">
        <w:t xml:space="preserve"> </w:t>
      </w:r>
      <w:r w:rsidRPr="006F25AE">
        <w:t>C</w:t>
      </w:r>
      <w:r w:rsidR="001F551F" w:rsidRPr="006F25AE">
        <w:t>’</w:t>
      </w:r>
      <w:r w:rsidRPr="006F25AE">
        <w:t>est pourquoi une approche axée sur les IPA pour connecter les services infonuagiques sur Internet est l</w:t>
      </w:r>
      <w:r w:rsidR="001F551F" w:rsidRPr="006F25AE">
        <w:t>’</w:t>
      </w:r>
      <w:r w:rsidRPr="006F25AE">
        <w:t>approche préférée.</w:t>
      </w:r>
      <w:r w:rsidR="009B65F6" w:rsidRPr="006F25AE">
        <w:t xml:space="preserve"> </w:t>
      </w:r>
      <w:r w:rsidR="001F25CC" w:rsidRPr="006F25AE">
        <w:t>Cette approche maintient la technologie nécessaire à l</w:t>
      </w:r>
      <w:r w:rsidR="001F551F" w:rsidRPr="006F25AE">
        <w:t>’</w:t>
      </w:r>
      <w:r w:rsidR="001F25CC" w:rsidRPr="006F25AE">
        <w:t>échange de données entre les services de la couche d</w:t>
      </w:r>
      <w:r w:rsidR="001F551F" w:rsidRPr="006F25AE">
        <w:t>’</w:t>
      </w:r>
      <w:r w:rsidR="001F25CC" w:rsidRPr="006F25AE">
        <w:t>application à l</w:t>
      </w:r>
      <w:r w:rsidR="001F551F" w:rsidRPr="006F25AE">
        <w:t>’</w:t>
      </w:r>
      <w:r w:rsidR="001F25CC" w:rsidRPr="006F25AE">
        <w:t>aide de technologies omniprésentes comme l</w:t>
      </w:r>
      <w:r w:rsidR="001F551F" w:rsidRPr="006F25AE">
        <w:t>’</w:t>
      </w:r>
      <w:r w:rsidR="001F25CC" w:rsidRPr="006F25AE">
        <w:t>Internet, le protocole https et les services de justificatifs d</w:t>
      </w:r>
      <w:r w:rsidR="001F551F" w:rsidRPr="006F25AE">
        <w:t>’</w:t>
      </w:r>
      <w:r w:rsidR="001F25CC" w:rsidRPr="006F25AE">
        <w:t>identité.</w:t>
      </w:r>
      <w:r w:rsidR="009B65F6" w:rsidRPr="006F25AE">
        <w:t xml:space="preserve"> </w:t>
      </w:r>
    </w:p>
    <w:p w14:paraId="162440A8" w14:textId="77777777" w:rsidR="000364BC" w:rsidRPr="006F25AE" w:rsidRDefault="000364BC" w:rsidP="00CD2FE2"/>
    <w:p w14:paraId="07D136C4" w14:textId="77777777" w:rsidR="00504937" w:rsidRPr="002170DB" w:rsidRDefault="009B65F6" w:rsidP="00504937">
      <w:pPr>
        <w:keepNext/>
        <w:jc w:val="center"/>
      </w:pPr>
      <w:r w:rsidRPr="002170DB">
        <w:rPr>
          <w:noProof/>
        </w:rPr>
        <w:drawing>
          <wp:inline distT="0" distB="0" distL="0" distR="0" wp14:anchorId="6CCF637A" wp14:editId="6B282A17">
            <wp:extent cx="4321175" cy="11144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7798" name=""/>
                    <pic:cNvPicPr/>
                  </pic:nvPicPr>
                  <pic:blipFill>
                    <a:blip r:embed="rId20"/>
                    <a:srcRect l="15064" t="56125" r="12233" b="10541"/>
                    <a:stretch>
                      <a:fillRect/>
                    </a:stretch>
                  </pic:blipFill>
                  <pic:spPr bwMode="auto">
                    <a:xfrm>
                      <a:off x="0" y="0"/>
                      <a:ext cx="4321175" cy="1114425"/>
                    </a:xfrm>
                    <a:prstGeom prst="rect">
                      <a:avLst/>
                    </a:prstGeom>
                    <a:ln>
                      <a:noFill/>
                    </a:ln>
                    <a:extLst>
                      <a:ext uri="{53640926-AAD7-44D8-BBD7-CCE9431645EC}">
                        <a14:shadowObscured xmlns:a14="http://schemas.microsoft.com/office/drawing/2010/main"/>
                      </a:ext>
                    </a:extLst>
                  </pic:spPr>
                </pic:pic>
              </a:graphicData>
            </a:graphic>
          </wp:inline>
        </w:drawing>
      </w:r>
    </w:p>
    <w:p w14:paraId="002EA67E" w14:textId="46DD17B7" w:rsidR="00504937" w:rsidRPr="006F25AE" w:rsidRDefault="009B65F6" w:rsidP="00504937">
      <w:pPr>
        <w:pStyle w:val="Caption"/>
        <w:jc w:val="center"/>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4</w:t>
      </w:r>
      <w:r w:rsidR="006A57A9" w:rsidRPr="000E2D21">
        <w:fldChar w:fldCharType="end"/>
      </w:r>
      <w:r w:rsidR="002170DB" w:rsidRPr="002170DB">
        <w:t> </w:t>
      </w:r>
      <w:r w:rsidR="001F25CC" w:rsidRPr="000E2D21">
        <w:t>: Accès par le service ou l</w:t>
      </w:r>
      <w:r w:rsidR="001F551F" w:rsidRPr="006F25AE">
        <w:t>’</w:t>
      </w:r>
      <w:r w:rsidR="001F25CC" w:rsidRPr="006F25AE">
        <w:t>application et mise à jour des données du GC sur Internet</w:t>
      </w:r>
    </w:p>
    <w:p w14:paraId="18B5E679" w14:textId="77777777" w:rsidR="008C4236" w:rsidRPr="006F25AE" w:rsidRDefault="009B65F6" w:rsidP="000364BC">
      <w:pPr>
        <w:jc w:val="center"/>
        <w:rPr>
          <w:rFonts w:eastAsia="Calibri" w:cs="Calibri"/>
          <w:b/>
          <w:bCs/>
          <w:color w:val="1F4E79"/>
          <w:sz w:val="32"/>
          <w:szCs w:val="22"/>
        </w:rPr>
      </w:pPr>
      <w:r w:rsidRPr="006F25AE">
        <w:br w:type="page"/>
      </w:r>
    </w:p>
    <w:p w14:paraId="15577A5D" w14:textId="0C0B5AE1" w:rsidR="00D72D92" w:rsidRPr="006F25AE" w:rsidRDefault="001F25CC" w:rsidP="004B55CF">
      <w:pPr>
        <w:pStyle w:val="Heading1"/>
      </w:pPr>
      <w:bookmarkStart w:id="2" w:name="_Toc77159450"/>
      <w:r w:rsidRPr="006F25AE">
        <w:t>Modèles élaborés à partir de la collaboration</w:t>
      </w:r>
      <w:bookmarkEnd w:id="2"/>
    </w:p>
    <w:p w14:paraId="57FE11CA" w14:textId="77777777" w:rsidR="00D72D92" w:rsidRPr="006F25AE" w:rsidRDefault="00D72D92"/>
    <w:p w14:paraId="48FD53C5" w14:textId="3D69CBB5" w:rsidR="00104D34" w:rsidRPr="006F25AE" w:rsidRDefault="00C46D5A">
      <w:r w:rsidRPr="006F25AE">
        <w:t>Le présent document a été élaboré en collaboration avec le Groupe de travail technique sur le nuage du GC en réponse à l</w:t>
      </w:r>
      <w:r w:rsidR="001F551F" w:rsidRPr="006F25AE">
        <w:t>’</w:t>
      </w:r>
      <w:r w:rsidRPr="006F25AE">
        <w:t>intérêt manifesté par ses membres pour l</w:t>
      </w:r>
      <w:r w:rsidR="001F551F" w:rsidRPr="006F25AE">
        <w:t>’</w:t>
      </w:r>
      <w:r w:rsidRPr="006F25AE">
        <w:t>établissement de pratiques exemplaires pour le déploiement des points d</w:t>
      </w:r>
      <w:r w:rsidR="001F551F" w:rsidRPr="006F25AE">
        <w:t>’</w:t>
      </w:r>
      <w:r w:rsidR="00392005" w:rsidRPr="006F25AE">
        <w:t>extrémité</w:t>
      </w:r>
      <w:r w:rsidRPr="006F25AE">
        <w:t xml:space="preserve"> d</w:t>
      </w:r>
      <w:r w:rsidR="001F551F" w:rsidRPr="006F25AE">
        <w:t>’</w:t>
      </w:r>
      <w:r w:rsidRPr="006F25AE">
        <w:t>IPA, et pour clarifier si des exigences politiques avaient une incidence sur la façon dont ces points d</w:t>
      </w:r>
      <w:r w:rsidR="001F551F" w:rsidRPr="006F25AE">
        <w:t>’</w:t>
      </w:r>
      <w:r w:rsidR="00392005" w:rsidRPr="006F25AE">
        <w:t>extrémité</w:t>
      </w:r>
      <w:r w:rsidRPr="006F25AE">
        <w:t xml:space="preserve"> sont déployés.</w:t>
      </w:r>
    </w:p>
    <w:p w14:paraId="3983935E" w14:textId="77777777" w:rsidR="00104D34" w:rsidRPr="006F25AE" w:rsidRDefault="00104D34"/>
    <w:p w14:paraId="07B95F15" w14:textId="71257316" w:rsidR="00FD0970" w:rsidRPr="006F25AE" w:rsidRDefault="001F25CC">
      <w:r w:rsidRPr="006F25AE">
        <w:t>À la fin du printemps</w:t>
      </w:r>
      <w:r w:rsidR="002170DB" w:rsidRPr="006F25AE">
        <w:t> </w:t>
      </w:r>
      <w:r w:rsidRPr="006F25AE">
        <w:t>2020, un premier projet a été créé par le Groupe de travail.</w:t>
      </w:r>
      <w:r w:rsidR="009B65F6" w:rsidRPr="006F25AE">
        <w:t xml:space="preserve"> </w:t>
      </w:r>
      <w:r w:rsidRPr="006F25AE">
        <w:t>Une ébauche du document a été affichée sur le forum de GCcollaboration du Groupe de travail.</w:t>
      </w:r>
      <w:r w:rsidR="009B65F6" w:rsidRPr="006F25AE">
        <w:t xml:space="preserve"> </w:t>
      </w:r>
      <w:r w:rsidRPr="006F25AE">
        <w:t>Au début de l</w:t>
      </w:r>
      <w:r w:rsidR="001F551F" w:rsidRPr="006F25AE">
        <w:t>’</w:t>
      </w:r>
      <w:r w:rsidRPr="006F25AE">
        <w:t>été, le document a été distribué aux fournisseurs de services infonuagiques admissibles à l</w:t>
      </w:r>
      <w:r w:rsidR="001F551F" w:rsidRPr="006F25AE">
        <w:t>’</w:t>
      </w:r>
      <w:r w:rsidRPr="006F25AE">
        <w:t xml:space="preserve">Entente-cadre sur les services </w:t>
      </w:r>
      <w:r w:rsidR="00392005" w:rsidRPr="006F25AE">
        <w:t>infonuagiques</w:t>
      </w:r>
      <w:r w:rsidRPr="006F25AE">
        <w:t xml:space="preserve"> de Services partagés Canada.</w:t>
      </w:r>
      <w:r w:rsidR="009B65F6" w:rsidRPr="006F25AE">
        <w:t xml:space="preserve"> </w:t>
      </w:r>
      <w:r w:rsidRPr="006F25AE">
        <w:t>On a invité ces fournisseurs ont été invités à fournir une présentation à une série de réunions du Groupe de travail technique sur le nuage à venir, au cours desquelles chaque fournisseur aurait une heure pour</w:t>
      </w:r>
      <w:r w:rsidR="002170DB" w:rsidRPr="006F25AE">
        <w:t> </w:t>
      </w:r>
      <w:r w:rsidRPr="006F25AE">
        <w:t>:</w:t>
      </w:r>
    </w:p>
    <w:p w14:paraId="6D816B9D" w14:textId="71B324AB" w:rsidR="00ED56EF" w:rsidRPr="006F25AE" w:rsidRDefault="001F25CC" w:rsidP="00FD0970">
      <w:pPr>
        <w:pStyle w:val="ListParagraph"/>
        <w:numPr>
          <w:ilvl w:val="0"/>
          <w:numId w:val="18"/>
        </w:numPr>
        <w:rPr>
          <w:b/>
          <w:bCs/>
          <w:color w:val="1F4E79"/>
          <w:sz w:val="32"/>
          <w:lang w:val="fr-CA"/>
        </w:rPr>
      </w:pPr>
      <w:r w:rsidRPr="006F25AE">
        <w:rPr>
          <w:lang w:val="fr-CA"/>
        </w:rPr>
        <w:t>Formuler ses commentaires sur les modèles architecturaux pour toute correction et précision.</w:t>
      </w:r>
    </w:p>
    <w:p w14:paraId="190A4EB6" w14:textId="76EFD84E" w:rsidR="00D00834" w:rsidRPr="006F25AE" w:rsidRDefault="001F25CC" w:rsidP="00D00834">
      <w:pPr>
        <w:pStyle w:val="ListParagraph"/>
        <w:numPr>
          <w:ilvl w:val="0"/>
          <w:numId w:val="18"/>
        </w:numPr>
        <w:rPr>
          <w:b/>
          <w:bCs/>
          <w:color w:val="1F4E79"/>
          <w:sz w:val="32"/>
          <w:lang w:val="fr-CA"/>
        </w:rPr>
      </w:pPr>
      <w:r w:rsidRPr="006F25AE">
        <w:rPr>
          <w:lang w:val="fr-CA"/>
        </w:rPr>
        <w:t>Fournir une architecture de solution à l</w:t>
      </w:r>
      <w:r w:rsidR="001F551F" w:rsidRPr="006F25AE">
        <w:rPr>
          <w:lang w:val="fr-CA"/>
        </w:rPr>
        <w:t>’</w:t>
      </w:r>
      <w:r w:rsidRPr="006F25AE">
        <w:rPr>
          <w:lang w:val="fr-CA"/>
        </w:rPr>
        <w:t>aide de leurs services qui s</w:t>
      </w:r>
      <w:r w:rsidR="001F551F" w:rsidRPr="006F25AE">
        <w:rPr>
          <w:lang w:val="fr-CA"/>
        </w:rPr>
        <w:t>’</w:t>
      </w:r>
      <w:r w:rsidRPr="006F25AE">
        <w:rPr>
          <w:lang w:val="fr-CA"/>
        </w:rPr>
        <w:t>harmonisent avec les modèles fournis dans ce document.</w:t>
      </w:r>
    </w:p>
    <w:p w14:paraId="3B7A6C84" w14:textId="64D4B1C7" w:rsidR="009C2A15" w:rsidRPr="006F25AE" w:rsidRDefault="001F25CC" w:rsidP="00D00834">
      <w:r w:rsidRPr="006F25AE">
        <w:t>Oracle, Microsoft et AWS ont accepté l</w:t>
      </w:r>
      <w:r w:rsidR="001F551F" w:rsidRPr="006F25AE">
        <w:t>’</w:t>
      </w:r>
      <w:r w:rsidRPr="006F25AE">
        <w:t>invitation du Groupe de travail pour offrir une présentation.</w:t>
      </w:r>
      <w:r w:rsidR="004B55CF" w:rsidRPr="006F25AE">
        <w:t xml:space="preserve"> </w:t>
      </w:r>
      <w:r w:rsidRPr="006F25AE">
        <w:t>En fin septembre et octobre 2020, ces fournisseurs ont présenté leurs commentaires et leurs architectures de solution.</w:t>
      </w:r>
      <w:r w:rsidR="004B55CF" w:rsidRPr="006F25AE">
        <w:t xml:space="preserve"> </w:t>
      </w:r>
      <w:r w:rsidRPr="006F25AE">
        <w:t>On trouvera en annexe un résumé de ces architectures de solution.</w:t>
      </w:r>
      <w:r w:rsidR="004B55CF" w:rsidRPr="006F25AE">
        <w:t xml:space="preserve"> </w:t>
      </w:r>
      <w:r w:rsidRPr="006F25AE">
        <w:t>Ces architectures ne sont pas complètes et ne devraient pas être appliquées universellement pour chaque cas d</w:t>
      </w:r>
      <w:r w:rsidR="001F551F" w:rsidRPr="006F25AE">
        <w:t>’</w:t>
      </w:r>
      <w:r w:rsidRPr="006F25AE">
        <w:t>utilisation.</w:t>
      </w:r>
      <w:r w:rsidR="004B55CF" w:rsidRPr="006F25AE">
        <w:t xml:space="preserve"> </w:t>
      </w:r>
      <w:r w:rsidRPr="006F25AE">
        <w:t>Vous devriez plutôt consulter les documents des fournisseurs pour obtenir une couverture plus exhaustive du sujet.</w:t>
      </w:r>
    </w:p>
    <w:p w14:paraId="62A1D9F8" w14:textId="77777777" w:rsidR="00D00834" w:rsidRPr="006F25AE" w:rsidRDefault="00D00834" w:rsidP="004B55CF"/>
    <w:p w14:paraId="7633ED03" w14:textId="77777777" w:rsidR="00B22788" w:rsidRPr="002170DB" w:rsidRDefault="009B65F6" w:rsidP="004B55CF">
      <w:r w:rsidRPr="002170DB">
        <w:rPr>
          <w:noProof/>
        </w:rPr>
        <w:drawing>
          <wp:inline distT="0" distB="0" distL="0" distR="0" wp14:anchorId="7EE3AE69" wp14:editId="7FA6EE4C">
            <wp:extent cx="5427980" cy="179206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08669"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90439" cy="1812685"/>
                    </a:xfrm>
                    <a:prstGeom prst="rect">
                      <a:avLst/>
                    </a:prstGeom>
                    <a:noFill/>
                  </pic:spPr>
                </pic:pic>
              </a:graphicData>
            </a:graphic>
          </wp:inline>
        </w:drawing>
      </w:r>
    </w:p>
    <w:p w14:paraId="411877D6" w14:textId="77777777" w:rsidR="00B22788" w:rsidRPr="000E2D21" w:rsidRDefault="00B22788" w:rsidP="004B55CF"/>
    <w:p w14:paraId="62BA2E5F" w14:textId="347430EE" w:rsidR="0049217A" w:rsidRPr="006F25AE" w:rsidRDefault="001F25CC" w:rsidP="004B55CF">
      <w:pPr>
        <w:rPr>
          <w:rFonts w:eastAsia="Calibri" w:cs="Calibri"/>
          <w:color w:val="1F4E79"/>
          <w:sz w:val="32"/>
          <w:szCs w:val="22"/>
        </w:rPr>
      </w:pPr>
      <w:r w:rsidRPr="006F25AE">
        <w:t>En décembre 2020, le Réseau d</w:t>
      </w:r>
      <w:r w:rsidR="001F551F" w:rsidRPr="006F25AE">
        <w:t>’</w:t>
      </w:r>
      <w:r w:rsidRPr="006F25AE">
        <w:t>expertise sur le nuage et l</w:t>
      </w:r>
      <w:r w:rsidR="001F551F" w:rsidRPr="006F25AE">
        <w:t>’</w:t>
      </w:r>
      <w:r w:rsidRPr="006F25AE">
        <w:t>informatique a fourni et approuvé le présent document.</w:t>
      </w:r>
      <w:r w:rsidR="009B65F6" w:rsidRPr="006F25AE">
        <w:t xml:space="preserve"> </w:t>
      </w:r>
      <w:r w:rsidRPr="006F25AE">
        <w:t>En fin janvier 2021, la Communauté de pratique de l</w:t>
      </w:r>
      <w:r w:rsidR="001F551F" w:rsidRPr="006F25AE">
        <w:t>’</w:t>
      </w:r>
      <w:r w:rsidRPr="006F25AE">
        <w:t>architecture intégrée a approuvé le présent document.</w:t>
      </w:r>
      <w:r w:rsidR="009B65F6" w:rsidRPr="006F25AE">
        <w:t xml:space="preserve"> </w:t>
      </w:r>
      <w:r w:rsidRPr="006F25AE">
        <w:t>La publication définitive était en février 2021.</w:t>
      </w:r>
      <w:r w:rsidR="009B65F6" w:rsidRPr="006F25AE">
        <w:br w:type="page"/>
      </w:r>
    </w:p>
    <w:p w14:paraId="1B91E65A" w14:textId="0BB743BB" w:rsidR="00E40FFB" w:rsidRPr="006F25AE" w:rsidRDefault="001F25CC" w:rsidP="00E40FFB">
      <w:pPr>
        <w:pStyle w:val="Heading1"/>
      </w:pPr>
      <w:bookmarkStart w:id="3" w:name="_Toc77159451"/>
      <w:r w:rsidRPr="006F25AE">
        <w:t>Références aux politiques</w:t>
      </w:r>
      <w:bookmarkEnd w:id="3"/>
    </w:p>
    <w:p w14:paraId="473EDD7E" w14:textId="2E52162C" w:rsidR="00E40FFB" w:rsidRPr="006F25AE" w:rsidRDefault="00747EF3" w:rsidP="00E40FFB">
      <w:r w:rsidRPr="006F25AE">
        <w:t>Le gouvernement du Canada a publié des procédures obligatoires pour les interfaces de programmation d</w:t>
      </w:r>
      <w:r w:rsidR="001F551F" w:rsidRPr="006F25AE">
        <w:t>’</w:t>
      </w:r>
      <w:r w:rsidRPr="006F25AE">
        <w:t>applications (IPA).</w:t>
      </w:r>
      <w:r w:rsidR="009B65F6" w:rsidRPr="006F25AE">
        <w:t xml:space="preserve"> </w:t>
      </w:r>
      <w:r w:rsidRPr="006F25AE">
        <w:rPr>
          <w:rStyle w:val="Hyperlink"/>
          <w:u w:val="none"/>
        </w:rPr>
        <w:t>L</w:t>
      </w:r>
      <w:r w:rsidR="001F551F" w:rsidRPr="006F25AE">
        <w:rPr>
          <w:rStyle w:val="Hyperlink"/>
          <w:u w:val="none"/>
        </w:rPr>
        <w:t>’</w:t>
      </w:r>
      <w:r w:rsidRPr="006F25AE">
        <w:rPr>
          <w:rStyle w:val="Hyperlink"/>
          <w:u w:val="none"/>
        </w:rPr>
        <w:t xml:space="preserve">annexe B de la Directive sur les services et le numérique comprennent des </w:t>
      </w:r>
      <w:hyperlink r:id="rId22" w:history="1">
        <w:r w:rsidRPr="000E2D21">
          <w:rPr>
            <w:rStyle w:val="Hyperlink"/>
          </w:rPr>
          <w:t>Procédures obligatoires sur les interfaces de programmation d</w:t>
        </w:r>
        <w:r w:rsidR="001F551F" w:rsidRPr="006F25AE">
          <w:rPr>
            <w:rStyle w:val="Hyperlink"/>
          </w:rPr>
          <w:t>’</w:t>
        </w:r>
        <w:r w:rsidRPr="006F25AE">
          <w:rPr>
            <w:rStyle w:val="Hyperlink"/>
          </w:rPr>
          <w:t>applications</w:t>
        </w:r>
      </w:hyperlink>
      <w:r w:rsidRPr="002170DB">
        <w:rPr>
          <w:rStyle w:val="Hyperlink"/>
          <w:u w:val="none"/>
        </w:rPr>
        <w:t>.</w:t>
      </w:r>
      <w:r w:rsidR="009B65F6" w:rsidRPr="000E2D21">
        <w:t xml:space="preserve"> </w:t>
      </w:r>
      <w:r w:rsidRPr="000E2D21">
        <w:t>Ces procédures obligatoires mettent l</w:t>
      </w:r>
      <w:r w:rsidR="001F551F" w:rsidRPr="006F25AE">
        <w:t>’</w:t>
      </w:r>
      <w:r w:rsidRPr="006F25AE">
        <w:t>accent sur la façon dont les IPA doivent être élaborées et livrées.</w:t>
      </w:r>
      <w:r w:rsidR="009B65F6" w:rsidRPr="006F25AE">
        <w:t xml:space="preserve"> </w:t>
      </w:r>
    </w:p>
    <w:p w14:paraId="51C3F999" w14:textId="77777777" w:rsidR="00E40FFB" w:rsidRPr="006F25AE" w:rsidRDefault="00E40FFB" w:rsidP="00E40FFB"/>
    <w:tbl>
      <w:tblPr>
        <w:tblStyle w:val="TableGrid"/>
        <w:tblW w:w="0" w:type="auto"/>
        <w:tblLook w:val="04A0" w:firstRow="1" w:lastRow="0" w:firstColumn="1" w:lastColumn="0" w:noHBand="0" w:noVBand="1"/>
      </w:tblPr>
      <w:tblGrid>
        <w:gridCol w:w="9350"/>
      </w:tblGrid>
      <w:tr w:rsidR="00154099" w:rsidRPr="006F25AE" w14:paraId="5730ECDC" w14:textId="77777777" w:rsidTr="006B7221">
        <w:tc>
          <w:tcPr>
            <w:tcW w:w="9350" w:type="dxa"/>
          </w:tcPr>
          <w:p w14:paraId="664B3FB7" w14:textId="1E296689" w:rsidR="00E40FFB" w:rsidRPr="006F25AE" w:rsidRDefault="00747EF3" w:rsidP="006B7221">
            <w:pPr>
              <w:rPr>
                <w:i/>
                <w:iCs/>
              </w:rPr>
            </w:pPr>
            <w:r w:rsidRPr="006F25AE">
              <w:rPr>
                <w:rStyle w:val="pol-cla-id"/>
                <w:rFonts w:ascii="Helvetica" w:hAnsi="Helvetica"/>
                <w:i/>
                <w:iCs/>
                <w:color w:val="333333"/>
                <w:shd w:val="clear" w:color="auto" w:fill="F9F9F9"/>
              </w:rPr>
              <w:t xml:space="preserve">B.2.2.2 Élaborer les IPA en suivant le modèle Representational State Transfer (REST) (en anglais seulement) par défaut. </w:t>
            </w:r>
            <w:r w:rsidRPr="006F25AE">
              <w:rPr>
                <w:rFonts w:ascii="Helvetica" w:hAnsi="Helvetica"/>
                <w:i/>
                <w:iCs/>
                <w:color w:val="333333"/>
                <w:shd w:val="clear" w:color="auto" w:fill="F9F9F9"/>
              </w:rPr>
              <w:t>REST est effectivement la norme pour l</w:t>
            </w:r>
            <w:r w:rsidR="001F551F" w:rsidRPr="006F25AE">
              <w:rPr>
                <w:rFonts w:ascii="Helvetica" w:hAnsi="Helvetica"/>
                <w:i/>
                <w:iCs/>
                <w:color w:val="333333"/>
                <w:shd w:val="clear" w:color="auto" w:fill="F9F9F9"/>
              </w:rPr>
              <w:t>’</w:t>
            </w:r>
            <w:r w:rsidRPr="006F25AE">
              <w:rPr>
                <w:rFonts w:ascii="Helvetica" w:hAnsi="Helvetica"/>
                <w:i/>
                <w:iCs/>
                <w:color w:val="333333"/>
                <w:shd w:val="clear" w:color="auto" w:fill="F9F9F9"/>
              </w:rPr>
              <w:t>intégration avec les services infonuagiques et est également la norme établie par la majorité des autres gouvernements ayant des programmes d</w:t>
            </w:r>
            <w:r w:rsidR="001F551F" w:rsidRPr="006F25AE">
              <w:rPr>
                <w:rFonts w:ascii="Helvetica" w:hAnsi="Helvetica"/>
                <w:i/>
                <w:iCs/>
                <w:color w:val="333333"/>
                <w:shd w:val="clear" w:color="auto" w:fill="F9F9F9"/>
              </w:rPr>
              <w:t>’</w:t>
            </w:r>
            <w:r w:rsidRPr="006F25AE">
              <w:rPr>
                <w:rFonts w:ascii="Helvetica" w:hAnsi="Helvetica"/>
                <w:i/>
                <w:iCs/>
                <w:color w:val="333333"/>
                <w:shd w:val="clear" w:color="auto" w:fill="F9F9F9"/>
              </w:rPr>
              <w:t>IPA bien établis.</w:t>
            </w:r>
            <w:r w:rsidR="009B65F6" w:rsidRPr="006F25AE">
              <w:rPr>
                <w:rFonts w:ascii="Helvetica" w:hAnsi="Helvetica"/>
                <w:i/>
                <w:iCs/>
                <w:color w:val="333333"/>
                <w:shd w:val="clear" w:color="auto" w:fill="F9F9F9"/>
              </w:rPr>
              <w:t> </w:t>
            </w:r>
          </w:p>
          <w:p w14:paraId="6FD84737" w14:textId="77777777" w:rsidR="00E40FFB" w:rsidRPr="006F25AE" w:rsidRDefault="00E40FFB" w:rsidP="006B7221"/>
        </w:tc>
      </w:tr>
    </w:tbl>
    <w:p w14:paraId="0AFB92B6" w14:textId="77777777" w:rsidR="00E40FFB" w:rsidRPr="006F25AE" w:rsidRDefault="00E40FFB" w:rsidP="00E40FFB"/>
    <w:p w14:paraId="7037FAF9" w14:textId="77777777" w:rsidR="00E40FFB" w:rsidRPr="006F25AE" w:rsidRDefault="00E40FFB" w:rsidP="00E40FFB"/>
    <w:p w14:paraId="2EA41EC4" w14:textId="77777777" w:rsidR="00681532" w:rsidRPr="006F25AE" w:rsidRDefault="009B65F6">
      <w:r w:rsidRPr="006F25AE">
        <w:br w:type="page"/>
      </w:r>
    </w:p>
    <w:p w14:paraId="693D05DD" w14:textId="44958D01" w:rsidR="00E40FFB" w:rsidRPr="006F25AE" w:rsidRDefault="00C46D5A" w:rsidP="00681532">
      <w:pPr>
        <w:pStyle w:val="Heading1"/>
      </w:pPr>
      <w:bookmarkStart w:id="4" w:name="_Toc77159452"/>
      <w:r w:rsidRPr="006F25AE">
        <w:t>Références de l</w:t>
      </w:r>
      <w:r w:rsidR="001F551F" w:rsidRPr="006F25AE">
        <w:t>’</w:t>
      </w:r>
      <w:r w:rsidRPr="006F25AE">
        <w:t>architecture de sécurité</w:t>
      </w:r>
      <w:bookmarkEnd w:id="4"/>
    </w:p>
    <w:p w14:paraId="6516E61F" w14:textId="77777777" w:rsidR="00681532" w:rsidRPr="006F25AE" w:rsidRDefault="00681532" w:rsidP="00E40FFB"/>
    <w:p w14:paraId="3A871040" w14:textId="4B992BD4" w:rsidR="00681532" w:rsidRPr="006F25AE" w:rsidRDefault="00C46D5A" w:rsidP="00E40FFB">
      <w:r w:rsidRPr="006F25AE">
        <w:t xml:space="preserve">Le document </w:t>
      </w:r>
      <w:hyperlink r:id="rId23" w:history="1">
        <w:r w:rsidRPr="000E2D21">
          <w:rPr>
            <w:rStyle w:val="Hyperlink"/>
          </w:rPr>
          <w:t>Modèles de conception de sécurité pour les systèmes d</w:t>
        </w:r>
        <w:r w:rsidR="001F551F" w:rsidRPr="000E2D21">
          <w:rPr>
            <w:rStyle w:val="Hyperlink"/>
          </w:rPr>
          <w:t>’</w:t>
        </w:r>
        <w:r w:rsidRPr="006F25AE">
          <w:rPr>
            <w:rStyle w:val="Hyperlink"/>
          </w:rPr>
          <w:t>information de SaaS</w:t>
        </w:r>
      </w:hyperlink>
      <w:r w:rsidRPr="002170DB">
        <w:rPr>
          <w:rStyle w:val="Hyperlink"/>
          <w:u w:val="none"/>
        </w:rPr>
        <w:t xml:space="preserve"> inclut</w:t>
      </w:r>
      <w:r w:rsidRPr="000E2D21">
        <w:rPr>
          <w:rStyle w:val="Hyperlink"/>
          <w:u w:val="none"/>
        </w:rPr>
        <w:t xml:space="preserve"> une superposition de sécurité pour les </w:t>
      </w:r>
      <w:r w:rsidR="00EC27AB" w:rsidRPr="006F25AE">
        <w:rPr>
          <w:rStyle w:val="Hyperlink"/>
          <w:u w:val="none"/>
        </w:rPr>
        <w:t>IPA</w:t>
      </w:r>
      <w:r w:rsidRPr="006F25AE">
        <w:rPr>
          <w:rStyle w:val="Hyperlink"/>
          <w:u w:val="none"/>
        </w:rPr>
        <w:t>.</w:t>
      </w:r>
      <w:r w:rsidR="000651DB" w:rsidRPr="006F25AE">
        <w:t xml:space="preserve"> </w:t>
      </w:r>
      <w:r w:rsidRPr="006F25AE">
        <w:t>Le document met l</w:t>
      </w:r>
      <w:r w:rsidR="001F551F" w:rsidRPr="006F25AE">
        <w:t>’</w:t>
      </w:r>
      <w:r w:rsidRPr="006F25AE">
        <w:t xml:space="preserve">accent sur le SaaS (logiciel comme service), mais les parties du document qui portent sur les </w:t>
      </w:r>
      <w:r w:rsidR="00EC27AB" w:rsidRPr="006F25AE">
        <w:t>IPA</w:t>
      </w:r>
      <w:r w:rsidRPr="006F25AE">
        <w:t xml:space="preserve"> peuvent être appliquées à tout modèle de service qui suit le même modèle.</w:t>
      </w:r>
      <w:r w:rsidR="000651DB" w:rsidRPr="006F25AE">
        <w:t xml:space="preserve"> </w:t>
      </w:r>
      <w:r w:rsidRPr="006F25AE">
        <w:t xml:space="preserve">En effet, en limitant les interactions de service aux </w:t>
      </w:r>
      <w:r w:rsidR="00EC27AB" w:rsidRPr="006F25AE">
        <w:t>IPA</w:t>
      </w:r>
      <w:r w:rsidRPr="006F25AE">
        <w:t xml:space="preserve">, rend les services PaaS et IaaS, axés vers le public, identiques aux services </w:t>
      </w:r>
      <w:r w:rsidR="00EC27AB" w:rsidRPr="006F25AE">
        <w:t>IPA</w:t>
      </w:r>
      <w:r w:rsidRPr="006F25AE">
        <w:t xml:space="preserve"> de SaaS.</w:t>
      </w:r>
      <w:r w:rsidR="000651DB" w:rsidRPr="006F25AE">
        <w:t xml:space="preserve"> </w:t>
      </w:r>
      <w:r w:rsidRPr="006F25AE">
        <w:t>Remarque</w:t>
      </w:r>
      <w:r w:rsidR="002170DB" w:rsidRPr="006F25AE">
        <w:t> </w:t>
      </w:r>
      <w:r w:rsidRPr="006F25AE">
        <w:t>: La passerelle sécurisée dans le diagramme ci-dessous est la passerelle Internet organisationnelle hébergée dans le réseau du GC.</w:t>
      </w:r>
    </w:p>
    <w:p w14:paraId="6A872AAF" w14:textId="77777777" w:rsidR="00681532" w:rsidRPr="006F25AE" w:rsidRDefault="00681532" w:rsidP="00E40FFB"/>
    <w:p w14:paraId="5E7D67B2" w14:textId="77777777" w:rsidR="00654A42" w:rsidRPr="002170DB" w:rsidRDefault="009B65F6" w:rsidP="00E40FFB">
      <w:r w:rsidRPr="002170DB">
        <w:rPr>
          <w:noProof/>
        </w:rPr>
        <w:drawing>
          <wp:inline distT="0" distB="0" distL="0" distR="0" wp14:anchorId="4210D910" wp14:editId="1B64139B">
            <wp:extent cx="5943600" cy="4916805"/>
            <wp:effectExtent l="0" t="0" r="0"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03862" name="Screen Shot 2020-06-23 at 8.47.53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916805"/>
                    </a:xfrm>
                    <a:prstGeom prst="rect">
                      <a:avLst/>
                    </a:prstGeom>
                  </pic:spPr>
                </pic:pic>
              </a:graphicData>
            </a:graphic>
          </wp:inline>
        </w:drawing>
      </w:r>
    </w:p>
    <w:p w14:paraId="0BFFF5A1" w14:textId="77777777" w:rsidR="00654A42" w:rsidRPr="000E2D21" w:rsidRDefault="00654A42" w:rsidP="00E40FFB"/>
    <w:p w14:paraId="757ECC6B" w14:textId="77777777" w:rsidR="00654A42" w:rsidRPr="006F25AE" w:rsidRDefault="00654A42" w:rsidP="00E40FFB"/>
    <w:p w14:paraId="1C752826" w14:textId="4E333490" w:rsidR="00E40FFB" w:rsidRPr="006F25AE" w:rsidRDefault="00C46D5A" w:rsidP="00E40FFB">
      <w:r w:rsidRPr="006F25AE">
        <w:t xml:space="preserve">De plus, le document </w:t>
      </w:r>
      <w:hyperlink r:id="rId25" w:anchor="api-security" w:history="1">
        <w:r w:rsidRPr="000E2D21">
          <w:rPr>
            <w:rStyle w:val="Hyperlink"/>
          </w:rPr>
          <w:t>Lignes directrices sur la sécurité des microservices et des conteneurs</w:t>
        </w:r>
      </w:hyperlink>
      <w:r w:rsidRPr="002170DB">
        <w:rPr>
          <w:rStyle w:val="Hyperlink"/>
          <w:u w:val="none"/>
        </w:rPr>
        <w:t xml:space="preserve"> fournit des exigences de sécurité pour la protection des points d</w:t>
      </w:r>
      <w:r w:rsidR="001F551F" w:rsidRPr="000E2D21">
        <w:rPr>
          <w:rStyle w:val="Hyperlink"/>
          <w:u w:val="none"/>
        </w:rPr>
        <w:t>’</w:t>
      </w:r>
      <w:r w:rsidR="00392005" w:rsidRPr="006F25AE">
        <w:rPr>
          <w:rStyle w:val="Hyperlink"/>
          <w:u w:val="none"/>
        </w:rPr>
        <w:t>extrémité</w:t>
      </w:r>
      <w:r w:rsidRPr="006F25AE">
        <w:rPr>
          <w:rStyle w:val="Hyperlink"/>
          <w:u w:val="none"/>
        </w:rPr>
        <w:t xml:space="preserve"> </w:t>
      </w:r>
      <w:r w:rsidR="00EC27AB" w:rsidRPr="006F25AE">
        <w:rPr>
          <w:rStyle w:val="Hyperlink"/>
          <w:u w:val="none"/>
        </w:rPr>
        <w:t>IPA</w:t>
      </w:r>
      <w:r w:rsidRPr="006F25AE">
        <w:rPr>
          <w:rStyle w:val="Hyperlink"/>
          <w:u w:val="none"/>
        </w:rPr>
        <w:t>.</w:t>
      </w:r>
      <w:r w:rsidR="009B65F6" w:rsidRPr="006F25AE">
        <w:t xml:space="preserve"> </w:t>
      </w:r>
      <w:r w:rsidRPr="006F25AE">
        <w:t>Certaines de ces mêmes mesures de protection se trouveront dans les modèles abordés dans le présent document, mais la ligne directrice fournit une liste consolidée et plus exhaustive.</w:t>
      </w:r>
      <w:r w:rsidR="009B65F6" w:rsidRPr="006F25AE">
        <w:br w:type="page"/>
      </w:r>
    </w:p>
    <w:p w14:paraId="5591F645" w14:textId="77777777" w:rsidR="00681532" w:rsidRPr="006F25AE" w:rsidRDefault="00681532" w:rsidP="00E40FFB">
      <w:pPr>
        <w:rPr>
          <w:rFonts w:asciiTheme="majorHAnsi" w:eastAsiaTheme="majorEastAsia" w:hAnsiTheme="majorHAnsi" w:cstheme="majorBidi"/>
          <w:color w:val="2E74B5" w:themeColor="accent1" w:themeShade="BF"/>
          <w:sz w:val="26"/>
          <w:szCs w:val="26"/>
        </w:rPr>
      </w:pPr>
    </w:p>
    <w:p w14:paraId="5BA1A54F" w14:textId="1D745C45" w:rsidR="00E141A0" w:rsidRPr="006F25AE" w:rsidRDefault="00C46D5A" w:rsidP="00E141A0">
      <w:pPr>
        <w:pStyle w:val="Heading1"/>
      </w:pPr>
      <w:bookmarkStart w:id="5" w:name="_Toc77159453"/>
      <w:r w:rsidRPr="006F25AE">
        <w:t>Points d</w:t>
      </w:r>
      <w:r w:rsidR="001F551F" w:rsidRPr="006F25AE">
        <w:t>’</w:t>
      </w:r>
      <w:r w:rsidR="00392005" w:rsidRPr="006F25AE">
        <w:t>extrémité</w:t>
      </w:r>
      <w:r w:rsidRPr="006F25AE">
        <w:t xml:space="preserve"> </w:t>
      </w:r>
      <w:r w:rsidR="00EC27AB" w:rsidRPr="006F25AE">
        <w:t>IPA</w:t>
      </w:r>
      <w:r w:rsidRPr="006F25AE">
        <w:t xml:space="preserve"> fournis avec la PaaS</w:t>
      </w:r>
      <w:bookmarkEnd w:id="5"/>
    </w:p>
    <w:p w14:paraId="634FA548" w14:textId="77777777" w:rsidR="00E141A0" w:rsidRPr="006F25AE" w:rsidRDefault="00E141A0"/>
    <w:p w14:paraId="0184B658" w14:textId="4F1A27FE" w:rsidR="00E141A0" w:rsidRPr="006F25AE" w:rsidRDefault="00C46D5A">
      <w:r w:rsidRPr="006F25AE">
        <w:t xml:space="preserve">Le présent document porte sur les modèles axés sur les </w:t>
      </w:r>
      <w:r w:rsidR="00EC27AB" w:rsidRPr="006F25AE">
        <w:t>IPA</w:t>
      </w:r>
      <w:r w:rsidRPr="006F25AE">
        <w:t xml:space="preserve"> à l</w:t>
      </w:r>
      <w:r w:rsidR="001F551F" w:rsidRPr="006F25AE">
        <w:t>’</w:t>
      </w:r>
      <w:r w:rsidRPr="006F25AE">
        <w:t>aide de la PaaS (plateforme comme service).</w:t>
      </w:r>
      <w:r w:rsidR="009B65F6" w:rsidRPr="006F25AE">
        <w:t xml:space="preserve"> </w:t>
      </w:r>
      <w:r w:rsidRPr="006F25AE">
        <w:t>La PaaS est le point de mire</w:t>
      </w:r>
      <w:r w:rsidR="002170DB" w:rsidRPr="006F25AE">
        <w:t>,</w:t>
      </w:r>
      <w:r w:rsidRPr="006F25AE">
        <w:t xml:space="preserve"> car, comme le SaaS, les couches réseau ne sont pas gérées par le GC, mais par le fournisseur du nuage.</w:t>
      </w:r>
      <w:r w:rsidR="009B65F6" w:rsidRPr="006F25AE">
        <w:t xml:space="preserve"> </w:t>
      </w:r>
      <w:r w:rsidRPr="006F25AE">
        <w:t>C</w:t>
      </w:r>
      <w:r w:rsidR="001F551F" w:rsidRPr="006F25AE">
        <w:t>’</w:t>
      </w:r>
      <w:r w:rsidRPr="006F25AE">
        <w:t>est le fournisseur du nuage qui assure la gestion et la protection des couches réseau du service.</w:t>
      </w:r>
      <w:r w:rsidR="009B65F6" w:rsidRPr="006F25AE">
        <w:t xml:space="preserve"> </w:t>
      </w:r>
      <w:r w:rsidRPr="006F25AE">
        <w:t>Étant donné que le réseau, l</w:t>
      </w:r>
      <w:r w:rsidR="001F551F" w:rsidRPr="006F25AE">
        <w:t>’</w:t>
      </w:r>
      <w:r w:rsidRPr="006F25AE">
        <w:t>informatique et le stockage sous-jacents sont gérés par le fournisseur de services infonuagiques, le GC se concentre sur la protection des applications et, avec lui, les points d</w:t>
      </w:r>
      <w:r w:rsidR="001F551F" w:rsidRPr="006F25AE">
        <w:t>’</w:t>
      </w:r>
      <w:r w:rsidR="00392005" w:rsidRPr="006F25AE">
        <w:t>extrémité</w:t>
      </w:r>
      <w:r w:rsidRPr="006F25AE">
        <w:t xml:space="preserve"> des </w:t>
      </w:r>
      <w:r w:rsidR="00EC27AB" w:rsidRPr="006F25AE">
        <w:t>IPA</w:t>
      </w:r>
      <w:r w:rsidRPr="006F25AE">
        <w:t>.</w:t>
      </w:r>
    </w:p>
    <w:p w14:paraId="5B53F2C2" w14:textId="77777777" w:rsidR="00E141A0" w:rsidRPr="006F25AE" w:rsidRDefault="00E141A0"/>
    <w:p w14:paraId="3E94DD6F" w14:textId="397D193C" w:rsidR="00E141A0" w:rsidRPr="006F25AE" w:rsidRDefault="00C46D5A">
      <w:r w:rsidRPr="006F25AE">
        <w:t>Cela ne veut pas dire</w:t>
      </w:r>
      <w:r w:rsidR="002170DB" w:rsidRPr="006F25AE">
        <w:t> </w:t>
      </w:r>
      <w:r w:rsidRPr="006F25AE">
        <w:t>: cependant, l</w:t>
      </w:r>
      <w:r w:rsidR="001F551F" w:rsidRPr="006F25AE">
        <w:t>’</w:t>
      </w:r>
      <w:r w:rsidRPr="006F25AE">
        <w:t>IaaS ne tient pas compte de ces tendances.</w:t>
      </w:r>
      <w:r w:rsidR="00654A42" w:rsidRPr="006F25AE">
        <w:t xml:space="preserve"> </w:t>
      </w:r>
      <w:r w:rsidRPr="006F25AE">
        <w:t>La PaaS peut servir à fournir une façade pour les applications déployées par IaaS.</w:t>
      </w:r>
      <w:r w:rsidR="00654A42" w:rsidRPr="006F25AE">
        <w:t xml:space="preserve"> </w:t>
      </w:r>
      <w:r w:rsidRPr="006F25AE">
        <w:t>Lorsqu</w:t>
      </w:r>
      <w:r w:rsidR="001F551F" w:rsidRPr="006F25AE">
        <w:t>’</w:t>
      </w:r>
      <w:r w:rsidRPr="006F25AE">
        <w:t>il existe une façade PaaS, les modèles et les anti-modèles présentés dans le présent document s</w:t>
      </w:r>
      <w:r w:rsidR="001F551F" w:rsidRPr="006F25AE">
        <w:t>’</w:t>
      </w:r>
      <w:r w:rsidRPr="006F25AE">
        <w:t>appliquent toujours.</w:t>
      </w:r>
      <w:r w:rsidR="00654A42" w:rsidRPr="006F25AE">
        <w:t xml:space="preserve"> </w:t>
      </w:r>
    </w:p>
    <w:p w14:paraId="6FFFD246" w14:textId="77777777" w:rsidR="00E141A0" w:rsidRPr="006F25AE" w:rsidRDefault="00E141A0"/>
    <w:p w14:paraId="4432B74C" w14:textId="77777777" w:rsidR="00E141A0" w:rsidRPr="000E2D21" w:rsidRDefault="009B65F6">
      <w:pPr>
        <w:rPr>
          <w:rFonts w:eastAsia="Calibri" w:cs="Calibri"/>
          <w:b/>
          <w:bCs/>
          <w:color w:val="1F4E79"/>
          <w:sz w:val="32"/>
          <w:szCs w:val="22"/>
        </w:rPr>
      </w:pPr>
      <w:r w:rsidRPr="002170DB">
        <w:rPr>
          <w:noProof/>
        </w:rPr>
        <mc:AlternateContent>
          <mc:Choice Requires="wps">
            <w:drawing>
              <wp:anchor distT="0" distB="0" distL="114300" distR="114300" simplePos="0" relativeHeight="251660288" behindDoc="0" locked="0" layoutInCell="1" allowOverlap="1" wp14:anchorId="6950DE26" wp14:editId="5E674486">
                <wp:simplePos x="0" y="0"/>
                <wp:positionH relativeFrom="column">
                  <wp:posOffset>1403349</wp:posOffset>
                </wp:positionH>
                <wp:positionV relativeFrom="paragraph">
                  <wp:posOffset>2696210</wp:posOffset>
                </wp:positionV>
                <wp:extent cx="3349625" cy="635"/>
                <wp:effectExtent l="0" t="0" r="3175" b="8255"/>
                <wp:wrapNone/>
                <wp:docPr id="24" name="Text Box 24"/>
                <wp:cNvGraphicFramePr/>
                <a:graphic xmlns:a="http://schemas.openxmlformats.org/drawingml/2006/main">
                  <a:graphicData uri="http://schemas.microsoft.com/office/word/2010/wordprocessingShape">
                    <wps:wsp>
                      <wps:cNvSpPr txBox="1"/>
                      <wps:spPr>
                        <a:xfrm>
                          <a:off x="0" y="0"/>
                          <a:ext cx="3349625" cy="635"/>
                        </a:xfrm>
                        <a:prstGeom prst="rect">
                          <a:avLst/>
                        </a:prstGeom>
                        <a:solidFill>
                          <a:prstClr val="white"/>
                        </a:solidFill>
                        <a:ln>
                          <a:noFill/>
                        </a:ln>
                      </wps:spPr>
                      <wps:txbx>
                        <w:txbxContent>
                          <w:p w14:paraId="6AE60558" w14:textId="1669BFE4" w:rsidR="000C704C" w:rsidRPr="004B4B4F" w:rsidRDefault="009B65F6" w:rsidP="000C704C">
                            <w:pPr>
                              <w:pStyle w:val="Caption"/>
                              <w:rPr>
                                <w:rFonts w:ascii="Times New Roman" w:hAnsi="Times New Roman"/>
                                <w:noProof/>
                                <w:sz w:val="24"/>
                                <w:szCs w:val="24"/>
                              </w:rPr>
                            </w:pPr>
                            <w:r w:rsidRPr="00EC27AB">
                              <w:t>Figure</w:t>
                            </w:r>
                            <w:r w:rsidR="002170DB">
                              <w:t> </w:t>
                            </w:r>
                            <w:r w:rsidR="006A57A9">
                              <w:fldChar w:fldCharType="begin"/>
                            </w:r>
                            <w:r>
                              <w:instrText xml:space="preserve"> SEQ Figure \* ARABIC </w:instrText>
                            </w:r>
                            <w:r w:rsidR="006A57A9">
                              <w:fldChar w:fldCharType="separate"/>
                            </w:r>
                            <w:r w:rsidR="006A57A9">
                              <w:rPr>
                                <w:noProof/>
                              </w:rPr>
                              <w:t>5</w:t>
                            </w:r>
                            <w:r w:rsidR="006A57A9">
                              <w:rPr>
                                <w:noProof/>
                              </w:rPr>
                              <w:fldChar w:fldCharType="end"/>
                            </w:r>
                            <w:r w:rsidR="002170DB">
                              <w:rPr>
                                <w:noProof/>
                              </w:rPr>
                              <w:t> </w:t>
                            </w:r>
                            <w:r w:rsidR="00C46D5A">
                              <w:t>: la PaaS fournit une façade pour l’IaaS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type w14:anchorId="6950DE26" id="_x0000_t202" coordsize="21600,21600" o:spt="202" path="m,l,21600r21600,l21600,xe">
                <v:stroke joinstyle="miter"/>
                <v:path gradientshapeok="t" o:connecttype="rect"/>
              </v:shapetype>
              <v:shape id="Text Box 24" o:spid="_x0000_s1026" type="#_x0000_t202" style="position:absolute;margin-left:110.5pt;margin-top:212.3pt;width:263.7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" stroked="f">
                <v:textbox style="mso-fit-shape-to-text:t" inset="0,0,0,0">
                  <w:txbxContent>
                    <w:p w14:paraId="6AE60558" w14:textId="1669BFE4" w:rsidR="000C704C" w:rsidRPr="004B4B4F" w:rsidRDefault="009B65F6" w:rsidP="000C704C">
                      <w:pPr>
                        <w:pStyle w:val="Caption"/>
                        <w:rPr>
                          <w:rFonts w:ascii="Times New Roman" w:hAnsi="Times New Roman"/>
                          <w:noProof/>
                          <w:sz w:val="24"/>
                          <w:szCs w:val="24"/>
                        </w:rPr>
                      </w:pPr>
                      <w:r w:rsidRPr="00EC27AB">
                        <w:t>Figure</w:t>
                      </w:r>
                      <w:r w:rsidR="002170DB">
                        <w:t> </w:t>
                      </w:r>
                      <w:r w:rsidR="006A57A9">
                        <w:fldChar w:fldCharType="begin"/>
                      </w:r>
                      <w:r>
                        <w:instrText xml:space="preserve"> SEQ Figure \* ARABIC </w:instrText>
                      </w:r>
                      <w:r w:rsidR="006A57A9">
                        <w:fldChar w:fldCharType="separate"/>
                      </w:r>
                      <w:r w:rsidR="006A57A9">
                        <w:rPr>
                          <w:noProof/>
                        </w:rPr>
                        <w:t>5</w:t>
                      </w:r>
                      <w:r w:rsidR="006A57A9">
                        <w:rPr>
                          <w:noProof/>
                        </w:rPr>
                        <w:fldChar w:fldCharType="end"/>
                      </w:r>
                      <w:r w:rsidR="002170DB">
                        <w:rPr>
                          <w:noProof/>
                        </w:rPr>
                        <w:t> </w:t>
                      </w:r>
                      <w:r w:rsidR="00C46D5A">
                        <w:t>: la PaaS fournit une façade pour l’IaaS</w:t>
                      </w:r>
                    </w:p>
                  </w:txbxContent>
                </v:textbox>
              </v:shape>
            </w:pict>
          </mc:Fallback>
        </mc:AlternateContent>
      </w:r>
      <w:r w:rsidRPr="006F25AE">
        <w:rPr>
          <w:noProof/>
        </w:rPr>
        <mc:AlternateContent>
          <mc:Choice Requires="wpg">
            <w:drawing>
              <wp:anchor distT="0" distB="0" distL="114300" distR="114300" simplePos="0" relativeHeight="251658240" behindDoc="0" locked="0" layoutInCell="1" allowOverlap="1" wp14:anchorId="3ABCB806" wp14:editId="74EC94DE">
                <wp:simplePos x="0" y="0"/>
                <wp:positionH relativeFrom="column">
                  <wp:posOffset>676275</wp:posOffset>
                </wp:positionH>
                <wp:positionV relativeFrom="paragraph">
                  <wp:posOffset>626110</wp:posOffset>
                </wp:positionV>
                <wp:extent cx="4076700" cy="2012950"/>
                <wp:effectExtent l="0" t="0" r="19050" b="25400"/>
                <wp:wrapNone/>
                <wp:docPr id="23" name="Group 23"/>
                <wp:cNvGraphicFramePr/>
                <a:graphic xmlns:a="http://schemas.openxmlformats.org/drawingml/2006/main">
                  <a:graphicData uri="http://schemas.microsoft.com/office/word/2010/wordprocessingGroup">
                    <wpg:wgp>
                      <wpg:cNvGrpSpPr/>
                      <wpg:grpSpPr>
                        <a:xfrm>
                          <a:off x="0" y="0"/>
                          <a:ext cx="4076700" cy="2012950"/>
                          <a:chOff x="0" y="0"/>
                          <a:chExt cx="4076700" cy="2012950"/>
                        </a:xfrm>
                      </wpg:grpSpPr>
                      <wps:wsp>
                        <wps:cNvPr id="20" name="Rectangle 20"/>
                        <wps:cNvSpPr/>
                        <wps:spPr>
                          <a:xfrm>
                            <a:off x="711200" y="0"/>
                            <a:ext cx="3365500" cy="2012950"/>
                          </a:xfrm>
                          <a:prstGeom prst="rect">
                            <a:avLst/>
                          </a:prstGeom>
                          <a:solidFill>
                            <a:srgbClr val="FFFFFF"/>
                          </a:solidFill>
                          <a:ln w="12700">
                            <a:solidFill>
                              <a:schemeClr val="accent1"/>
                            </a:solidFill>
                            <a:miter lim="800000"/>
                          </a:ln>
                          <a:effectLst/>
                          <a:sp3d/>
                        </wps:spPr>
                        <wps:style>
                          <a:lnRef idx="0">
                            <a:scrgbClr r="0" g="0" b="0"/>
                          </a:lnRef>
                          <a:fillRef idx="0">
                            <a:scrgbClr r="0" g="0" b="0"/>
                          </a:fillRef>
                          <a:effectRef idx="0">
                            <a:scrgbClr r="0" g="0" b="0"/>
                          </a:effectRef>
                          <a:fontRef idx="none"/>
                        </wps:style>
                        <wps:txbx>
                          <w:txbxContent>
                            <w:p w14:paraId="51834C6C" w14:textId="10A30720" w:rsidR="009175F4" w:rsidRPr="00EC27AB" w:rsidRDefault="00C46D5A" w:rsidP="009175F4">
                              <w:pPr>
                                <w:rPr>
                                  <w:sz w:val="16"/>
                                  <w:szCs w:val="16"/>
                                </w:rPr>
                              </w:pPr>
                              <w:r w:rsidRPr="00EC27AB">
                                <w:rPr>
                                  <w:sz w:val="16"/>
                                  <w:szCs w:val="16"/>
                                </w:rPr>
                                <w:t>Services infonuagiques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wps:bodyPr>
                      </wps:wsp>
                      <wpg:grpSp>
                        <wpg:cNvPr id="16" name="Group 16"/>
                        <wpg:cNvGrpSpPr/>
                        <wpg:grpSpPr>
                          <a:xfrm>
                            <a:off x="0" y="200025"/>
                            <a:ext cx="3738563" cy="1666875"/>
                            <a:chOff x="0" y="0"/>
                            <a:chExt cx="3738563" cy="1666875"/>
                          </a:xfrm>
                        </wpg:grpSpPr>
                        <wps:wsp>
                          <wps:cNvPr id="3" name="Rectangle 3"/>
                          <wps:cNvSpPr/>
                          <wps:spPr>
                            <a:xfrm>
                              <a:off x="1238250" y="9525"/>
                              <a:ext cx="800100" cy="1657350"/>
                            </a:xfrm>
                            <a:prstGeom prst="rect">
                              <a:avLst/>
                            </a:prstGeom>
                            <a:solidFill>
                              <a:srgbClr val="FFFFFF"/>
                            </a:solidFill>
                            <a:ln w="12700">
                              <a:solidFill>
                                <a:schemeClr val="accent1"/>
                              </a:solidFill>
                              <a:miter lim="800000"/>
                            </a:ln>
                            <a:effectLst/>
                            <a:sp3d/>
                          </wps:spPr>
                          <wps:style>
                            <a:lnRef idx="0">
                              <a:scrgbClr r="0" g="0" b="0"/>
                            </a:lnRef>
                            <a:fillRef idx="0">
                              <a:scrgbClr r="0" g="0" b="0"/>
                            </a:fillRef>
                            <a:effectRef idx="0">
                              <a:scrgbClr r="0" g="0" b="0"/>
                            </a:effectRef>
                            <a:fontRef idx="none"/>
                          </wps:style>
                          <wps:txbx>
                            <w:txbxContent>
                              <w:p w14:paraId="668C426D" w14:textId="77777777" w:rsidR="00E141A0" w:rsidRPr="00EC27AB" w:rsidRDefault="009B65F6" w:rsidP="00E141A0">
                                <w:pPr>
                                  <w:jc w:val="center"/>
                                </w:pPr>
                                <w:r w:rsidRPr="00EC27AB">
                                  <w:t>PaaS</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wps:bodyPr>
                        </wps:wsp>
                        <wps:wsp>
                          <wps:cNvPr id="4" name="Rectangle 4"/>
                          <wps:cNvSpPr/>
                          <wps:spPr>
                            <a:xfrm>
                              <a:off x="2590800" y="209550"/>
                              <a:ext cx="800100" cy="1143000"/>
                            </a:xfrm>
                            <a:prstGeom prst="rect">
                              <a:avLst/>
                            </a:prstGeom>
                            <a:solidFill>
                              <a:srgbClr val="FFFFFF"/>
                            </a:solidFill>
                            <a:ln w="12700">
                              <a:solidFill>
                                <a:schemeClr val="accent1"/>
                              </a:solidFill>
                              <a:miter lim="800000"/>
                            </a:ln>
                            <a:effectLst/>
                            <a:sp3d/>
                          </wps:spPr>
                          <wps:style>
                            <a:lnRef idx="0">
                              <a:scrgbClr r="0" g="0" b="0"/>
                            </a:lnRef>
                            <a:fillRef idx="0">
                              <a:scrgbClr r="0" g="0" b="0"/>
                            </a:fillRef>
                            <a:effectRef idx="0">
                              <a:scrgbClr r="0" g="0" b="0"/>
                            </a:effectRef>
                            <a:fontRef idx="none"/>
                          </wps:style>
                          <wps:txbx>
                            <w:txbxContent>
                              <w:p w14:paraId="1C76B23A" w14:textId="77777777" w:rsidR="00E141A0" w:rsidRPr="00EC27AB" w:rsidRDefault="009B65F6" w:rsidP="00E141A0">
                                <w:pPr>
                                  <w:jc w:val="center"/>
                                </w:pPr>
                                <w:r w:rsidRPr="00EC27AB">
                                  <w:t>IaaS</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wps:bodyPr>
                        </wps:wsp>
                        <wps:wsp>
                          <wps:cNvPr id="9" name="Rectangle 9"/>
                          <wps:cNvSpPr/>
                          <wps:spPr>
                            <a:xfrm>
                              <a:off x="2233613" y="0"/>
                              <a:ext cx="1504950" cy="1666875"/>
                            </a:xfrm>
                            <a:prstGeom prst="rect">
                              <a:avLst/>
                            </a:prstGeom>
                            <a:noFill/>
                            <a:ln w="19050">
                              <a:solidFill>
                                <a:schemeClr val="accent1"/>
                              </a:solidFill>
                              <a:prstDash val="dash"/>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wps:wsp>
                          <wps:cNvPr id="11" name="Text Box 11"/>
                          <wps:cNvSpPr txBox="1"/>
                          <wps:spPr>
                            <a:xfrm>
                              <a:off x="2309617" y="9525"/>
                              <a:ext cx="1095373" cy="227963"/>
                            </a:xfrm>
                            <a:prstGeom prst="rect">
                              <a:avLst/>
                            </a:prstGeom>
                            <a:noFill/>
                            <a:ln w="12700">
                              <a:noFill/>
                              <a:miter lim="400000"/>
                            </a:ln>
                            <a:effectLst/>
                            <a:sp3d/>
                          </wps:spPr>
                          <wps:style>
                            <a:lnRef idx="0">
                              <a:scrgbClr r="0" g="0" b="0"/>
                            </a:lnRef>
                            <a:fillRef idx="0">
                              <a:scrgbClr r="0" g="0" b="0"/>
                            </a:fillRef>
                            <a:effectRef idx="0">
                              <a:scrgbClr r="0" g="0" b="0"/>
                            </a:effectRef>
                            <a:fontRef idx="none"/>
                          </wps:style>
                          <wps:txbx>
                            <w:txbxContent>
                              <w:p w14:paraId="6A37E18D" w14:textId="3211CF59" w:rsidR="00E141A0" w:rsidRPr="00EC27AB" w:rsidRDefault="00C46D5A">
                                <w:pPr>
                                  <w:rPr>
                                    <w:sz w:val="16"/>
                                    <w:szCs w:val="16"/>
                                  </w:rPr>
                                </w:pPr>
                                <w:r w:rsidRPr="00EC27AB">
                                  <w:rPr>
                                    <w:sz w:val="16"/>
                                    <w:szCs w:val="16"/>
                                  </w:rPr>
                                  <w:t>Réseau privé</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wps:wsp>
                          <wps:cNvPr id="12" name="Straight Arrow Connector 12"/>
                          <wps:cNvCnPr/>
                          <wps:spPr>
                            <a:xfrm>
                              <a:off x="0" y="476250"/>
                              <a:ext cx="771525" cy="0"/>
                            </a:xfrm>
                            <a:prstGeom prst="straightConnector1">
                              <a:avLst/>
                            </a:prstGeom>
                            <a:noFill/>
                            <a:ln w="12700">
                              <a:solidFill>
                                <a:schemeClr val="accent1"/>
                              </a:solidFill>
                              <a:miter lim="800000"/>
                              <a:tailEnd type="triangle"/>
                            </a:ln>
                            <a:effectLst/>
                            <a:sp3d/>
                          </wps:spPr>
                          <wps:style>
                            <a:lnRef idx="0">
                              <a:scrgbClr r="0" g="0" b="0"/>
                            </a:lnRef>
                            <a:fillRef idx="0">
                              <a:scrgbClr r="0" g="0" b="0"/>
                            </a:fillRef>
                            <a:effectRef idx="0">
                              <a:scrgbClr r="0" g="0" b="0"/>
                            </a:effectRef>
                            <a:fontRef idx="none"/>
                          </wps:style>
                          <wps:bodyPr/>
                        </wps:wsp>
                        <wps:wsp>
                          <wps:cNvPr id="13" name="Rectangle 13"/>
                          <wps:cNvSpPr/>
                          <wps:spPr>
                            <a:xfrm>
                              <a:off x="866775" y="347662"/>
                              <a:ext cx="523875" cy="338138"/>
                            </a:xfrm>
                            <a:prstGeom prst="rect">
                              <a:avLst/>
                            </a:prstGeom>
                            <a:solidFill>
                              <a:srgbClr val="FFFFFF"/>
                            </a:solidFill>
                            <a:ln w="12700">
                              <a:solidFill>
                                <a:schemeClr val="accent1"/>
                              </a:solidFill>
                              <a:miter lim="800000"/>
                            </a:ln>
                            <a:effectLst/>
                            <a:sp3d/>
                          </wps:spPr>
                          <wps:style>
                            <a:lnRef idx="0">
                              <a:scrgbClr r="0" g="0" b="0"/>
                            </a:lnRef>
                            <a:fillRef idx="0">
                              <a:scrgbClr r="0" g="0" b="0"/>
                            </a:fillRef>
                            <a:effectRef idx="0">
                              <a:scrgbClr r="0" g="0" b="0"/>
                            </a:effectRef>
                            <a:fontRef idx="none"/>
                          </wps:style>
                          <wps:txbx>
                            <w:txbxContent>
                              <w:p w14:paraId="0B12C80B" w14:textId="3971EF9A" w:rsidR="00654A42" w:rsidRPr="00EC27AB" w:rsidRDefault="00C46D5A" w:rsidP="00654A42">
                                <w:pPr>
                                  <w:jc w:val="center"/>
                                  <w:rPr>
                                    <w:sz w:val="16"/>
                                    <w:szCs w:val="16"/>
                                  </w:rPr>
                                </w:pPr>
                                <w:r w:rsidRPr="00EC27AB">
                                  <w:rPr>
                                    <w:sz w:val="16"/>
                                    <w:szCs w:val="16"/>
                                  </w:rPr>
                                  <w:t>Point d’extrémité d’API</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wps:bodyPr>
                        </wps:wsp>
                        <wps:wsp>
                          <wps:cNvPr id="15" name="Straight Arrow Connector 15"/>
                          <wps:cNvCnPr/>
                          <wps:spPr>
                            <a:xfrm>
                              <a:off x="1933575" y="509587"/>
                              <a:ext cx="771525" cy="0"/>
                            </a:xfrm>
                            <a:prstGeom prst="straightConnector1">
                              <a:avLst/>
                            </a:prstGeom>
                            <a:noFill/>
                            <a:ln w="12700">
                              <a:solidFill>
                                <a:schemeClr val="accent1"/>
                              </a:solidFill>
                              <a:miter lim="800000"/>
                              <a:tailEnd type="triangle"/>
                            </a:ln>
                            <a:effectLst/>
                            <a:sp3d/>
                          </wps:spPr>
                          <wps:style>
                            <a:lnRef idx="0">
                              <a:scrgbClr r="0" g="0" b="0"/>
                            </a:lnRef>
                            <a:fillRef idx="0">
                              <a:scrgbClr r="0" g="0" b="0"/>
                            </a:fillRef>
                            <a:effectRef idx="0">
                              <a:scrgbClr r="0" g="0" b="0"/>
                            </a:effectRef>
                            <a:fontRef idx="none"/>
                          </wps:style>
                          <wps:bodyPr/>
                        </wps:wsp>
                      </wpg:grpSp>
                      <wps:wsp>
                        <wps:cNvPr id="21" name="Text Box 21"/>
                        <wps:cNvSpPr txBox="1"/>
                        <wps:spPr>
                          <a:xfrm>
                            <a:off x="25400" y="441325"/>
                            <a:ext cx="444498" cy="227963"/>
                          </a:xfrm>
                          <a:prstGeom prst="rect">
                            <a:avLst/>
                          </a:prstGeom>
                          <a:noFill/>
                          <a:ln w="12700">
                            <a:noFill/>
                            <a:miter lim="400000"/>
                          </a:ln>
                          <a:effectLst/>
                          <a:sp3d/>
                        </wps:spPr>
                        <wps:style>
                          <a:lnRef idx="0">
                            <a:scrgbClr r="0" g="0" b="0"/>
                          </a:lnRef>
                          <a:fillRef idx="0">
                            <a:scrgbClr r="0" g="0" b="0"/>
                          </a:fillRef>
                          <a:effectRef idx="0">
                            <a:scrgbClr r="0" g="0" b="0"/>
                          </a:effectRef>
                          <a:fontRef idx="none"/>
                        </wps:style>
                        <wps:txbx>
                          <w:txbxContent>
                            <w:p w14:paraId="593FC1A0" w14:textId="77777777" w:rsidR="0066325F" w:rsidRPr="00EC27AB" w:rsidRDefault="009B65F6" w:rsidP="0066325F">
                              <w:pPr>
                                <w:rPr>
                                  <w:sz w:val="16"/>
                                  <w:szCs w:val="16"/>
                                </w:rPr>
                              </w:pPr>
                              <w:r w:rsidRPr="00EC27AB">
                                <w:rPr>
                                  <w:sz w:val="16"/>
                                  <w:szCs w:val="16"/>
                                </w:rPr>
                                <w:t>Internet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wpg:wgp>
                  </a:graphicData>
                </a:graphic>
              </wp:anchor>
            </w:drawing>
          </mc:Choice>
          <mc:Fallback xmlns:w16sdtdh="http://schemas.microsoft.com/office/word/2020/wordml/sdtdatahash">
            <w:pict>
              <v:group w14:anchorId="3ABCB806" id="Group 23" o:spid="_x0000_s1027" style="position:absolute;margin-left:53.25pt;margin-top:49.3pt;width:321pt;height:158.5pt;z-index:251658240" coordsize="40767,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">
                <v:rect id="Rectangle 20" o:spid="_x0000_s1028" style="position:absolute;left:7112;width:33655;height:2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" strokecolor="#5b9bd5 [3204]" strokeweight="1pt">
                  <v:textbox inset="1.27mm,1.27mm,1.27mm,1.27mm">
                    <w:txbxContent>
                      <w:p w14:paraId="51834C6C" w14:textId="10A30720" w:rsidR="009175F4" w:rsidRPr="00EC27AB" w:rsidRDefault="00C46D5A" w:rsidP="009175F4">
                        <w:pPr>
                          <w:rPr>
                            <w:sz w:val="16"/>
                            <w:szCs w:val="16"/>
                          </w:rPr>
                        </w:pPr>
                        <w:r w:rsidRPr="00EC27AB">
                          <w:rPr>
                            <w:sz w:val="16"/>
                            <w:szCs w:val="16"/>
                          </w:rPr>
                          <w:t>Services infonuagiques</w:t>
                        </w:r>
                      </w:p>
                    </w:txbxContent>
                  </v:textbox>
                </v:rect>
                <v:group id="Group 16" o:spid="_x0000_s1029" style="position:absolute;top:2000;width:37385;height:16669" coordsize="37385,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3" o:spid="_x0000_s1030" style="position:absolute;left:12382;top:95;width:8001;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" strokecolor="#5b9bd5 [3204]" strokeweight="1pt">
                    <v:textbox inset="1.27mm,1.27mm,1.27mm,1.27mm">
                      <w:txbxContent>
                        <w:p w14:paraId="668C426D" w14:textId="77777777" w:rsidR="00E141A0" w:rsidRPr="00EC27AB" w:rsidRDefault="009B65F6" w:rsidP="00E141A0">
                          <w:pPr>
                            <w:jc w:val="center"/>
                          </w:pPr>
                          <w:r w:rsidRPr="00EC27AB">
                            <w:t>PaaS</w:t>
                          </w:r>
                        </w:p>
                      </w:txbxContent>
                    </v:textbox>
                  </v:rect>
                  <v:rect id="Rectangle 4" o:spid="_x0000_s1031" style="position:absolute;left:25908;top:2095;width:800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" strokecolor="#5b9bd5 [3204]" strokeweight="1pt">
                    <v:textbox inset="1.27mm,1.27mm,1.27mm,1.27mm">
                      <w:txbxContent>
                        <w:p w14:paraId="1C76B23A" w14:textId="77777777" w:rsidR="00E141A0" w:rsidRPr="00EC27AB" w:rsidRDefault="009B65F6" w:rsidP="00E141A0">
                          <w:pPr>
                            <w:jc w:val="center"/>
                          </w:pPr>
                          <w:r w:rsidRPr="00EC27AB">
                            <w:t>IaaS</w:t>
                          </w:r>
                        </w:p>
                      </w:txbxContent>
                    </v:textbox>
                  </v:rect>
                  <v:rect id="Rectangle 9" o:spid="_x0000_s1032" style="position:absolute;left:22336;width:15049;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" filled="f" strokecolor="#5b9bd5 [3204]" strokeweight="1.5pt">
                    <v:stroke dashstyle="dash"/>
                    <v:textbox style="mso-fit-shape-to-text:t" inset="1.27mm,1.27mm,1.27mm,1.27mm"/>
                  </v:rect>
                  <v:shape id="Text Box 11" o:spid="_x0000_s1033" type="#_x0000_t202" style="position:absolute;left:23096;top:95;width:1095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" filled="f" stroked="f" strokeweight="1pt">
                    <v:stroke miterlimit="4"/>
                    <v:textbox style="mso-fit-shape-to-text:t" inset="1.27mm,1.27mm,1.27mm,1.27mm">
                      <w:txbxContent>
                        <w:p w14:paraId="6A37E18D" w14:textId="3211CF59" w:rsidR="00E141A0" w:rsidRPr="00EC27AB" w:rsidRDefault="00C46D5A">
                          <w:pPr>
                            <w:rPr>
                              <w:sz w:val="16"/>
                              <w:szCs w:val="16"/>
                            </w:rPr>
                          </w:pPr>
                          <w:r w:rsidRPr="00EC27AB">
                            <w:rPr>
                              <w:sz w:val="16"/>
                              <w:szCs w:val="16"/>
                            </w:rPr>
                            <w:t>Réseau privé</w:t>
                          </w:r>
                        </w:p>
                      </w:txbxContent>
                    </v:textbox>
                  </v:shape>
                  <v:shapetype id="_x0000_t32" coordsize="21600,21600" o:spt="32" o:oned="t" path="m,l21600,21600e" filled="f">
                    <v:path arrowok="t" fillok="f" o:connecttype="none"/>
                    <o:lock v:ext="edit" shapetype="t"/>
                  </v:shapetype>
                  <v:shape id="Straight Arrow Connector 12" o:spid="_x0000_s1034" type="#_x0000_t32" style="position:absolute;top:4762;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" strokecolor="#5b9bd5 [3204]" strokeweight="1pt">
                    <v:stroke endarrow="block" joinstyle="miter"/>
                  </v:shape>
                  <v:rect id="Rectangle 13" o:spid="_x0000_s1035" style="position:absolute;left:8667;top:3476;width:5239;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" strokecolor="#5b9bd5 [3204]" strokeweight="1pt">
                    <v:textbox inset="1.27mm,1.27mm,1.27mm,1.27mm">
                      <w:txbxContent>
                        <w:p w14:paraId="0B12C80B" w14:textId="3971EF9A" w:rsidR="00654A42" w:rsidRPr="00EC27AB" w:rsidRDefault="00C46D5A" w:rsidP="00654A42">
                          <w:pPr>
                            <w:jc w:val="center"/>
                            <w:rPr>
                              <w:sz w:val="16"/>
                              <w:szCs w:val="16"/>
                            </w:rPr>
                          </w:pPr>
                          <w:r w:rsidRPr="00EC27AB">
                            <w:rPr>
                              <w:sz w:val="16"/>
                              <w:szCs w:val="16"/>
                            </w:rPr>
                            <w:t>Point d’extrémité d’API</w:t>
                          </w:r>
                        </w:p>
                      </w:txbxContent>
                    </v:textbox>
                  </v:rect>
                  <v:shape id="Straight Arrow Connector 15" o:spid="_x0000_s1036" type="#_x0000_t32" style="position:absolute;left:19335;top:5095;width: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" strokecolor="#5b9bd5 [3204]" strokeweight="1pt">
                    <v:stroke endarrow="block" joinstyle="miter"/>
                  </v:shape>
                </v:group>
                <v:shape id="Text Box 21" o:spid="_x0000_s1037" type="#_x0000_t202" style="position:absolute;left:254;top:4413;width:444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" filled="f" stroked="f" strokeweight="1pt">
                  <v:stroke miterlimit="4"/>
                  <v:textbox style="mso-fit-shape-to-text:t" inset="1.27mm,1.27mm,1.27mm,1.27mm">
                    <w:txbxContent>
                      <w:p w14:paraId="593FC1A0" w14:textId="77777777" w:rsidR="0066325F" w:rsidRPr="00EC27AB" w:rsidRDefault="009B65F6" w:rsidP="0066325F">
                        <w:pPr>
                          <w:rPr>
                            <w:sz w:val="16"/>
                            <w:szCs w:val="16"/>
                          </w:rPr>
                        </w:pPr>
                        <w:r w:rsidRPr="00EC27AB">
                          <w:rPr>
                            <w:sz w:val="16"/>
                            <w:szCs w:val="16"/>
                          </w:rPr>
                          <w:t>Internet</w:t>
                        </w:r>
                      </w:p>
                    </w:txbxContent>
                  </v:textbox>
                </v:shape>
              </v:group>
            </w:pict>
          </mc:Fallback>
        </mc:AlternateContent>
      </w:r>
      <w:r w:rsidR="00E141A0" w:rsidRPr="002170DB">
        <w:br w:type="page"/>
      </w:r>
    </w:p>
    <w:p w14:paraId="68AEBFCA" w14:textId="1ACD4E2D" w:rsidR="00E40FFB" w:rsidRPr="006F25AE" w:rsidRDefault="00C46D5A" w:rsidP="00E40FFB">
      <w:pPr>
        <w:pStyle w:val="Heading1"/>
        <w:rPr>
          <w:bCs w:val="0"/>
        </w:rPr>
      </w:pPr>
      <w:bookmarkStart w:id="6" w:name="_Toc77159454"/>
      <w:r w:rsidRPr="000E2D21">
        <w:rPr>
          <w:bCs w:val="0"/>
        </w:rPr>
        <w:t>Modèles et anti-modèles d</w:t>
      </w:r>
      <w:r w:rsidR="001F551F" w:rsidRPr="000E2D21">
        <w:rPr>
          <w:bCs w:val="0"/>
        </w:rPr>
        <w:t>’</w:t>
      </w:r>
      <w:r w:rsidRPr="006F25AE">
        <w:rPr>
          <w:bCs w:val="0"/>
        </w:rPr>
        <w:t>architecture</w:t>
      </w:r>
      <w:bookmarkEnd w:id="6"/>
    </w:p>
    <w:p w14:paraId="130098C7" w14:textId="221E8649" w:rsidR="00E40FFB" w:rsidRPr="006F25AE" w:rsidRDefault="00C46D5A" w:rsidP="00E40FFB">
      <w:r w:rsidRPr="006F25AE">
        <w:t>Le présent document contient une collection de modèles et d</w:t>
      </w:r>
      <w:r w:rsidR="001F551F" w:rsidRPr="006F25AE">
        <w:t>’</w:t>
      </w:r>
      <w:r w:rsidRPr="006F25AE">
        <w:t>anti-modèles.</w:t>
      </w:r>
      <w:r w:rsidR="009B65F6" w:rsidRPr="006F25AE">
        <w:t xml:space="preserve"> </w:t>
      </w:r>
      <w:r w:rsidRPr="006F25AE">
        <w:t>Puisque les modèles peuvent favoriser une architecture optimale, les anti-modèles sont tout aussi utiles, car ils aident à éliminer certains choix architecturaux et à illustrer les faiblesses de ces choix.</w:t>
      </w:r>
      <w:r w:rsidR="009B65F6" w:rsidRPr="006F25AE">
        <w:t xml:space="preserve"> </w:t>
      </w:r>
    </w:p>
    <w:p w14:paraId="18F1CF74" w14:textId="77777777" w:rsidR="00D44D20" w:rsidRPr="006F25AE" w:rsidRDefault="00D44D20" w:rsidP="00E40FFB"/>
    <w:p w14:paraId="0FB061B8" w14:textId="0AA8D50A" w:rsidR="00D44D20" w:rsidRPr="006F25AE" w:rsidRDefault="00C46D5A" w:rsidP="00E40FFB">
      <w:r w:rsidRPr="006F25AE">
        <w:t>Chaque modèle et chaque anti-modèle sont présentés avec des références des politiques et une architecture qui peut être appliquée à tout fournisseur de services infonuagiques qui possède les capacités de PaaS décrites dans le présent document.</w:t>
      </w:r>
      <w:r w:rsidR="00106FD6" w:rsidRPr="006F25AE">
        <w:t xml:space="preserve"> </w:t>
      </w:r>
      <w:r w:rsidRPr="006F25AE">
        <w:t>Les architectures de solution sont fournies spécifiquement à chaque fournisseur de services infonuagiques à la fin du document.</w:t>
      </w:r>
      <w:r w:rsidR="00106FD6" w:rsidRPr="006F25AE">
        <w:t xml:space="preserve"> </w:t>
      </w:r>
      <w:r w:rsidRPr="006F25AE">
        <w:t>Toutefois, ces architectures de solutions ne sont pas exhaustives.</w:t>
      </w:r>
      <w:r w:rsidR="00106FD6" w:rsidRPr="006F25AE">
        <w:t xml:space="preserve"> </w:t>
      </w:r>
      <w:r w:rsidRPr="006F25AE">
        <w:t>Le lecteur doit toujours consulter les références techniques du fournisseur de services infonuagiques pour obtenir une couverture plus exhaustive.</w:t>
      </w:r>
    </w:p>
    <w:p w14:paraId="7CA19BBE" w14:textId="77777777" w:rsidR="00696822" w:rsidRPr="006F25AE" w:rsidRDefault="00696822" w:rsidP="00E40FFB"/>
    <w:p w14:paraId="5EE0C84D" w14:textId="36455438" w:rsidR="00E40FFB" w:rsidRPr="006F25AE" w:rsidRDefault="00C46D5A" w:rsidP="00E40FFB">
      <w:pPr>
        <w:pStyle w:val="Heading2"/>
      </w:pPr>
      <w:bookmarkStart w:id="7" w:name="_Toc77159455"/>
      <w:r w:rsidRPr="006F25AE">
        <w:t>Anti-modèle</w:t>
      </w:r>
      <w:r w:rsidR="002170DB" w:rsidRPr="006F25AE">
        <w:t> </w:t>
      </w:r>
      <w:r w:rsidRPr="006F25AE">
        <w:t>1a</w:t>
      </w:r>
      <w:r w:rsidR="002170DB" w:rsidRPr="006F25AE">
        <w:t> </w:t>
      </w:r>
      <w:r w:rsidRPr="006F25AE">
        <w:t>: Transferts par lots</w:t>
      </w:r>
      <w:bookmarkEnd w:id="7"/>
    </w:p>
    <w:p w14:paraId="70710A9C" w14:textId="67899BCC" w:rsidR="00E40FFB" w:rsidRPr="006F25AE" w:rsidRDefault="00C46D5A" w:rsidP="00E40FFB">
      <w:r w:rsidRPr="006F25AE">
        <w:t>Dans cet anti-modèle, les renseignements sont regroupées en lot et transférées en un seul transfert asynchrone de transactions.</w:t>
      </w:r>
    </w:p>
    <w:p w14:paraId="3BB0FE4E" w14:textId="77777777" w:rsidR="00E40FFB" w:rsidRPr="002170DB" w:rsidRDefault="009B65F6" w:rsidP="00134917">
      <w:pPr>
        <w:keepNext/>
        <w:jc w:val="center"/>
      </w:pPr>
      <w:r w:rsidRPr="002170DB">
        <w:rPr>
          <w:noProof/>
        </w:rPr>
        <w:drawing>
          <wp:inline distT="0" distB="0" distL="0" distR="0" wp14:anchorId="33180EEC" wp14:editId="3D013A64">
            <wp:extent cx="4506093" cy="13594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33636" name=""/>
                    <pic:cNvPicPr/>
                  </pic:nvPicPr>
                  <pic:blipFill>
                    <a:blip r:embed="rId26"/>
                    <a:srcRect t="10943" r="35672" b="54556"/>
                    <a:stretch>
                      <a:fillRect/>
                    </a:stretch>
                  </pic:blipFill>
                  <pic:spPr bwMode="auto">
                    <a:xfrm>
                      <a:off x="0" y="0"/>
                      <a:ext cx="4536172" cy="1368482"/>
                    </a:xfrm>
                    <a:prstGeom prst="rect">
                      <a:avLst/>
                    </a:prstGeom>
                    <a:ln>
                      <a:noFill/>
                    </a:ln>
                    <a:extLst>
                      <a:ext uri="{53640926-AAD7-44D8-BBD7-CCE9431645EC}">
                        <a14:shadowObscured xmlns:a14="http://schemas.microsoft.com/office/drawing/2010/main"/>
                      </a:ext>
                    </a:extLst>
                  </pic:spPr>
                </pic:pic>
              </a:graphicData>
            </a:graphic>
          </wp:inline>
        </w:drawing>
      </w:r>
    </w:p>
    <w:p w14:paraId="1018C517" w14:textId="33D56023" w:rsidR="00E40FFB" w:rsidRPr="006F25AE" w:rsidRDefault="009B65F6" w:rsidP="00E40FFB">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6</w:t>
      </w:r>
      <w:r w:rsidR="006A57A9" w:rsidRPr="000E2D21">
        <w:fldChar w:fldCharType="end"/>
      </w:r>
      <w:r w:rsidR="002170DB" w:rsidRPr="002170DB">
        <w:t> </w:t>
      </w:r>
      <w:r w:rsidR="00C46D5A" w:rsidRPr="000E2D21">
        <w:t xml:space="preserve">: Anti-modèle </w:t>
      </w:r>
      <w:r w:rsidR="002170DB" w:rsidRPr="000E2D21">
        <w:t>—</w:t>
      </w:r>
      <w:r w:rsidR="00C46D5A" w:rsidRPr="006F25AE">
        <w:t xml:space="preserve"> transfert par lots</w:t>
      </w:r>
    </w:p>
    <w:p w14:paraId="214DB329" w14:textId="1D06FCE5" w:rsidR="00E40FFB" w:rsidRPr="006F25AE" w:rsidRDefault="00C46D5A" w:rsidP="00E40FFB">
      <w:r w:rsidRPr="006F25AE">
        <w:t>Pourquoi est-ce un anti-modèle?</w:t>
      </w:r>
    </w:p>
    <w:p w14:paraId="3CDF0163" w14:textId="77777777" w:rsidR="00E40FFB" w:rsidRPr="006F25AE" w:rsidRDefault="00E40FFB" w:rsidP="00E40FFB"/>
    <w:p w14:paraId="52451678" w14:textId="26E87574" w:rsidR="00E40FFB" w:rsidRPr="006F25AE" w:rsidRDefault="00C46D5A" w:rsidP="00E40FFB">
      <w:r w:rsidRPr="006F25AE">
        <w:t>Les transferts par lots ne fournissent pas de méthode normalisée pour accéder aux données dans les applications.</w:t>
      </w:r>
      <w:r w:rsidR="009B65F6" w:rsidRPr="006F25AE">
        <w:t xml:space="preserve"> </w:t>
      </w:r>
      <w:r w:rsidRPr="006F25AE">
        <w:t>Même s</w:t>
      </w:r>
      <w:r w:rsidR="001F551F" w:rsidRPr="006F25AE">
        <w:t>’</w:t>
      </w:r>
      <w:r w:rsidRPr="006F25AE">
        <w:t>ils ont fonctionnés pendant des décennies, ils ne sont pas optimisés pour un environnement axé sur l</w:t>
      </w:r>
      <w:r w:rsidR="001F551F" w:rsidRPr="006F25AE">
        <w:t>’</w:t>
      </w:r>
      <w:r w:rsidR="00EC27AB" w:rsidRPr="006F25AE">
        <w:t>IPA</w:t>
      </w:r>
      <w:r w:rsidRPr="006F25AE">
        <w:t>.</w:t>
      </w:r>
      <w:r w:rsidR="009B65F6" w:rsidRPr="006F25AE">
        <w:t xml:space="preserve"> </w:t>
      </w:r>
      <w:r w:rsidRPr="006F25AE">
        <w:t>Ils ne s</w:t>
      </w:r>
      <w:r w:rsidR="001F551F" w:rsidRPr="006F25AE">
        <w:t>’</w:t>
      </w:r>
      <w:r w:rsidRPr="006F25AE">
        <w:t>adaptent pas à une architecture Internet.</w:t>
      </w:r>
      <w:r w:rsidR="009B65F6" w:rsidRPr="006F25AE">
        <w:t xml:space="preserve"> </w:t>
      </w:r>
      <w:r w:rsidRPr="006F25AE">
        <w:t>L</w:t>
      </w:r>
      <w:r w:rsidR="001F551F" w:rsidRPr="006F25AE">
        <w:t>’</w:t>
      </w:r>
      <w:r w:rsidRPr="006F25AE">
        <w:t>autorisation et l</w:t>
      </w:r>
      <w:r w:rsidR="001F551F" w:rsidRPr="006F25AE">
        <w:t>’</w:t>
      </w:r>
      <w:r w:rsidRPr="006F25AE">
        <w:t>authentification ne sont souvent pas normalisées.</w:t>
      </w:r>
      <w:r w:rsidR="009B65F6" w:rsidRPr="006F25AE">
        <w:t xml:space="preserve"> </w:t>
      </w:r>
      <w:r w:rsidRPr="006F25AE">
        <w:t>Les processus d</w:t>
      </w:r>
      <w:r w:rsidR="001F551F" w:rsidRPr="006F25AE">
        <w:t>’</w:t>
      </w:r>
      <w:r w:rsidRPr="006F25AE">
        <w:t>extraction, de transformation et de chargement sont souvent nécessaires et ne fournissent pas de données en temps réel.</w:t>
      </w:r>
    </w:p>
    <w:p w14:paraId="3F7BDBD3" w14:textId="77777777" w:rsidR="00D44D20" w:rsidRPr="006F25AE" w:rsidRDefault="00D44D20" w:rsidP="00E40FFB"/>
    <w:p w14:paraId="0DAD0C84" w14:textId="53F79722" w:rsidR="00D44D20" w:rsidRPr="006F25AE" w:rsidRDefault="00C46D5A" w:rsidP="00E40FFB">
      <w:r w:rsidRPr="006F25AE">
        <w:t>Pour ces raisons, les transferts par lots sont considérés comme un anti-modèle.</w:t>
      </w:r>
    </w:p>
    <w:p w14:paraId="42C5D5C8" w14:textId="77777777" w:rsidR="00E40FFB" w:rsidRPr="006F25AE" w:rsidRDefault="00E40FFB" w:rsidP="00E40FFB"/>
    <w:p w14:paraId="3AA72B7B" w14:textId="77777777" w:rsidR="00696822" w:rsidRPr="006F25AE" w:rsidRDefault="009B65F6">
      <w:r w:rsidRPr="006F25AE">
        <w:br w:type="page"/>
      </w:r>
    </w:p>
    <w:p w14:paraId="3A3BCEA6" w14:textId="77777777" w:rsidR="00E40FFB" w:rsidRPr="006F25AE" w:rsidRDefault="00E40FFB" w:rsidP="00E40FFB"/>
    <w:p w14:paraId="23737C4A" w14:textId="1BD5DB8F" w:rsidR="00E40FFB" w:rsidRPr="006F25AE" w:rsidRDefault="00B674E0" w:rsidP="00E40FFB">
      <w:pPr>
        <w:pStyle w:val="Heading2"/>
      </w:pPr>
      <w:bookmarkStart w:id="8" w:name="_Toc77159456"/>
      <w:r w:rsidRPr="006F25AE">
        <w:t>Modèle 1b</w:t>
      </w:r>
      <w:r w:rsidR="002170DB" w:rsidRPr="006F25AE">
        <w:t> </w:t>
      </w:r>
      <w:r w:rsidRPr="006F25AE">
        <w:t>: Interfaces du programmation d</w:t>
      </w:r>
      <w:r w:rsidR="001F551F" w:rsidRPr="006F25AE">
        <w:t>’</w:t>
      </w:r>
      <w:r w:rsidRPr="006F25AE">
        <w:t>applications (IPA)</w:t>
      </w:r>
      <w:bookmarkEnd w:id="8"/>
    </w:p>
    <w:p w14:paraId="2073EF63" w14:textId="77777777" w:rsidR="00E40FFB" w:rsidRPr="006F25AE" w:rsidRDefault="00E40FFB" w:rsidP="00E40FFB"/>
    <w:p w14:paraId="1AB36DE7" w14:textId="77777777" w:rsidR="00E40FFB" w:rsidRPr="002170DB" w:rsidRDefault="009B65F6" w:rsidP="00E40FFB">
      <w:pPr>
        <w:keepNext/>
      </w:pPr>
      <w:r w:rsidRPr="002170DB">
        <w:rPr>
          <w:noProof/>
        </w:rPr>
        <w:drawing>
          <wp:inline distT="0" distB="0" distL="0" distR="0" wp14:anchorId="7329F32E" wp14:editId="2B631849">
            <wp:extent cx="5147528" cy="1221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42728" name=""/>
                    <pic:cNvPicPr/>
                  </pic:nvPicPr>
                  <pic:blipFill>
                    <a:blip r:embed="rId27"/>
                    <a:srcRect t="9665" r="24180" b="58343"/>
                    <a:stretch>
                      <a:fillRect/>
                    </a:stretch>
                  </pic:blipFill>
                  <pic:spPr bwMode="auto">
                    <a:xfrm>
                      <a:off x="0" y="0"/>
                      <a:ext cx="5159234" cy="1224518"/>
                    </a:xfrm>
                    <a:prstGeom prst="rect">
                      <a:avLst/>
                    </a:prstGeom>
                    <a:ln>
                      <a:noFill/>
                    </a:ln>
                    <a:extLst>
                      <a:ext uri="{53640926-AAD7-44D8-BBD7-CCE9431645EC}">
                        <a14:shadowObscured xmlns:a14="http://schemas.microsoft.com/office/drawing/2010/main"/>
                      </a:ext>
                    </a:extLst>
                  </pic:spPr>
                </pic:pic>
              </a:graphicData>
            </a:graphic>
          </wp:inline>
        </w:drawing>
      </w:r>
    </w:p>
    <w:p w14:paraId="708BEE96" w14:textId="3F20D7E4" w:rsidR="00E40FFB" w:rsidRPr="006F25AE" w:rsidRDefault="009B65F6" w:rsidP="00E40FFB">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7</w:t>
      </w:r>
      <w:r w:rsidR="006A57A9" w:rsidRPr="000E2D21">
        <w:fldChar w:fldCharType="end"/>
      </w:r>
      <w:r w:rsidR="002170DB" w:rsidRPr="002170DB">
        <w:t> </w:t>
      </w:r>
      <w:r w:rsidR="00C46D5A" w:rsidRPr="000E2D21">
        <w:t xml:space="preserve">: Modèle </w:t>
      </w:r>
      <w:r w:rsidR="002170DB" w:rsidRPr="000E2D21">
        <w:t>—</w:t>
      </w:r>
      <w:r w:rsidR="00C46D5A" w:rsidRPr="006F25AE">
        <w:t xml:space="preserve"> Interface de programmation d</w:t>
      </w:r>
      <w:r w:rsidR="001F551F" w:rsidRPr="006F25AE">
        <w:t>’</w:t>
      </w:r>
      <w:r w:rsidR="00C46D5A" w:rsidRPr="006F25AE">
        <w:t>applications</w:t>
      </w:r>
    </w:p>
    <w:p w14:paraId="434CEF1F" w14:textId="7DAC5D8E" w:rsidR="00E40FFB" w:rsidRPr="000E2D21" w:rsidRDefault="00B674E0" w:rsidP="00E40FFB">
      <w:r w:rsidRPr="006F25AE">
        <w:t>Les IPA fournissent une architecture moderne permettant d</w:t>
      </w:r>
      <w:r w:rsidR="001F551F" w:rsidRPr="006F25AE">
        <w:t>’</w:t>
      </w:r>
      <w:r w:rsidRPr="006F25AE">
        <w:t>accéder aux méthodes et aux données dans les applications, les services et les plateformes.</w:t>
      </w:r>
      <w:r w:rsidR="00D44D20" w:rsidRPr="006F25AE">
        <w:t xml:space="preserve"> </w:t>
      </w:r>
      <w:r w:rsidR="00C46D5A" w:rsidRPr="006F25AE">
        <w:t>Elles sont omniprésentes pour les services à l</w:t>
      </w:r>
      <w:r w:rsidR="001F551F" w:rsidRPr="006F25AE">
        <w:t>’</w:t>
      </w:r>
      <w:r w:rsidR="00C46D5A" w:rsidRPr="006F25AE">
        <w:t>échelle d</w:t>
      </w:r>
      <w:r w:rsidR="001F551F" w:rsidRPr="006F25AE">
        <w:t>’</w:t>
      </w:r>
      <w:r w:rsidR="00C46D5A" w:rsidRPr="006F25AE">
        <w:t>Internet.</w:t>
      </w:r>
      <w:r w:rsidR="00D44D20" w:rsidRPr="006F25AE">
        <w:t xml:space="preserve"> </w:t>
      </w:r>
      <w:r w:rsidRPr="006F25AE">
        <w:t>Les fournisseurs de nuage offrent une suite de services et d</w:t>
      </w:r>
      <w:r w:rsidR="001F551F" w:rsidRPr="006F25AE">
        <w:t>’</w:t>
      </w:r>
      <w:r w:rsidRPr="006F25AE">
        <w:t>architectures de plateforme pour prendre en charge une architecture d</w:t>
      </w:r>
      <w:r w:rsidR="001F551F" w:rsidRPr="006F25AE">
        <w:t>’</w:t>
      </w:r>
      <w:r w:rsidRPr="006F25AE">
        <w:t>IPA.</w:t>
      </w:r>
      <w:r w:rsidR="00D44D20" w:rsidRPr="006F25AE">
        <w:t xml:space="preserve"> </w:t>
      </w:r>
      <w:r w:rsidRPr="006F25AE">
        <w:t>Le gouvernement du Canada a publié des procédures obligatoires pour l</w:t>
      </w:r>
      <w:r w:rsidR="001F551F" w:rsidRPr="006F25AE">
        <w:t>’</w:t>
      </w:r>
      <w:r w:rsidRPr="006F25AE">
        <w:t>intégration des IPA.</w:t>
      </w:r>
      <w:r w:rsidR="00D44D20" w:rsidRPr="006F25AE">
        <w:t xml:space="preserve"> </w:t>
      </w:r>
      <w:r w:rsidR="00C46D5A" w:rsidRPr="006F25AE">
        <w:rPr>
          <w:rStyle w:val="Hyperlink"/>
          <w:u w:val="none"/>
        </w:rPr>
        <w:t>L</w:t>
      </w:r>
      <w:r w:rsidR="001F551F" w:rsidRPr="006F25AE">
        <w:rPr>
          <w:rStyle w:val="Hyperlink"/>
          <w:u w:val="none"/>
        </w:rPr>
        <w:t>’</w:t>
      </w:r>
      <w:r w:rsidR="00C46D5A" w:rsidRPr="006F25AE">
        <w:rPr>
          <w:rStyle w:val="Hyperlink"/>
          <w:u w:val="none"/>
        </w:rPr>
        <w:t xml:space="preserve">annexe B de la Directive sur les services et le numérique comprennent des </w:t>
      </w:r>
      <w:hyperlink r:id="rId28" w:history="1">
        <w:r w:rsidR="00C46D5A" w:rsidRPr="000E2D21">
          <w:rPr>
            <w:rStyle w:val="Hyperlink"/>
          </w:rPr>
          <w:t>Procédures obligatoires sur les interfaces de programmation d</w:t>
        </w:r>
        <w:r w:rsidR="001F551F" w:rsidRPr="006F25AE">
          <w:rPr>
            <w:rStyle w:val="Hyperlink"/>
          </w:rPr>
          <w:t>’</w:t>
        </w:r>
        <w:r w:rsidR="00C46D5A" w:rsidRPr="006F25AE">
          <w:rPr>
            <w:rStyle w:val="Hyperlink"/>
          </w:rPr>
          <w:t>applications</w:t>
        </w:r>
      </w:hyperlink>
      <w:r w:rsidR="00C46D5A" w:rsidRPr="002170DB">
        <w:rPr>
          <w:rStyle w:val="Hyperlink"/>
          <w:u w:val="none"/>
        </w:rPr>
        <w:t>.</w:t>
      </w:r>
    </w:p>
    <w:p w14:paraId="797E5133" w14:textId="77777777" w:rsidR="00D44D20" w:rsidRPr="006F25AE" w:rsidRDefault="00D44D20" w:rsidP="00D44D20"/>
    <w:p w14:paraId="7DFE02AA" w14:textId="77777777" w:rsidR="00696822" w:rsidRPr="006F25AE" w:rsidRDefault="00696822" w:rsidP="00D44D20"/>
    <w:tbl>
      <w:tblPr>
        <w:tblStyle w:val="TableGrid"/>
        <w:tblW w:w="0" w:type="auto"/>
        <w:tblLook w:val="04A0" w:firstRow="1" w:lastRow="0" w:firstColumn="1" w:lastColumn="0" w:noHBand="0" w:noVBand="1"/>
      </w:tblPr>
      <w:tblGrid>
        <w:gridCol w:w="9350"/>
      </w:tblGrid>
      <w:tr w:rsidR="00154099" w:rsidRPr="006F25AE" w14:paraId="70C36725" w14:textId="77777777" w:rsidTr="006B7221">
        <w:tc>
          <w:tcPr>
            <w:tcW w:w="9350" w:type="dxa"/>
          </w:tcPr>
          <w:p w14:paraId="14B93EC1" w14:textId="6A071660" w:rsidR="00D44D20" w:rsidRPr="006F25AE" w:rsidRDefault="00C46D5A" w:rsidP="006B7221">
            <w:pPr>
              <w:rPr>
                <w:i/>
                <w:iCs/>
              </w:rPr>
            </w:pPr>
            <w:r w:rsidRPr="006F25AE">
              <w:rPr>
                <w:rStyle w:val="pol-cla-id"/>
                <w:rFonts w:ascii="Helvetica" w:hAnsi="Helvetica"/>
                <w:i/>
                <w:iCs/>
                <w:color w:val="333333"/>
                <w:shd w:val="clear" w:color="auto" w:fill="F9F9F9"/>
              </w:rPr>
              <w:t xml:space="preserve">B.2.2.2 Élaborer les IPA en suivant le modèle Representational State Transfer (REST) (en anglais seulement) par défaut. </w:t>
            </w:r>
            <w:r w:rsidR="00747EF3" w:rsidRPr="006F25AE">
              <w:rPr>
                <w:rFonts w:ascii="Helvetica" w:hAnsi="Helvetica"/>
                <w:i/>
                <w:iCs/>
                <w:color w:val="333333"/>
                <w:shd w:val="clear" w:color="auto" w:fill="F9F9F9"/>
              </w:rPr>
              <w:t>REST est effectivement la norme pour l</w:t>
            </w:r>
            <w:r w:rsidR="001F551F" w:rsidRPr="006F25AE">
              <w:rPr>
                <w:rFonts w:ascii="Helvetica" w:hAnsi="Helvetica"/>
                <w:i/>
                <w:iCs/>
                <w:color w:val="333333"/>
                <w:shd w:val="clear" w:color="auto" w:fill="F9F9F9"/>
              </w:rPr>
              <w:t>’</w:t>
            </w:r>
            <w:r w:rsidR="00747EF3" w:rsidRPr="006F25AE">
              <w:rPr>
                <w:rFonts w:ascii="Helvetica" w:hAnsi="Helvetica"/>
                <w:i/>
                <w:iCs/>
                <w:color w:val="333333"/>
                <w:shd w:val="clear" w:color="auto" w:fill="F9F9F9"/>
              </w:rPr>
              <w:t>intégration avec les services infonuagiques et est également la norme établie par la majorité des autres gouvernements ayant des programmes d</w:t>
            </w:r>
            <w:r w:rsidR="001F551F" w:rsidRPr="006F25AE">
              <w:rPr>
                <w:rFonts w:ascii="Helvetica" w:hAnsi="Helvetica"/>
                <w:i/>
                <w:iCs/>
                <w:color w:val="333333"/>
                <w:shd w:val="clear" w:color="auto" w:fill="F9F9F9"/>
              </w:rPr>
              <w:t>’</w:t>
            </w:r>
            <w:r w:rsidR="00747EF3" w:rsidRPr="006F25AE">
              <w:rPr>
                <w:rFonts w:ascii="Helvetica" w:hAnsi="Helvetica"/>
                <w:i/>
                <w:iCs/>
                <w:color w:val="333333"/>
                <w:shd w:val="clear" w:color="auto" w:fill="F9F9F9"/>
              </w:rPr>
              <w:t>IPA bien établis.</w:t>
            </w:r>
            <w:r w:rsidR="009B65F6" w:rsidRPr="006F25AE">
              <w:rPr>
                <w:rFonts w:ascii="Helvetica" w:hAnsi="Helvetica"/>
                <w:i/>
                <w:iCs/>
                <w:color w:val="333333"/>
                <w:shd w:val="clear" w:color="auto" w:fill="F9F9F9"/>
              </w:rPr>
              <w:t> </w:t>
            </w:r>
          </w:p>
          <w:p w14:paraId="21A9237E" w14:textId="77777777" w:rsidR="00D44D20" w:rsidRPr="006F25AE" w:rsidRDefault="00D44D20" w:rsidP="006B7221"/>
        </w:tc>
      </w:tr>
    </w:tbl>
    <w:p w14:paraId="1358F67F" w14:textId="77777777" w:rsidR="00D44D20" w:rsidRPr="006F25AE" w:rsidRDefault="00D44D20" w:rsidP="00D44D20"/>
    <w:p w14:paraId="56F529F2" w14:textId="77777777" w:rsidR="00E40FFB" w:rsidRPr="006F25AE" w:rsidRDefault="009B65F6" w:rsidP="00E40FFB">
      <w:pPr>
        <w:rPr>
          <w:rFonts w:asciiTheme="majorHAnsi" w:eastAsiaTheme="majorEastAsia" w:hAnsiTheme="majorHAnsi" w:cstheme="majorBidi"/>
          <w:color w:val="2E74B5" w:themeColor="accent1" w:themeShade="BF"/>
          <w:sz w:val="26"/>
          <w:szCs w:val="26"/>
        </w:rPr>
      </w:pPr>
      <w:r w:rsidRPr="006F25AE">
        <w:br w:type="page"/>
      </w:r>
    </w:p>
    <w:p w14:paraId="16571184" w14:textId="65475EB1" w:rsidR="00E40FFB" w:rsidRPr="006F25AE" w:rsidRDefault="00F7415B" w:rsidP="00E40FFB">
      <w:pPr>
        <w:pStyle w:val="Heading2"/>
      </w:pPr>
      <w:bookmarkStart w:id="9" w:name="_Toc77159457"/>
      <w:r w:rsidRPr="006F25AE">
        <w:t>Anti-modèle</w:t>
      </w:r>
      <w:r w:rsidR="002170DB" w:rsidRPr="006F25AE">
        <w:t> </w:t>
      </w:r>
      <w:r w:rsidRPr="006F25AE">
        <w:t>2a</w:t>
      </w:r>
      <w:r w:rsidR="002170DB" w:rsidRPr="006F25AE">
        <w:t> </w:t>
      </w:r>
      <w:r w:rsidRPr="006F25AE">
        <w:t>: Connexion directe client-service</w:t>
      </w:r>
      <w:bookmarkEnd w:id="9"/>
    </w:p>
    <w:p w14:paraId="2547BE4F" w14:textId="77777777" w:rsidR="00E40FFB" w:rsidRPr="006F25AE" w:rsidRDefault="00E40FFB" w:rsidP="00E40FFB"/>
    <w:p w14:paraId="4C5CAFDF" w14:textId="40F6CB2B" w:rsidR="00E40FFB" w:rsidRPr="006F25AE" w:rsidRDefault="00F7415B" w:rsidP="00E40FFB">
      <w:r w:rsidRPr="006F25AE">
        <w:t>Dans ce cas, le client communique directement avec chaque service.</w:t>
      </w:r>
    </w:p>
    <w:p w14:paraId="1AD3C951" w14:textId="77777777" w:rsidR="00E40FFB" w:rsidRPr="002170DB" w:rsidRDefault="009B65F6" w:rsidP="00E40FFB">
      <w:pPr>
        <w:keepNext/>
      </w:pPr>
      <w:r w:rsidRPr="002170DB">
        <w:rPr>
          <w:noProof/>
        </w:rPr>
        <w:drawing>
          <wp:inline distT="0" distB="0" distL="0" distR="0" wp14:anchorId="13A763A4" wp14:editId="17A64A1F">
            <wp:extent cx="5531323" cy="223723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0517" name=""/>
                    <pic:cNvPicPr/>
                  </pic:nvPicPr>
                  <pic:blipFill>
                    <a:blip r:embed="rId29"/>
                    <a:srcRect t="5106" r="14350" b="33307"/>
                    <a:stretch>
                      <a:fillRect/>
                    </a:stretch>
                  </pic:blipFill>
                  <pic:spPr bwMode="auto">
                    <a:xfrm>
                      <a:off x="0" y="0"/>
                      <a:ext cx="5544011" cy="2242364"/>
                    </a:xfrm>
                    <a:prstGeom prst="rect">
                      <a:avLst/>
                    </a:prstGeom>
                    <a:ln>
                      <a:noFill/>
                    </a:ln>
                    <a:extLst>
                      <a:ext uri="{53640926-AAD7-44D8-BBD7-CCE9431645EC}">
                        <a14:shadowObscured xmlns:a14="http://schemas.microsoft.com/office/drawing/2010/main"/>
                      </a:ext>
                    </a:extLst>
                  </pic:spPr>
                </pic:pic>
              </a:graphicData>
            </a:graphic>
          </wp:inline>
        </w:drawing>
      </w:r>
    </w:p>
    <w:p w14:paraId="49DEF0F5" w14:textId="4027D3CD" w:rsidR="00E40FFB" w:rsidRPr="006F25AE" w:rsidRDefault="009B65F6" w:rsidP="00E40FFB">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8</w:t>
      </w:r>
      <w:r w:rsidR="006A57A9" w:rsidRPr="000E2D21">
        <w:fldChar w:fldCharType="end"/>
      </w:r>
      <w:r w:rsidR="002170DB" w:rsidRPr="002170DB">
        <w:t> </w:t>
      </w:r>
      <w:r w:rsidR="00F7415B" w:rsidRPr="000E2D21">
        <w:t xml:space="preserve">: Anti-modèle </w:t>
      </w:r>
      <w:r w:rsidR="002170DB" w:rsidRPr="000E2D21">
        <w:t>—</w:t>
      </w:r>
      <w:r w:rsidR="00F7415B" w:rsidRPr="006F25AE">
        <w:t xml:space="preserve"> direct entre le client et le service</w:t>
      </w:r>
    </w:p>
    <w:p w14:paraId="08CEBA41" w14:textId="7F7C1986" w:rsidR="00E40FFB" w:rsidRPr="006F25AE" w:rsidRDefault="00F7415B" w:rsidP="00E40FFB">
      <w:r w:rsidRPr="006F25AE">
        <w:t>Pourquoi est-ce un anti-modèle?</w:t>
      </w:r>
    </w:p>
    <w:p w14:paraId="7DCBFB85" w14:textId="77777777" w:rsidR="00E40FFB" w:rsidRPr="006F25AE" w:rsidRDefault="00E40FFB" w:rsidP="00E40FFB"/>
    <w:p w14:paraId="157D0818" w14:textId="52F530EB" w:rsidR="00E40FFB" w:rsidRPr="006F25AE" w:rsidRDefault="00F7415B" w:rsidP="00E40FFB">
      <w:r w:rsidRPr="006F25AE">
        <w:t>Dans ce cas, le client communique avec chaque service, de façon individuelle.</w:t>
      </w:r>
      <w:r w:rsidR="00F6152D" w:rsidRPr="006F25AE">
        <w:t xml:space="preserve"> </w:t>
      </w:r>
      <w:r w:rsidRPr="006F25AE">
        <w:t>Chaque service peut nécessiter une ou plusieurs des capacités suivantes</w:t>
      </w:r>
      <w:r w:rsidR="002170DB" w:rsidRPr="006F25AE">
        <w:t> </w:t>
      </w:r>
      <w:r w:rsidRPr="006F25AE">
        <w:t>: authentification, autorisation, facturation, etc.</w:t>
      </w:r>
      <w:r w:rsidR="00F6152D" w:rsidRPr="006F25AE">
        <w:t xml:space="preserve"> </w:t>
      </w:r>
      <w:r w:rsidR="008B7F63" w:rsidRPr="006F25AE">
        <w:t>Dans l</w:t>
      </w:r>
      <w:r w:rsidR="001F551F" w:rsidRPr="006F25AE">
        <w:t>’</w:t>
      </w:r>
      <w:r w:rsidR="008B7F63" w:rsidRPr="006F25AE">
        <w:t>anti-modèle ci-dessus, ces capacités communes ont été intégrées dans les services individuels.</w:t>
      </w:r>
      <w:r w:rsidR="00F6152D" w:rsidRPr="006F25AE">
        <w:t xml:space="preserve"> </w:t>
      </w:r>
      <w:r w:rsidR="008B7F63" w:rsidRPr="006F25AE">
        <w:t>En tant que pratique exemplaire, ces capacités communes doivent être découplées de la logique opérationnelle.</w:t>
      </w:r>
      <w:r w:rsidR="00F6152D" w:rsidRPr="006F25AE">
        <w:t xml:space="preserve"> </w:t>
      </w:r>
      <w:r w:rsidR="008B7F63" w:rsidRPr="006F25AE">
        <w:t>Ces capacités ne font pas partie de la logique opérationnelle exécutée par le service, mais sont plutôt nécessaires pour gérer les interactions entre le service et le client.</w:t>
      </w:r>
      <w:r w:rsidR="00F6152D" w:rsidRPr="006F25AE">
        <w:t xml:space="preserve"> </w:t>
      </w:r>
      <w:r w:rsidR="008B7F63" w:rsidRPr="006F25AE">
        <w:t>Le client peut également être tenu d</w:t>
      </w:r>
      <w:r w:rsidR="001F551F" w:rsidRPr="006F25AE">
        <w:t>’</w:t>
      </w:r>
      <w:r w:rsidR="008B7F63" w:rsidRPr="006F25AE">
        <w:t>accéder à plusieurs services avec plusieurs localisateurs de ressources uniformes (URL).</w:t>
      </w:r>
      <w:r w:rsidR="00F6152D" w:rsidRPr="006F25AE">
        <w:t xml:space="preserve"> </w:t>
      </w:r>
      <w:r w:rsidR="008B7F63" w:rsidRPr="006F25AE">
        <w:t>La mise en place d</w:t>
      </w:r>
      <w:r w:rsidR="001F551F" w:rsidRPr="006F25AE">
        <w:t>’</w:t>
      </w:r>
      <w:r w:rsidR="008B7F63" w:rsidRPr="006F25AE">
        <w:t>une couche de découplage entre le client et les services peut favoriser une souplesse accrue, comme l</w:t>
      </w:r>
      <w:r w:rsidR="001F551F" w:rsidRPr="006F25AE">
        <w:t>’</w:t>
      </w:r>
      <w:r w:rsidR="008B7F63" w:rsidRPr="006F25AE">
        <w:t>ajout d</w:t>
      </w:r>
      <w:r w:rsidR="001F551F" w:rsidRPr="006F25AE">
        <w:t>’</w:t>
      </w:r>
      <w:r w:rsidR="008B7F63" w:rsidRPr="006F25AE">
        <w:t>une compatibilité descendante à mesure que les versions de l</w:t>
      </w:r>
      <w:r w:rsidR="001F551F" w:rsidRPr="006F25AE">
        <w:t>’</w:t>
      </w:r>
      <w:r w:rsidR="00EC27AB" w:rsidRPr="006F25AE">
        <w:t>IPA</w:t>
      </w:r>
      <w:r w:rsidR="008B7F63" w:rsidRPr="006F25AE">
        <w:t xml:space="preserve"> changent.</w:t>
      </w:r>
    </w:p>
    <w:p w14:paraId="78AC2E0C" w14:textId="77777777" w:rsidR="00F6152D" w:rsidRPr="006F25AE" w:rsidRDefault="00F6152D" w:rsidP="00E40FFB"/>
    <w:p w14:paraId="006F7E72" w14:textId="77777777" w:rsidR="00D44D20" w:rsidRPr="006F25AE" w:rsidRDefault="00D44D20" w:rsidP="00E40FFB"/>
    <w:p w14:paraId="50528719" w14:textId="77777777" w:rsidR="00D44D20" w:rsidRPr="006F25AE" w:rsidRDefault="00D44D20" w:rsidP="00E40FFB"/>
    <w:p w14:paraId="09159FF4" w14:textId="77777777" w:rsidR="00E40FFB" w:rsidRPr="006F25AE" w:rsidRDefault="00E40FFB" w:rsidP="00E40FFB"/>
    <w:p w14:paraId="1DA618BA" w14:textId="77777777" w:rsidR="00E40FFB" w:rsidRPr="006F25AE" w:rsidRDefault="00E40FFB" w:rsidP="00E40FFB"/>
    <w:p w14:paraId="080F5D2F" w14:textId="77777777" w:rsidR="00E40FFB" w:rsidRPr="006F25AE" w:rsidRDefault="00E40FFB" w:rsidP="00E40FFB"/>
    <w:p w14:paraId="50767DBC" w14:textId="77777777" w:rsidR="00E40FFB" w:rsidRPr="006F25AE" w:rsidRDefault="009B65F6" w:rsidP="00E40FFB">
      <w:pPr>
        <w:rPr>
          <w:rFonts w:asciiTheme="majorHAnsi" w:eastAsiaTheme="majorEastAsia" w:hAnsiTheme="majorHAnsi" w:cstheme="majorBidi"/>
          <w:color w:val="2E74B5" w:themeColor="accent1" w:themeShade="BF"/>
          <w:sz w:val="26"/>
          <w:szCs w:val="26"/>
        </w:rPr>
      </w:pPr>
      <w:r w:rsidRPr="006F25AE">
        <w:br w:type="page"/>
      </w:r>
    </w:p>
    <w:p w14:paraId="6CC26ED5" w14:textId="23629239" w:rsidR="00E40FFB" w:rsidRPr="006F25AE" w:rsidRDefault="008B7F63" w:rsidP="00E40FFB">
      <w:pPr>
        <w:pStyle w:val="Heading2"/>
      </w:pPr>
      <w:bookmarkStart w:id="10" w:name="_Toc77159458"/>
      <w:r w:rsidRPr="006F25AE">
        <w:t>Modèle 2b</w:t>
      </w:r>
      <w:r w:rsidR="002170DB" w:rsidRPr="006F25AE">
        <w:t> </w:t>
      </w:r>
      <w:r w:rsidRPr="006F25AE">
        <w:t xml:space="preserve">: Passerelle </w:t>
      </w:r>
      <w:r w:rsidR="00EC27AB" w:rsidRPr="006F25AE">
        <w:t>IPA</w:t>
      </w:r>
      <w:r w:rsidRPr="006F25AE">
        <w:t xml:space="preserve"> (proxy inverse)</w:t>
      </w:r>
      <w:bookmarkEnd w:id="10"/>
    </w:p>
    <w:p w14:paraId="7A22E3E7" w14:textId="77777777" w:rsidR="00E40FFB" w:rsidRPr="006F25AE" w:rsidRDefault="00E40FFB" w:rsidP="00E40FFB"/>
    <w:p w14:paraId="278DFEF1" w14:textId="745B6814" w:rsidR="00E40FFB" w:rsidRPr="006F25AE" w:rsidRDefault="00EC0599" w:rsidP="00E40FFB">
      <w:r w:rsidRPr="006F25AE">
        <w:t>Les capacités communes sont regroupées en un seul proxy inverse qui est une façade pour tous les services.</w:t>
      </w:r>
      <w:r w:rsidR="00CF69FA" w:rsidRPr="006F25AE">
        <w:t xml:space="preserve"> </w:t>
      </w:r>
      <w:r w:rsidRPr="006F25AE">
        <w:t>Le client n</w:t>
      </w:r>
      <w:r w:rsidR="001F551F" w:rsidRPr="006F25AE">
        <w:t>’</w:t>
      </w:r>
      <w:r w:rsidRPr="006F25AE">
        <w:t xml:space="preserve">interagit pas directement avec chaque service, mais plutôt avec une passerelle </w:t>
      </w:r>
      <w:r w:rsidR="00EC27AB" w:rsidRPr="006F25AE">
        <w:t>IPA</w:t>
      </w:r>
      <w:r w:rsidRPr="006F25AE">
        <w:t xml:space="preserve"> qui est un proxy inverse pour tous les services.</w:t>
      </w:r>
      <w:r w:rsidR="00CF69FA" w:rsidRPr="006F25AE">
        <w:t xml:space="preserve"> </w:t>
      </w:r>
      <w:r w:rsidRPr="006F25AE">
        <w:t xml:space="preserve">Les fournisseurs de services infonuagiques offrent des fonctionnalités de passerelle </w:t>
      </w:r>
      <w:r w:rsidR="00EC27AB" w:rsidRPr="006F25AE">
        <w:t>IPA</w:t>
      </w:r>
      <w:r w:rsidRPr="006F25AE">
        <w:t xml:space="preserve"> en tant que modèle de PAAS où l</w:t>
      </w:r>
      <w:r w:rsidR="001F551F" w:rsidRPr="006F25AE">
        <w:t>’</w:t>
      </w:r>
      <w:r w:rsidRPr="006F25AE">
        <w:t>infrastructure sous-jacente, y compris l</w:t>
      </w:r>
      <w:r w:rsidR="001F551F" w:rsidRPr="006F25AE">
        <w:t>’</w:t>
      </w:r>
      <w:r w:rsidRPr="006F25AE">
        <w:t>ordinateur, le stockage et le réseautage, est gérée par les fournisseurs de services infonuagiques.</w:t>
      </w:r>
      <w:r w:rsidR="00CF69FA" w:rsidRPr="006F25AE">
        <w:t xml:space="preserve"> </w:t>
      </w:r>
      <w:r w:rsidRPr="006F25AE">
        <w:t>Le modèle ci-dessous suppose qu</w:t>
      </w:r>
      <w:r w:rsidR="001F551F" w:rsidRPr="006F25AE">
        <w:t>’</w:t>
      </w:r>
      <w:r w:rsidRPr="006F25AE">
        <w:t xml:space="preserve">une PaaS livre un modèle pour la passerelle </w:t>
      </w:r>
      <w:r w:rsidR="00EC27AB" w:rsidRPr="006F25AE">
        <w:t>IPA</w:t>
      </w:r>
      <w:r w:rsidRPr="006F25AE">
        <w:t>.</w:t>
      </w:r>
      <w:r w:rsidR="00CF69FA" w:rsidRPr="006F25AE">
        <w:t xml:space="preserve"> </w:t>
      </w:r>
      <w:r w:rsidRPr="006F25AE">
        <w:t>La prestation en tant que modèle de service IaaS n</w:t>
      </w:r>
      <w:r w:rsidR="001F551F" w:rsidRPr="006F25AE">
        <w:t>’</w:t>
      </w:r>
      <w:r w:rsidRPr="006F25AE">
        <w:t>est pas recommandée, car elle exige un fardeau opérationnel plus important, notamment la gestion des correctifs, l</w:t>
      </w:r>
      <w:r w:rsidR="001F551F" w:rsidRPr="006F25AE">
        <w:t>’</w:t>
      </w:r>
      <w:r w:rsidRPr="006F25AE">
        <w:t>évolutivité et la sécurité des composants de l</w:t>
      </w:r>
      <w:r w:rsidR="001F551F" w:rsidRPr="006F25AE">
        <w:t>’</w:t>
      </w:r>
      <w:r w:rsidRPr="006F25AE">
        <w:t>infrastructure.</w:t>
      </w:r>
    </w:p>
    <w:p w14:paraId="0D7A3E4B" w14:textId="77777777" w:rsidR="00E40FFB" w:rsidRPr="006F25AE" w:rsidRDefault="00E40FFB" w:rsidP="00E40FFB"/>
    <w:p w14:paraId="25B47573" w14:textId="4043ADAF" w:rsidR="00E40FFB" w:rsidRPr="006F25AE" w:rsidRDefault="00EC0599" w:rsidP="00E40FFB">
      <w:r w:rsidRPr="006F25AE">
        <w:t>Extrait de l</w:t>
      </w:r>
      <w:r w:rsidR="001F551F" w:rsidRPr="006F25AE">
        <w:t>’</w:t>
      </w:r>
      <w:r w:rsidRPr="006F25AE">
        <w:t xml:space="preserve">Annexe B </w:t>
      </w:r>
      <w:r w:rsidR="002170DB" w:rsidRPr="006F25AE">
        <w:t>—</w:t>
      </w:r>
      <w:r w:rsidRPr="006F25AE">
        <w:t xml:space="preserve"> Procédures obligatoires pour les interfaces de programmation d</w:t>
      </w:r>
      <w:r w:rsidR="001F551F" w:rsidRPr="006F25AE">
        <w:t>’</w:t>
      </w:r>
      <w:r w:rsidRPr="006F25AE">
        <w:t>applications</w:t>
      </w:r>
      <w:r w:rsidR="002170DB" w:rsidRPr="006F25AE">
        <w:t> </w:t>
      </w:r>
      <w:r w:rsidRPr="006F25AE">
        <w:t>:</w:t>
      </w:r>
    </w:p>
    <w:p w14:paraId="170A8B15" w14:textId="77777777" w:rsidR="00E40FFB" w:rsidRPr="006F25AE" w:rsidRDefault="00E40FFB" w:rsidP="00E40FFB"/>
    <w:tbl>
      <w:tblPr>
        <w:tblStyle w:val="TableGrid"/>
        <w:tblW w:w="0" w:type="auto"/>
        <w:tblLook w:val="04A0" w:firstRow="1" w:lastRow="0" w:firstColumn="1" w:lastColumn="0" w:noHBand="0" w:noVBand="1"/>
      </w:tblPr>
      <w:tblGrid>
        <w:gridCol w:w="9350"/>
      </w:tblGrid>
      <w:tr w:rsidR="00154099" w:rsidRPr="006F25AE" w14:paraId="42C8AEB0" w14:textId="77777777" w:rsidTr="006B7221">
        <w:tc>
          <w:tcPr>
            <w:tcW w:w="9350" w:type="dxa"/>
          </w:tcPr>
          <w:p w14:paraId="0A8650FD" w14:textId="40C0956D" w:rsidR="00E40FFB" w:rsidRPr="006F25AE" w:rsidRDefault="00EC0599" w:rsidP="006B7221">
            <w:pPr>
              <w:rPr>
                <w:rFonts w:asciiTheme="majorHAnsi" w:hAnsiTheme="majorHAnsi" w:cstheme="majorHAnsi"/>
                <w:i/>
                <w:iCs/>
                <w:color w:val="333333"/>
                <w:shd w:val="clear" w:color="auto" w:fill="F9F9F9"/>
              </w:rPr>
            </w:pPr>
            <w:r w:rsidRPr="006F25AE">
              <w:rPr>
                <w:rFonts w:asciiTheme="majorHAnsi" w:hAnsiTheme="majorHAnsi" w:cstheme="majorHAnsi"/>
                <w:i/>
                <w:iCs/>
                <w:color w:val="333333"/>
                <w:shd w:val="clear" w:color="auto" w:fill="F9F9F9"/>
              </w:rPr>
              <w:t>B.2.2.5 Appliquez les communications sécurisées en veillant à ce que les données de nature délicate ne soient jamais envoyées au moyen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une connexion non sécuritaire ou non chiffrée, et dans la mesure du possible, les données non délicates devraient aussi être envoyées au moyen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une connexion sécurisée. Activez la version TLS</w:t>
            </w:r>
            <w:r w:rsidR="002170DB" w:rsidRPr="006F25AE">
              <w:rPr>
                <w:rFonts w:asciiTheme="majorHAnsi" w:hAnsiTheme="majorHAnsi" w:cstheme="majorHAnsi"/>
                <w:i/>
                <w:iCs/>
                <w:color w:val="333333"/>
                <w:shd w:val="clear" w:color="auto" w:fill="F9F9F9"/>
              </w:rPr>
              <w:t> </w:t>
            </w:r>
            <w:r w:rsidRPr="006F25AE">
              <w:rPr>
                <w:rFonts w:asciiTheme="majorHAnsi" w:hAnsiTheme="majorHAnsi" w:cstheme="majorHAnsi"/>
                <w:i/>
                <w:iCs/>
                <w:color w:val="333333"/>
                <w:shd w:val="clear" w:color="auto" w:fill="F9F9F9"/>
              </w:rPr>
              <w:t>1.2 ou les versions ultérieures, conformément aux lignes directrices du Centre de la sécurité des télécommunications (CST).</w:t>
            </w:r>
          </w:p>
          <w:p w14:paraId="5DDDC1C4" w14:textId="77777777" w:rsidR="00E40FFB" w:rsidRPr="006F25AE" w:rsidRDefault="00E40FFB" w:rsidP="006B7221">
            <w:pPr>
              <w:rPr>
                <w:rFonts w:asciiTheme="majorHAnsi" w:hAnsiTheme="majorHAnsi" w:cstheme="majorHAnsi"/>
                <w:i/>
                <w:iCs/>
                <w:color w:val="333333"/>
                <w:shd w:val="clear" w:color="auto" w:fill="F9F9F9"/>
              </w:rPr>
            </w:pPr>
          </w:p>
          <w:p w14:paraId="1F5F5D76" w14:textId="79802F03" w:rsidR="00E40FFB" w:rsidRPr="006F25AE" w:rsidRDefault="00EC0599" w:rsidP="006B7221">
            <w:pPr>
              <w:rPr>
                <w:rFonts w:asciiTheme="majorHAnsi" w:hAnsiTheme="majorHAnsi" w:cstheme="majorHAnsi"/>
                <w:i/>
                <w:iCs/>
                <w:color w:val="333333"/>
                <w:shd w:val="clear" w:color="auto" w:fill="F9F9F9"/>
              </w:rPr>
            </w:pPr>
            <w:r w:rsidRPr="006F25AE">
              <w:rPr>
                <w:rFonts w:asciiTheme="majorHAnsi" w:hAnsiTheme="majorHAnsi" w:cstheme="majorHAnsi"/>
                <w:i/>
                <w:iCs/>
                <w:color w:val="333333"/>
                <w:shd w:val="clear" w:color="auto" w:fill="F9F9F9"/>
              </w:rPr>
              <w:t>B.2.2.5.6 Utilisez des passerelles et des données de substitution plutôt que des listes blanches lorsque vous exposez des IPA à Internet.</w:t>
            </w:r>
            <w:r w:rsidRPr="006F25AE">
              <w:rPr>
                <w:rFonts w:asciiTheme="majorHAnsi" w:hAnsiTheme="majorHAnsi" w:cstheme="majorHAnsi"/>
                <w:iCs/>
                <w:color w:val="333333"/>
                <w:shd w:val="clear" w:color="auto" w:fill="F9F9F9"/>
              </w:rPr>
              <w:t xml:space="preserve"> </w:t>
            </w:r>
            <w:r w:rsidRPr="006F25AE">
              <w:rPr>
                <w:rFonts w:asciiTheme="majorHAnsi" w:hAnsiTheme="majorHAnsi" w:cstheme="majorHAnsi"/>
                <w:i/>
                <w:iCs/>
                <w:color w:val="333333"/>
                <w:shd w:val="clear" w:color="auto" w:fill="F9F9F9"/>
              </w:rPr>
              <w:t>Utilisez une couche de passerelle sécurisée pour fournir un point de contrôle de sécurité au lieu de simplement envoyer une liste blanche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adresses de protocole Internet (IP) entrant. La fonctionnalité de passerelle du magasin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IPA peut servir.</w:t>
            </w:r>
            <w:r w:rsidR="009B65F6" w:rsidRPr="006F25AE">
              <w:rPr>
                <w:rFonts w:asciiTheme="majorHAnsi" w:hAnsiTheme="majorHAnsi" w:cstheme="majorHAnsi"/>
                <w:i/>
                <w:iCs/>
                <w:color w:val="333333"/>
                <w:shd w:val="clear" w:color="auto" w:fill="F9F9F9"/>
              </w:rPr>
              <w:t xml:space="preserve"> </w:t>
            </w:r>
            <w:r w:rsidRPr="006F25AE">
              <w:rPr>
                <w:rFonts w:asciiTheme="majorHAnsi" w:hAnsiTheme="majorHAnsi" w:cstheme="majorHAnsi"/>
                <w:i/>
                <w:iCs/>
                <w:color w:val="333333"/>
                <w:shd w:val="clear" w:color="auto" w:fill="F9F9F9"/>
              </w:rPr>
              <w:t>Lorsque vous utilisez des IPA externes, la route passe par des mandataires (sortie) au lieu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utiliser une liste blanche d</w:t>
            </w:r>
            <w:r w:rsidR="001F551F" w:rsidRPr="006F25AE">
              <w:rPr>
                <w:rFonts w:asciiTheme="majorHAnsi" w:hAnsiTheme="majorHAnsi" w:cstheme="majorHAnsi"/>
                <w:i/>
                <w:iCs/>
                <w:color w:val="333333"/>
                <w:shd w:val="clear" w:color="auto" w:fill="F9F9F9"/>
              </w:rPr>
              <w:t>’</w:t>
            </w:r>
            <w:r w:rsidRPr="006F25AE">
              <w:rPr>
                <w:rFonts w:asciiTheme="majorHAnsi" w:hAnsiTheme="majorHAnsi" w:cstheme="majorHAnsi"/>
                <w:i/>
                <w:iCs/>
                <w:color w:val="333333"/>
                <w:shd w:val="clear" w:color="auto" w:fill="F9F9F9"/>
              </w:rPr>
              <w:t>adresses IP sur le pare-feu sortant.</w:t>
            </w:r>
          </w:p>
          <w:p w14:paraId="289148DE" w14:textId="77777777" w:rsidR="00E40FFB" w:rsidRPr="006F25AE" w:rsidRDefault="00E40FFB" w:rsidP="006B7221">
            <w:pPr>
              <w:rPr>
                <w:rFonts w:ascii="Helvetica" w:hAnsi="Helvetica"/>
                <w:i/>
                <w:iCs/>
                <w:color w:val="333333"/>
                <w:shd w:val="clear" w:color="auto" w:fill="F9F9F9"/>
              </w:rPr>
            </w:pPr>
          </w:p>
          <w:p w14:paraId="68A52DAF" w14:textId="5F902DD3"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B.2.2.5.4 Protégez l</w:t>
            </w:r>
            <w:r w:rsidR="001F551F" w:rsidRPr="006F25AE">
              <w:rPr>
                <w:rFonts w:asciiTheme="majorHAnsi" w:hAnsiTheme="majorHAnsi" w:cstheme="majorHAnsi"/>
                <w:i/>
                <w:iCs/>
              </w:rPr>
              <w:t>’</w:t>
            </w:r>
            <w:r w:rsidRPr="006F25AE">
              <w:rPr>
                <w:rFonts w:asciiTheme="majorHAnsi" w:hAnsiTheme="majorHAnsi" w:cstheme="majorHAnsi"/>
                <w:i/>
                <w:iCs/>
              </w:rPr>
              <w:t>accès aux IPA en mettant en œuvre un système de contrôle de l</w:t>
            </w:r>
            <w:r w:rsidR="001F551F" w:rsidRPr="006F25AE">
              <w:rPr>
                <w:rFonts w:asciiTheme="majorHAnsi" w:hAnsiTheme="majorHAnsi" w:cstheme="majorHAnsi"/>
                <w:i/>
                <w:iCs/>
              </w:rPr>
              <w:t>’</w:t>
            </w:r>
            <w:r w:rsidRPr="006F25AE">
              <w:rPr>
                <w:rFonts w:asciiTheme="majorHAnsi" w:hAnsiTheme="majorHAnsi" w:cstheme="majorHAnsi"/>
                <w:i/>
                <w:iCs/>
              </w:rPr>
              <w:t>accès qui empêche la mauvaise innovation des IPA, y compris les références non autorisées aux fonctions et aux données.</w:t>
            </w:r>
            <w:r w:rsidR="009B65F6" w:rsidRPr="006F25AE">
              <w:rPr>
                <w:rFonts w:asciiTheme="majorHAnsi" w:hAnsiTheme="majorHAnsi" w:cstheme="majorHAnsi"/>
                <w:i/>
                <w:iCs/>
              </w:rPr>
              <w:t xml:space="preserve"> </w:t>
            </w:r>
            <w:r w:rsidRPr="006F25AE">
              <w:rPr>
                <w:rFonts w:asciiTheme="majorHAnsi" w:hAnsiTheme="majorHAnsi" w:cstheme="majorHAnsi"/>
                <w:i/>
                <w:iCs/>
              </w:rPr>
              <w:t>Assurez-vous toujours de vous authentifier et d</w:t>
            </w:r>
            <w:r w:rsidR="001F551F" w:rsidRPr="006F25AE">
              <w:rPr>
                <w:rFonts w:asciiTheme="majorHAnsi" w:hAnsiTheme="majorHAnsi" w:cstheme="majorHAnsi"/>
                <w:i/>
                <w:iCs/>
              </w:rPr>
              <w:t>’</w:t>
            </w:r>
            <w:r w:rsidRPr="006F25AE">
              <w:rPr>
                <w:rFonts w:asciiTheme="majorHAnsi" w:hAnsiTheme="majorHAnsi" w:cstheme="majorHAnsi"/>
                <w:i/>
                <w:iCs/>
              </w:rPr>
              <w:t>avoir ou donner les autorisations nécessaires avant toute opération pour limiter l</w:t>
            </w:r>
            <w:r w:rsidR="001F551F" w:rsidRPr="006F25AE">
              <w:rPr>
                <w:rFonts w:asciiTheme="majorHAnsi" w:hAnsiTheme="majorHAnsi" w:cstheme="majorHAnsi"/>
                <w:i/>
                <w:iCs/>
              </w:rPr>
              <w:t>’</w:t>
            </w:r>
            <w:r w:rsidRPr="006F25AE">
              <w:rPr>
                <w:rFonts w:asciiTheme="majorHAnsi" w:hAnsiTheme="majorHAnsi" w:cstheme="majorHAnsi"/>
                <w:i/>
                <w:iCs/>
              </w:rPr>
              <w:t>accès aux IPA aux personnes et/ou aux systèmes autorisés. Utilisez des normes ouvertes, telles que OpenID Connect et Open Authorization</w:t>
            </w:r>
            <w:r w:rsidR="002170DB" w:rsidRPr="006F25AE">
              <w:rPr>
                <w:rFonts w:asciiTheme="majorHAnsi" w:hAnsiTheme="majorHAnsi" w:cstheme="majorHAnsi"/>
                <w:i/>
                <w:iCs/>
              </w:rPr>
              <w:t> </w:t>
            </w:r>
            <w:r w:rsidRPr="006F25AE">
              <w:rPr>
                <w:rFonts w:asciiTheme="majorHAnsi" w:hAnsiTheme="majorHAnsi" w:cstheme="majorHAnsi"/>
                <w:i/>
                <w:iCs/>
              </w:rPr>
              <w:t>2.0 (OAuth</w:t>
            </w:r>
            <w:r w:rsidR="002170DB" w:rsidRPr="006F25AE">
              <w:rPr>
                <w:rFonts w:asciiTheme="majorHAnsi" w:hAnsiTheme="majorHAnsi" w:cstheme="majorHAnsi"/>
                <w:i/>
                <w:iCs/>
              </w:rPr>
              <w:t> </w:t>
            </w:r>
            <w:r w:rsidRPr="006F25AE">
              <w:rPr>
                <w:rFonts w:asciiTheme="majorHAnsi" w:hAnsiTheme="majorHAnsi" w:cstheme="majorHAnsi"/>
                <w:i/>
                <w:iCs/>
              </w:rPr>
              <w:t>2.0) pour les IPA RESTful et le standard Security Assertion Markup Language</w:t>
            </w:r>
            <w:r w:rsidR="002170DB" w:rsidRPr="006F25AE">
              <w:rPr>
                <w:rFonts w:asciiTheme="majorHAnsi" w:hAnsiTheme="majorHAnsi" w:cstheme="majorHAnsi"/>
                <w:i/>
                <w:iCs/>
              </w:rPr>
              <w:t> </w:t>
            </w:r>
            <w:r w:rsidRPr="006F25AE">
              <w:rPr>
                <w:rFonts w:asciiTheme="majorHAnsi" w:hAnsiTheme="majorHAnsi" w:cstheme="majorHAnsi"/>
                <w:i/>
                <w:iCs/>
              </w:rPr>
              <w:t>2.0 (SAML</w:t>
            </w:r>
            <w:r w:rsidR="002170DB" w:rsidRPr="006F25AE">
              <w:rPr>
                <w:rFonts w:asciiTheme="majorHAnsi" w:hAnsiTheme="majorHAnsi" w:cstheme="majorHAnsi"/>
                <w:i/>
                <w:iCs/>
              </w:rPr>
              <w:t> </w:t>
            </w:r>
            <w:r w:rsidRPr="006F25AE">
              <w:rPr>
                <w:rFonts w:asciiTheme="majorHAnsi" w:hAnsiTheme="majorHAnsi" w:cstheme="majorHAnsi"/>
                <w:i/>
                <w:iCs/>
              </w:rPr>
              <w:t>2.0) pour les IPA SOAP.</w:t>
            </w:r>
            <w:r w:rsidR="009B65F6" w:rsidRPr="006F25AE">
              <w:rPr>
                <w:rFonts w:asciiTheme="majorHAnsi" w:hAnsiTheme="majorHAnsi" w:cstheme="majorHAnsi"/>
                <w:i/>
                <w:iCs/>
              </w:rPr>
              <w:t xml:space="preserve"> </w:t>
            </w:r>
            <w:r w:rsidRPr="006F25AE">
              <w:rPr>
                <w:rFonts w:asciiTheme="majorHAnsi" w:hAnsiTheme="majorHAnsi" w:cstheme="majorHAnsi"/>
                <w:i/>
                <w:iCs/>
              </w:rPr>
              <w:t>Assurez-vous que la clé/le code secret de l</w:t>
            </w:r>
            <w:r w:rsidR="001F551F" w:rsidRPr="006F25AE">
              <w:rPr>
                <w:rFonts w:asciiTheme="majorHAnsi" w:hAnsiTheme="majorHAnsi" w:cstheme="majorHAnsi"/>
                <w:i/>
                <w:iCs/>
              </w:rPr>
              <w:t>’</w:t>
            </w:r>
            <w:r w:rsidRPr="006F25AE">
              <w:rPr>
                <w:rFonts w:asciiTheme="majorHAnsi" w:hAnsiTheme="majorHAnsi" w:cstheme="majorHAnsi"/>
                <w:i/>
                <w:iCs/>
              </w:rPr>
              <w:t>IPA sont correctement protégés.</w:t>
            </w:r>
            <w:r w:rsidR="009B65F6" w:rsidRPr="006F25AE">
              <w:rPr>
                <w:i/>
                <w:iCs/>
              </w:rPr>
              <w:t xml:space="preserve"> </w:t>
            </w:r>
            <w:r w:rsidRPr="006F25AE">
              <w:rPr>
                <w:i/>
                <w:iCs/>
              </w:rPr>
              <w:t>Les IPA doivent être sécurisées à l</w:t>
            </w:r>
            <w:r w:rsidR="001F551F" w:rsidRPr="006F25AE">
              <w:rPr>
                <w:i/>
                <w:iCs/>
              </w:rPr>
              <w:t>’</w:t>
            </w:r>
            <w:r w:rsidRPr="006F25AE">
              <w:rPr>
                <w:i/>
                <w:iCs/>
              </w:rPr>
              <w:t>aide d</w:t>
            </w:r>
            <w:r w:rsidR="001F551F" w:rsidRPr="006F25AE">
              <w:rPr>
                <w:i/>
                <w:iCs/>
              </w:rPr>
              <w:t>’</w:t>
            </w:r>
            <w:r w:rsidRPr="006F25AE">
              <w:rPr>
                <w:i/>
                <w:iCs/>
              </w:rPr>
              <w:t>une clé IPA pour permettre le suivi de l</w:t>
            </w:r>
            <w:r w:rsidR="001F551F" w:rsidRPr="006F25AE">
              <w:rPr>
                <w:i/>
                <w:iCs/>
              </w:rPr>
              <w:t>’</w:t>
            </w:r>
            <w:r w:rsidRPr="006F25AE">
              <w:rPr>
                <w:i/>
                <w:iCs/>
              </w:rPr>
              <w:t>utilisation, mais aussi pour permettre d</w:t>
            </w:r>
            <w:r w:rsidR="001F551F" w:rsidRPr="006F25AE">
              <w:rPr>
                <w:i/>
                <w:iCs/>
              </w:rPr>
              <w:t>’</w:t>
            </w:r>
            <w:r w:rsidRPr="006F25AE">
              <w:rPr>
                <w:i/>
                <w:iCs/>
              </w:rPr>
              <w:t>identifier et de prévenir toute utilisation malveillante potentielle.</w:t>
            </w:r>
            <w:r w:rsidR="009B65F6" w:rsidRPr="006F25AE">
              <w:rPr>
                <w:rFonts w:asciiTheme="majorHAnsi" w:hAnsiTheme="majorHAnsi" w:cstheme="majorHAnsi"/>
                <w:i/>
                <w:iCs/>
              </w:rPr>
              <w:t xml:space="preserve"> </w:t>
            </w:r>
            <w:r w:rsidRPr="006F25AE">
              <w:rPr>
                <w:rFonts w:asciiTheme="majorHAnsi" w:hAnsiTheme="majorHAnsi" w:cstheme="majorHAnsi"/>
                <w:i/>
                <w:iCs/>
              </w:rPr>
              <w:t>Les IPA de données ouvertes doivent être sécurisées à l</w:t>
            </w:r>
            <w:r w:rsidR="001F551F" w:rsidRPr="006F25AE">
              <w:rPr>
                <w:rFonts w:asciiTheme="majorHAnsi" w:hAnsiTheme="majorHAnsi" w:cstheme="majorHAnsi"/>
                <w:i/>
                <w:iCs/>
              </w:rPr>
              <w:t>’</w:t>
            </w:r>
            <w:r w:rsidRPr="006F25AE">
              <w:rPr>
                <w:rFonts w:asciiTheme="majorHAnsi" w:hAnsiTheme="majorHAnsi" w:cstheme="majorHAnsi"/>
                <w:i/>
                <w:iCs/>
              </w:rPr>
              <w:t>aide d</w:t>
            </w:r>
            <w:r w:rsidR="001F551F" w:rsidRPr="006F25AE">
              <w:rPr>
                <w:rFonts w:asciiTheme="majorHAnsi" w:hAnsiTheme="majorHAnsi" w:cstheme="majorHAnsi"/>
                <w:i/>
                <w:iCs/>
              </w:rPr>
              <w:t>’</w:t>
            </w:r>
            <w:r w:rsidRPr="006F25AE">
              <w:rPr>
                <w:rFonts w:asciiTheme="majorHAnsi" w:hAnsiTheme="majorHAnsi" w:cstheme="majorHAnsi"/>
                <w:i/>
                <w:iCs/>
              </w:rPr>
              <w:t>une clé IPA pour permettre le suivi de l</w:t>
            </w:r>
            <w:r w:rsidR="001F551F" w:rsidRPr="006F25AE">
              <w:rPr>
                <w:rFonts w:asciiTheme="majorHAnsi" w:hAnsiTheme="majorHAnsi" w:cstheme="majorHAnsi"/>
                <w:i/>
                <w:iCs/>
              </w:rPr>
              <w:t>’</w:t>
            </w:r>
            <w:r w:rsidRPr="006F25AE">
              <w:rPr>
                <w:rFonts w:asciiTheme="majorHAnsi" w:hAnsiTheme="majorHAnsi" w:cstheme="majorHAnsi"/>
                <w:i/>
                <w:iCs/>
              </w:rPr>
              <w:t>utilisation, mais aussi pour permettre d</w:t>
            </w:r>
            <w:r w:rsidR="001F551F" w:rsidRPr="006F25AE">
              <w:rPr>
                <w:rFonts w:asciiTheme="majorHAnsi" w:hAnsiTheme="majorHAnsi" w:cstheme="majorHAnsi"/>
                <w:i/>
                <w:iCs/>
              </w:rPr>
              <w:t>’</w:t>
            </w:r>
            <w:r w:rsidRPr="006F25AE">
              <w:rPr>
                <w:rFonts w:asciiTheme="majorHAnsi" w:hAnsiTheme="majorHAnsi" w:cstheme="majorHAnsi"/>
                <w:i/>
                <w:iCs/>
              </w:rPr>
              <w:t>identifier et de prévenir toute utilisation malveillante potentielle.</w:t>
            </w:r>
          </w:p>
          <w:p w14:paraId="23D685E4" w14:textId="77777777" w:rsidR="00E40FFB" w:rsidRPr="006F25AE" w:rsidRDefault="00E40FFB" w:rsidP="006B7221">
            <w:pPr>
              <w:rPr>
                <w:rFonts w:asciiTheme="majorHAnsi" w:hAnsiTheme="majorHAnsi" w:cstheme="majorHAnsi"/>
                <w:i/>
                <w:iCs/>
              </w:rPr>
            </w:pPr>
          </w:p>
          <w:p w14:paraId="77DB4435" w14:textId="043A97B3"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B.2.2.5.9 Consignez et surveillez le rendement et l</w:t>
            </w:r>
            <w:r w:rsidR="001F551F" w:rsidRPr="006F25AE">
              <w:rPr>
                <w:rFonts w:asciiTheme="majorHAnsi" w:hAnsiTheme="majorHAnsi" w:cstheme="majorHAnsi"/>
                <w:i/>
                <w:iCs/>
              </w:rPr>
              <w:t>’</w:t>
            </w:r>
            <w:r w:rsidRPr="006F25AE">
              <w:rPr>
                <w:rFonts w:asciiTheme="majorHAnsi" w:hAnsiTheme="majorHAnsi" w:cstheme="majorHAnsi"/>
                <w:i/>
                <w:iCs/>
              </w:rPr>
              <w:t>activité en faisant le suivi de l</w:t>
            </w:r>
            <w:r w:rsidR="001F551F" w:rsidRPr="006F25AE">
              <w:rPr>
                <w:rFonts w:asciiTheme="majorHAnsi" w:hAnsiTheme="majorHAnsi" w:cstheme="majorHAnsi"/>
                <w:i/>
                <w:iCs/>
              </w:rPr>
              <w:t>’</w:t>
            </w:r>
            <w:r w:rsidRPr="006F25AE">
              <w:rPr>
                <w:rFonts w:asciiTheme="majorHAnsi" w:hAnsiTheme="majorHAnsi" w:cstheme="majorHAnsi"/>
                <w:i/>
                <w:iCs/>
              </w:rPr>
              <w:t>utilisation et de la surveillance des activités suspectes anormales y compris des tendances d</w:t>
            </w:r>
            <w:r w:rsidR="001F551F" w:rsidRPr="006F25AE">
              <w:rPr>
                <w:rFonts w:asciiTheme="majorHAnsi" w:hAnsiTheme="majorHAnsi" w:cstheme="majorHAnsi"/>
                <w:i/>
                <w:iCs/>
              </w:rPr>
              <w:t>’</w:t>
            </w:r>
            <w:r w:rsidRPr="006F25AE">
              <w:rPr>
                <w:rFonts w:asciiTheme="majorHAnsi" w:hAnsiTheme="majorHAnsi" w:cstheme="majorHAnsi"/>
                <w:i/>
                <w:iCs/>
              </w:rPr>
              <w:t>accès anormal comme les demandes après les heures normales, les demandes de données volumineuses, entre autres.</w:t>
            </w:r>
            <w:r w:rsidR="009B65F6" w:rsidRPr="006F25AE">
              <w:rPr>
                <w:rFonts w:asciiTheme="majorHAnsi" w:hAnsiTheme="majorHAnsi" w:cstheme="majorHAnsi"/>
                <w:i/>
                <w:iCs/>
              </w:rPr>
              <w:t xml:space="preserve"> </w:t>
            </w:r>
            <w:r w:rsidRPr="006F25AE">
              <w:rPr>
                <w:rFonts w:asciiTheme="majorHAnsi" w:hAnsiTheme="majorHAnsi" w:cstheme="majorHAnsi"/>
                <w:i/>
                <w:iCs/>
              </w:rPr>
              <w:t>Utilisez des normes d</w:t>
            </w:r>
            <w:r w:rsidR="001F551F" w:rsidRPr="006F25AE">
              <w:rPr>
                <w:rFonts w:asciiTheme="majorHAnsi" w:hAnsiTheme="majorHAnsi" w:cstheme="majorHAnsi"/>
                <w:i/>
                <w:iCs/>
              </w:rPr>
              <w:t>’</w:t>
            </w:r>
            <w:r w:rsidRPr="006F25AE">
              <w:rPr>
                <w:rFonts w:asciiTheme="majorHAnsi" w:hAnsiTheme="majorHAnsi" w:cstheme="majorHAnsi"/>
                <w:i/>
                <w:iCs/>
              </w:rPr>
              <w:t>enregistrement dans les journaux (p. ex., format d</w:t>
            </w:r>
            <w:r w:rsidR="001F551F" w:rsidRPr="006F25AE">
              <w:rPr>
                <w:rFonts w:asciiTheme="majorHAnsi" w:hAnsiTheme="majorHAnsi" w:cstheme="majorHAnsi"/>
                <w:i/>
                <w:iCs/>
              </w:rPr>
              <w:t>’</w:t>
            </w:r>
            <w:r w:rsidRPr="006F25AE">
              <w:rPr>
                <w:rFonts w:asciiTheme="majorHAnsi" w:hAnsiTheme="majorHAnsi" w:cstheme="majorHAnsi"/>
                <w:i/>
                <w:iCs/>
              </w:rPr>
              <w:t>événement commun) et intégrez les journaux de manière centralisée.</w:t>
            </w:r>
            <w:r w:rsidR="009B65F6" w:rsidRPr="006F25AE">
              <w:rPr>
                <w:rFonts w:asciiTheme="majorHAnsi" w:hAnsiTheme="majorHAnsi" w:cstheme="majorHAnsi"/>
                <w:i/>
                <w:iCs/>
              </w:rPr>
              <w:t xml:space="preserve"> </w:t>
            </w:r>
            <w:r w:rsidRPr="006F25AE">
              <w:rPr>
                <w:rFonts w:asciiTheme="majorHAnsi" w:hAnsiTheme="majorHAnsi" w:cstheme="majorHAnsi"/>
                <w:i/>
                <w:iCs/>
              </w:rPr>
              <w:t>Relevez les dépendances et surveillez les vulnérabilités, en particulier celles des temps d</w:t>
            </w:r>
            <w:r w:rsidR="001F551F" w:rsidRPr="006F25AE">
              <w:rPr>
                <w:rFonts w:asciiTheme="majorHAnsi" w:hAnsiTheme="majorHAnsi" w:cstheme="majorHAnsi"/>
                <w:i/>
                <w:iCs/>
              </w:rPr>
              <w:t>’</w:t>
            </w:r>
            <w:r w:rsidRPr="006F25AE">
              <w:rPr>
                <w:rFonts w:asciiTheme="majorHAnsi" w:hAnsiTheme="majorHAnsi" w:cstheme="majorHAnsi"/>
                <w:i/>
                <w:iCs/>
              </w:rPr>
              <w:t>exécution téléchargés qui fonctionnent comme composante de l</w:t>
            </w:r>
            <w:r w:rsidR="001F551F" w:rsidRPr="006F25AE">
              <w:rPr>
                <w:rFonts w:asciiTheme="majorHAnsi" w:hAnsiTheme="majorHAnsi" w:cstheme="majorHAnsi"/>
                <w:i/>
                <w:iCs/>
              </w:rPr>
              <w:t>’</w:t>
            </w:r>
            <w:r w:rsidRPr="006F25AE">
              <w:rPr>
                <w:rFonts w:asciiTheme="majorHAnsi" w:hAnsiTheme="majorHAnsi" w:cstheme="majorHAnsi"/>
                <w:i/>
                <w:iCs/>
              </w:rPr>
              <w:t>IPA.</w:t>
            </w:r>
            <w:r w:rsidR="009B65F6" w:rsidRPr="006F25AE">
              <w:rPr>
                <w:rFonts w:asciiTheme="majorHAnsi" w:hAnsiTheme="majorHAnsi" w:cstheme="majorHAnsi"/>
                <w:i/>
                <w:iCs/>
              </w:rPr>
              <w:t xml:space="preserve"> </w:t>
            </w:r>
            <w:r w:rsidRPr="006F25AE">
              <w:rPr>
                <w:rFonts w:asciiTheme="majorHAnsi" w:hAnsiTheme="majorHAnsi" w:cstheme="majorHAnsi"/>
                <w:i/>
                <w:iCs/>
              </w:rPr>
              <w:t>Les événements suspects doivent être transmis à la fonction ou à l</w:t>
            </w:r>
            <w:r w:rsidR="001F551F" w:rsidRPr="006F25AE">
              <w:rPr>
                <w:rFonts w:asciiTheme="majorHAnsi" w:hAnsiTheme="majorHAnsi" w:cstheme="majorHAnsi"/>
                <w:i/>
                <w:iCs/>
              </w:rPr>
              <w:t>’</w:t>
            </w:r>
            <w:r w:rsidRPr="006F25AE">
              <w:rPr>
                <w:rFonts w:asciiTheme="majorHAnsi" w:hAnsiTheme="majorHAnsi" w:cstheme="majorHAnsi"/>
                <w:i/>
                <w:iCs/>
              </w:rPr>
              <w:t>autorité compétente en matière d</w:t>
            </w:r>
            <w:r w:rsidR="001F551F" w:rsidRPr="006F25AE">
              <w:rPr>
                <w:rFonts w:asciiTheme="majorHAnsi" w:hAnsiTheme="majorHAnsi" w:cstheme="majorHAnsi"/>
                <w:i/>
                <w:iCs/>
              </w:rPr>
              <w:t>’</w:t>
            </w:r>
            <w:r w:rsidRPr="006F25AE">
              <w:rPr>
                <w:rFonts w:asciiTheme="majorHAnsi" w:hAnsiTheme="majorHAnsi" w:cstheme="majorHAnsi"/>
                <w:i/>
                <w:iCs/>
              </w:rPr>
              <w:t>opérations de sécurité, conformément aux politiques du gouvernement du Canada en matière de cybersécurité et au Plan de gestion des événements de cybersécurité du gouvernement du Canada.</w:t>
            </w:r>
          </w:p>
          <w:p w14:paraId="31D490ED" w14:textId="77777777" w:rsidR="00E40FFB" w:rsidRPr="006F25AE" w:rsidRDefault="00E40FFB" w:rsidP="006B7221"/>
        </w:tc>
      </w:tr>
    </w:tbl>
    <w:p w14:paraId="27E26091" w14:textId="77777777" w:rsidR="00E40FFB" w:rsidRPr="006F25AE" w:rsidRDefault="00E40FFB" w:rsidP="00E40FFB"/>
    <w:p w14:paraId="329F7138" w14:textId="77777777" w:rsidR="00E40FFB" w:rsidRPr="002170DB" w:rsidRDefault="009B65F6" w:rsidP="00E40FFB">
      <w:pPr>
        <w:keepNext/>
      </w:pPr>
      <w:r w:rsidRPr="002170DB">
        <w:rPr>
          <w:noProof/>
        </w:rPr>
        <w:drawing>
          <wp:inline distT="0" distB="0" distL="0" distR="0" wp14:anchorId="61763BEF" wp14:editId="0FE63444">
            <wp:extent cx="5278056" cy="2840736"/>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6734" name=""/>
                    <pic:cNvPicPr/>
                  </pic:nvPicPr>
                  <pic:blipFill>
                    <a:blip r:embed="rId30"/>
                    <a:srcRect t="4558" r="18249" b="17219"/>
                    <a:stretch>
                      <a:fillRect/>
                    </a:stretch>
                  </pic:blipFill>
                  <pic:spPr bwMode="auto">
                    <a:xfrm>
                      <a:off x="0" y="0"/>
                      <a:ext cx="5284878" cy="2844407"/>
                    </a:xfrm>
                    <a:prstGeom prst="rect">
                      <a:avLst/>
                    </a:prstGeom>
                    <a:ln>
                      <a:noFill/>
                    </a:ln>
                    <a:extLst>
                      <a:ext uri="{53640926-AAD7-44D8-BBD7-CCE9431645EC}">
                        <a14:shadowObscured xmlns:a14="http://schemas.microsoft.com/office/drawing/2010/main"/>
                      </a:ext>
                    </a:extLst>
                  </pic:spPr>
                </pic:pic>
              </a:graphicData>
            </a:graphic>
          </wp:inline>
        </w:drawing>
      </w:r>
    </w:p>
    <w:p w14:paraId="29C74351" w14:textId="2232CD0C" w:rsidR="00E40FFB" w:rsidRPr="006F25AE" w:rsidRDefault="009B65F6" w:rsidP="00E40FFB">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9</w:t>
      </w:r>
      <w:r w:rsidR="006A57A9" w:rsidRPr="000E2D21">
        <w:fldChar w:fldCharType="end"/>
      </w:r>
      <w:r w:rsidR="002170DB" w:rsidRPr="002170DB">
        <w:t> </w:t>
      </w:r>
      <w:r w:rsidR="00EC0599" w:rsidRPr="000E2D21">
        <w:t xml:space="preserve">: Modèle </w:t>
      </w:r>
      <w:r w:rsidR="002170DB" w:rsidRPr="000E2D21">
        <w:t>—</w:t>
      </w:r>
      <w:r w:rsidR="00EC0599" w:rsidRPr="006F25AE">
        <w:t xml:space="preserve"> Proxy inverse avec passerelle IPA</w:t>
      </w:r>
    </w:p>
    <w:p w14:paraId="5C6E4953" w14:textId="77777777" w:rsidR="00E40FFB" w:rsidRPr="006F25AE" w:rsidRDefault="00E40FFB" w:rsidP="00E40FFB"/>
    <w:p w14:paraId="0DFFD943" w14:textId="11F11A68" w:rsidR="00E40FFB" w:rsidRPr="006F25AE" w:rsidRDefault="00EC0599" w:rsidP="00E40FFB">
      <w:r w:rsidRPr="006F25AE">
        <w:t>Les passerelles IPA offrent les fonctionnalités suivantes</w:t>
      </w:r>
      <w:r w:rsidR="002170DB" w:rsidRPr="006F25AE">
        <w:t> </w:t>
      </w:r>
      <w:r w:rsidRPr="006F25AE">
        <w:t>:</w:t>
      </w:r>
      <w:r w:rsidR="0075164E" w:rsidRPr="006F25AE">
        <w:t xml:space="preserve"> </w:t>
      </w:r>
    </w:p>
    <w:p w14:paraId="2B3E863B" w14:textId="77777777" w:rsidR="00E40FFB" w:rsidRPr="006F25AE" w:rsidRDefault="00E40FFB" w:rsidP="00E40FFB"/>
    <w:p w14:paraId="18B04354" w14:textId="698EC179" w:rsidR="00E40FFB" w:rsidRPr="006F25AE" w:rsidRDefault="00EC0599" w:rsidP="00E40FFB">
      <w:r w:rsidRPr="006F25AE">
        <w:rPr>
          <w:bCs/>
        </w:rPr>
        <w:t>L</w:t>
      </w:r>
      <w:r w:rsidR="001F551F" w:rsidRPr="006F25AE">
        <w:rPr>
          <w:bCs/>
        </w:rPr>
        <w:t>’</w:t>
      </w:r>
      <w:r w:rsidRPr="006F25AE">
        <w:rPr>
          <w:b/>
          <w:bCs/>
        </w:rPr>
        <w:t>authentification</w:t>
      </w:r>
      <w:r w:rsidRPr="006F25AE">
        <w:rPr>
          <w:bCs/>
        </w:rPr>
        <w:t xml:space="preserve"> est le contrôle de la tentative de connexion.</w:t>
      </w:r>
      <w:r w:rsidR="00CF69FA" w:rsidRPr="006F25AE">
        <w:t xml:space="preserve"> </w:t>
      </w:r>
      <w:r w:rsidRPr="006F25AE">
        <w:t>Le client fournit des justificatifs d</w:t>
      </w:r>
      <w:r w:rsidR="001F551F" w:rsidRPr="006F25AE">
        <w:t>’</w:t>
      </w:r>
      <w:r w:rsidRPr="006F25AE">
        <w:t>identité qui sont vérifiés avant l</w:t>
      </w:r>
      <w:r w:rsidR="001F551F" w:rsidRPr="006F25AE">
        <w:t>’</w:t>
      </w:r>
      <w:r w:rsidRPr="006F25AE">
        <w:t>octroi de l</w:t>
      </w:r>
      <w:r w:rsidR="001F551F" w:rsidRPr="006F25AE">
        <w:t>’</w:t>
      </w:r>
      <w:r w:rsidRPr="006F25AE">
        <w:t>accès.</w:t>
      </w:r>
      <w:r w:rsidR="00CF69FA" w:rsidRPr="006F25AE">
        <w:t xml:space="preserve"> </w:t>
      </w:r>
      <w:r w:rsidRPr="006F25AE">
        <w:t>Ces justificatifs d</w:t>
      </w:r>
      <w:r w:rsidR="001F551F" w:rsidRPr="006F25AE">
        <w:t>’</w:t>
      </w:r>
      <w:r w:rsidRPr="006F25AE">
        <w:t>identité peuvent être en texte clair (non recommandé) ou chiffrés.</w:t>
      </w:r>
      <w:r w:rsidR="00CF69FA" w:rsidRPr="006F25AE">
        <w:t xml:space="preserve"> </w:t>
      </w:r>
      <w:r w:rsidRPr="006F25AE">
        <w:t>Les normes OAuth</w:t>
      </w:r>
      <w:r w:rsidR="002170DB" w:rsidRPr="006F25AE">
        <w:t> </w:t>
      </w:r>
      <w:r w:rsidRPr="006F25AE">
        <w:t>2.0 et SAML sont suggérées dans les procédures obligatoires pour les IPA.</w:t>
      </w:r>
    </w:p>
    <w:p w14:paraId="3D13A257" w14:textId="77777777" w:rsidR="00E40FFB" w:rsidRPr="006F25AE" w:rsidRDefault="00E40FFB" w:rsidP="00E40FFB"/>
    <w:p w14:paraId="3547BF9E" w14:textId="6626218A" w:rsidR="00E40FFB" w:rsidRPr="006F25AE" w:rsidRDefault="00EC0599" w:rsidP="00E40FFB">
      <w:r w:rsidRPr="006F25AE">
        <w:rPr>
          <w:bCs/>
        </w:rPr>
        <w:t>L</w:t>
      </w:r>
      <w:r w:rsidR="001F551F" w:rsidRPr="006F25AE">
        <w:rPr>
          <w:bCs/>
        </w:rPr>
        <w:t>’</w:t>
      </w:r>
      <w:r w:rsidRPr="006F25AE">
        <w:rPr>
          <w:b/>
          <w:bCs/>
        </w:rPr>
        <w:t>autorisation</w:t>
      </w:r>
      <w:r w:rsidRPr="006F25AE">
        <w:rPr>
          <w:bCs/>
        </w:rPr>
        <w:t xml:space="preserve"> est l</w:t>
      </w:r>
      <w:r w:rsidR="001F551F" w:rsidRPr="006F25AE">
        <w:rPr>
          <w:bCs/>
        </w:rPr>
        <w:t>’</w:t>
      </w:r>
      <w:r w:rsidRPr="006F25AE">
        <w:rPr>
          <w:bCs/>
        </w:rPr>
        <w:t>octroi de l</w:t>
      </w:r>
      <w:r w:rsidR="001F551F" w:rsidRPr="006F25AE">
        <w:rPr>
          <w:bCs/>
        </w:rPr>
        <w:t>’</w:t>
      </w:r>
      <w:r w:rsidRPr="006F25AE">
        <w:rPr>
          <w:bCs/>
        </w:rPr>
        <w:t>accès au service.</w:t>
      </w:r>
      <w:r w:rsidR="009B65F6" w:rsidRPr="006F25AE">
        <w:t xml:space="preserve"> </w:t>
      </w:r>
      <w:r w:rsidRPr="006F25AE">
        <w:t>L</w:t>
      </w:r>
      <w:r w:rsidR="001F551F" w:rsidRPr="006F25AE">
        <w:t>’</w:t>
      </w:r>
      <w:r w:rsidRPr="006F25AE">
        <w:t>authentification vérifie que la connexion du client est autorisée; elle vérifie les services et les méthodes autorisés par le client.</w:t>
      </w:r>
      <w:r w:rsidR="009B65F6" w:rsidRPr="006F25AE">
        <w:t xml:space="preserve"> </w:t>
      </w:r>
    </w:p>
    <w:p w14:paraId="1C8EEC57" w14:textId="77777777" w:rsidR="00E40FFB" w:rsidRPr="006F25AE" w:rsidRDefault="00E40FFB" w:rsidP="00E40FFB"/>
    <w:p w14:paraId="320D7436" w14:textId="6CB3B3BA" w:rsidR="00E40FFB" w:rsidRPr="006F25AE" w:rsidRDefault="00EC0599" w:rsidP="00E40FFB">
      <w:r w:rsidRPr="006F25AE">
        <w:rPr>
          <w:bCs/>
        </w:rPr>
        <w:t>L</w:t>
      </w:r>
      <w:r w:rsidR="001F551F" w:rsidRPr="006F25AE">
        <w:rPr>
          <w:bCs/>
        </w:rPr>
        <w:t>’</w:t>
      </w:r>
      <w:r w:rsidRPr="006F25AE">
        <w:rPr>
          <w:b/>
          <w:bCs/>
        </w:rPr>
        <w:t>arrêt SSL</w:t>
      </w:r>
      <w:r w:rsidRPr="006F25AE">
        <w:rPr>
          <w:bCs/>
        </w:rPr>
        <w:t xml:space="preserve"> est le processus de conversion des renseignements chiffrés du client en texte clair aux fins de traitement.</w:t>
      </w:r>
    </w:p>
    <w:p w14:paraId="493014B5" w14:textId="77777777" w:rsidR="00E40FFB" w:rsidRPr="006F25AE" w:rsidRDefault="00E40FFB" w:rsidP="00E40FFB"/>
    <w:p w14:paraId="54973C78" w14:textId="17FDB27A" w:rsidR="00E40FFB" w:rsidRPr="006F25AE" w:rsidRDefault="00EC0599" w:rsidP="00E40FFB">
      <w:r w:rsidRPr="006F25AE">
        <w:rPr>
          <w:b/>
          <w:bCs/>
        </w:rPr>
        <w:t xml:space="preserve">Routage </w:t>
      </w:r>
      <w:r w:rsidRPr="006F25AE">
        <w:t>de la connexion client vers différents services en fonction de l</w:t>
      </w:r>
      <w:r w:rsidR="001F551F" w:rsidRPr="006F25AE">
        <w:t>’</w:t>
      </w:r>
      <w:r w:rsidRPr="006F25AE">
        <w:t>adresse URL fournie.</w:t>
      </w:r>
    </w:p>
    <w:p w14:paraId="48F7A3D5" w14:textId="31E6519E" w:rsidR="00E40FFB" w:rsidRPr="006F25AE" w:rsidRDefault="00EC0599" w:rsidP="00E40FFB">
      <w:r w:rsidRPr="006F25AE">
        <w:t xml:space="preserve">Par exemple, </w:t>
      </w:r>
      <w:hyperlink r:id="rId31" w:history="1">
        <w:r w:rsidRPr="000E2D21">
          <w:rPr>
            <w:rStyle w:val="Hyperlink"/>
          </w:rPr>
          <w:t>https://domaine.com/paiement</w:t>
        </w:r>
      </w:hyperlink>
      <w:r w:rsidRPr="002170DB">
        <w:rPr>
          <w:rStyle w:val="Hyperlink"/>
          <w:u w:val="none"/>
        </w:rPr>
        <w:t xml:space="preserve"> acheminera les interactions client vers le service de pa</w:t>
      </w:r>
      <w:r w:rsidRPr="000E2D21">
        <w:rPr>
          <w:rStyle w:val="Hyperlink"/>
          <w:u w:val="none"/>
        </w:rPr>
        <w:t xml:space="preserve">iement, alors que </w:t>
      </w:r>
      <w:hyperlink r:id="rId32" w:history="1">
        <w:r w:rsidRPr="000E2D21">
          <w:rPr>
            <w:rStyle w:val="Hyperlink"/>
          </w:rPr>
          <w:t>http://domaine.com/panier</w:t>
        </w:r>
      </w:hyperlink>
      <w:r w:rsidRPr="002170DB">
        <w:rPr>
          <w:rStyle w:val="Hyperlink"/>
          <w:u w:val="none"/>
        </w:rPr>
        <w:t xml:space="preserve"> acheminera les interactions client vers le service panier.</w:t>
      </w:r>
      <w:r w:rsidR="009B65F6" w:rsidRPr="000E2D21">
        <w:t xml:space="preserve"> </w:t>
      </w:r>
      <w:r w:rsidRPr="000E2D21">
        <w:t>Ces services peuvent être déployés à l</w:t>
      </w:r>
      <w:r w:rsidR="001F551F" w:rsidRPr="006F25AE">
        <w:t>’</w:t>
      </w:r>
      <w:r w:rsidRPr="006F25AE">
        <w:t>aide d</w:t>
      </w:r>
      <w:r w:rsidR="001F551F" w:rsidRPr="006F25AE">
        <w:t>’</w:t>
      </w:r>
      <w:r w:rsidRPr="006F25AE">
        <w:t>architectures complètement différentes, mais pour le client ces complexités sont abstraites, car la passerelle IPA fournit le routage nécessaire.</w:t>
      </w:r>
    </w:p>
    <w:p w14:paraId="5F54ECDB" w14:textId="77777777" w:rsidR="00E40FFB" w:rsidRPr="006F25AE" w:rsidRDefault="00E40FFB" w:rsidP="00E40FFB"/>
    <w:p w14:paraId="580F7C87" w14:textId="15BFF711" w:rsidR="00E40FFB" w:rsidRPr="006F25AE" w:rsidRDefault="00EC0599" w:rsidP="00E40FFB">
      <w:r w:rsidRPr="006F25AE">
        <w:rPr>
          <w:b/>
          <w:bCs/>
        </w:rPr>
        <w:t xml:space="preserve">Regroupement </w:t>
      </w:r>
      <w:r w:rsidRPr="006F25AE">
        <w:rPr>
          <w:bCs/>
        </w:rPr>
        <w:t>de plusieurs appels de service en un seul appel de service.</w:t>
      </w:r>
      <w:r w:rsidR="009B65F6" w:rsidRPr="006F25AE">
        <w:t xml:space="preserve"> </w:t>
      </w:r>
      <w:r w:rsidRPr="006F25AE">
        <w:t>Cela permet de réduire la quantité de bavardage entre le client et les services.</w:t>
      </w:r>
      <w:r w:rsidR="009B65F6" w:rsidRPr="006F25AE">
        <w:t xml:space="preserve"> </w:t>
      </w:r>
    </w:p>
    <w:p w14:paraId="65292141" w14:textId="77777777" w:rsidR="00E40FFB" w:rsidRPr="006F25AE" w:rsidRDefault="00E40FFB" w:rsidP="00E40FFB"/>
    <w:p w14:paraId="75EDAF20" w14:textId="24A139EB" w:rsidR="00E40FFB" w:rsidRPr="006F25AE" w:rsidRDefault="00EC0599" w:rsidP="00E40FFB">
      <w:r w:rsidRPr="006F25AE">
        <w:rPr>
          <w:bCs/>
        </w:rPr>
        <w:t xml:space="preserve">La </w:t>
      </w:r>
      <w:r w:rsidRPr="006F25AE">
        <w:rPr>
          <w:b/>
          <w:bCs/>
        </w:rPr>
        <w:t>mise en cache</w:t>
      </w:r>
      <w:r w:rsidRPr="006F25AE">
        <w:rPr>
          <w:bCs/>
        </w:rPr>
        <w:t xml:space="preserve"> de méthodes dont on fait couramment appel peut réduire le traitement requis par les services administratifs tout en améliorant la réponse destinée aux clients.</w:t>
      </w:r>
      <w:r w:rsidR="009B65F6" w:rsidRPr="006F25AE">
        <w:t xml:space="preserve"> </w:t>
      </w:r>
      <w:r w:rsidRPr="006F25AE">
        <w:t>On peut régler l</w:t>
      </w:r>
      <w:r w:rsidR="001F551F" w:rsidRPr="006F25AE">
        <w:t>’</w:t>
      </w:r>
      <w:r w:rsidRPr="006F25AE">
        <w:t>expiration du cache pour forcer une actualisation du cache.</w:t>
      </w:r>
      <w:r w:rsidR="009B65F6" w:rsidRPr="006F25AE">
        <w:t xml:space="preserve"> </w:t>
      </w:r>
    </w:p>
    <w:p w14:paraId="3A6449C6" w14:textId="77777777" w:rsidR="00E40FFB" w:rsidRPr="006F25AE" w:rsidRDefault="00E40FFB" w:rsidP="00E40FFB"/>
    <w:p w14:paraId="346F012E" w14:textId="2E973652" w:rsidR="00E40FFB" w:rsidRPr="006F25AE" w:rsidRDefault="00EC0599" w:rsidP="00E40FFB">
      <w:r w:rsidRPr="006F25AE">
        <w:rPr>
          <w:bCs/>
        </w:rPr>
        <w:t>L</w:t>
      </w:r>
      <w:r w:rsidR="001F551F" w:rsidRPr="006F25AE">
        <w:rPr>
          <w:bCs/>
        </w:rPr>
        <w:t>’</w:t>
      </w:r>
      <w:r w:rsidRPr="006F25AE">
        <w:rPr>
          <w:b/>
          <w:bCs/>
        </w:rPr>
        <w:t>équilibrage de charge</w:t>
      </w:r>
      <w:r w:rsidRPr="006F25AE">
        <w:rPr>
          <w:bCs/>
        </w:rPr>
        <w:t xml:space="preserve"> des demandes de service lorsque l</w:t>
      </w:r>
      <w:r w:rsidR="001F551F" w:rsidRPr="006F25AE">
        <w:rPr>
          <w:bCs/>
        </w:rPr>
        <w:t>’</w:t>
      </w:r>
      <w:r w:rsidRPr="006F25AE">
        <w:rPr>
          <w:bCs/>
        </w:rPr>
        <w:t>exécution d</w:t>
      </w:r>
      <w:r w:rsidR="001F551F" w:rsidRPr="006F25AE">
        <w:rPr>
          <w:bCs/>
        </w:rPr>
        <w:t>’</w:t>
      </w:r>
      <w:r w:rsidRPr="006F25AE">
        <w:rPr>
          <w:bCs/>
        </w:rPr>
        <w:t>un service ne se trouve pas dans une fenêtre indiquée peut être acheminé entre plusieurs instances de ce service.</w:t>
      </w:r>
      <w:r w:rsidR="009B65F6" w:rsidRPr="006F25AE">
        <w:t xml:space="preserve"> </w:t>
      </w:r>
      <w:r w:rsidRPr="006F25AE">
        <w:t>L</w:t>
      </w:r>
      <w:r w:rsidR="001F551F" w:rsidRPr="006F25AE">
        <w:t>’</w:t>
      </w:r>
      <w:r w:rsidRPr="006F25AE">
        <w:t>équilibrage de charge est également un moyen efficace d</w:t>
      </w:r>
      <w:r w:rsidR="001F551F" w:rsidRPr="006F25AE">
        <w:t>’</w:t>
      </w:r>
      <w:r w:rsidRPr="006F25AE">
        <w:t>effectuer des déploiements bleus/verts et des déploiements de contrôle de validité.</w:t>
      </w:r>
    </w:p>
    <w:p w14:paraId="218D09CB" w14:textId="77777777" w:rsidR="00E40FFB" w:rsidRPr="006F25AE" w:rsidRDefault="00E40FFB" w:rsidP="00E40FFB"/>
    <w:p w14:paraId="3ABD808C" w14:textId="5837A29E" w:rsidR="00E40FFB" w:rsidRPr="006F25AE" w:rsidRDefault="00EC0599" w:rsidP="00E40FFB">
      <w:r w:rsidRPr="006F25AE">
        <w:rPr>
          <w:bCs/>
        </w:rPr>
        <w:t xml:space="preserve">La </w:t>
      </w:r>
      <w:r w:rsidRPr="006F25AE">
        <w:rPr>
          <w:b/>
          <w:bCs/>
        </w:rPr>
        <w:t>conversion de protocole</w:t>
      </w:r>
      <w:r w:rsidRPr="006F25AE">
        <w:rPr>
          <w:bCs/>
        </w:rPr>
        <w:t xml:space="preserve"> permet aux clients d</w:t>
      </w:r>
      <w:r w:rsidR="001F551F" w:rsidRPr="006F25AE">
        <w:rPr>
          <w:bCs/>
        </w:rPr>
        <w:t>’</w:t>
      </w:r>
      <w:r w:rsidRPr="006F25AE">
        <w:rPr>
          <w:bCs/>
        </w:rPr>
        <w:t>utiliser un protocole, par exemple HTTP</w:t>
      </w:r>
      <w:r w:rsidR="002170DB" w:rsidRPr="006F25AE">
        <w:rPr>
          <w:bCs/>
        </w:rPr>
        <w:t> </w:t>
      </w:r>
      <w:r w:rsidRPr="006F25AE">
        <w:rPr>
          <w:bCs/>
        </w:rPr>
        <w:t>v1 pour effectuer une requête, même si le service n</w:t>
      </w:r>
      <w:r w:rsidR="001F551F" w:rsidRPr="006F25AE">
        <w:rPr>
          <w:bCs/>
        </w:rPr>
        <w:t>’</w:t>
      </w:r>
      <w:r w:rsidRPr="006F25AE">
        <w:rPr>
          <w:bCs/>
        </w:rPr>
        <w:t>accepte que le protocole HTTP v2.</w:t>
      </w:r>
    </w:p>
    <w:p w14:paraId="12F93F7F" w14:textId="77777777" w:rsidR="00E40FFB" w:rsidRPr="006F25AE" w:rsidRDefault="00E40FFB" w:rsidP="00E40FFB"/>
    <w:p w14:paraId="7F05AD4B" w14:textId="3B10EF61" w:rsidR="00E40FFB" w:rsidRPr="006F25AE" w:rsidRDefault="00EC0599" w:rsidP="00E40FFB">
      <w:r w:rsidRPr="006F25AE">
        <w:rPr>
          <w:bCs/>
        </w:rPr>
        <w:t>L</w:t>
      </w:r>
      <w:r w:rsidR="001F551F" w:rsidRPr="006F25AE">
        <w:rPr>
          <w:bCs/>
        </w:rPr>
        <w:t>’</w:t>
      </w:r>
      <w:r w:rsidRPr="006F25AE">
        <w:rPr>
          <w:b/>
          <w:bCs/>
        </w:rPr>
        <w:t>analyse de la télémétrie</w:t>
      </w:r>
      <w:r w:rsidRPr="006F25AE">
        <w:rPr>
          <w:bCs/>
        </w:rPr>
        <w:t xml:space="preserve"> est une capacité essentielle pour surveiller une alerte en fonction des mesures de sécurité, financières et de rendement.</w:t>
      </w:r>
    </w:p>
    <w:p w14:paraId="17D6255D" w14:textId="77777777" w:rsidR="00E40FFB" w:rsidRPr="006F25AE" w:rsidRDefault="00E40FFB" w:rsidP="00E40FFB"/>
    <w:p w14:paraId="0D6411DE" w14:textId="3FF6D2E5" w:rsidR="00E40FFB" w:rsidRPr="006F25AE" w:rsidRDefault="00EC0599" w:rsidP="00E40FFB">
      <w:r w:rsidRPr="006F25AE">
        <w:rPr>
          <w:bCs/>
        </w:rPr>
        <w:t xml:space="preserve">La </w:t>
      </w:r>
      <w:r w:rsidRPr="006F25AE">
        <w:rPr>
          <w:b/>
          <w:bCs/>
        </w:rPr>
        <w:t>facturation</w:t>
      </w:r>
      <w:r w:rsidRPr="006F25AE">
        <w:rPr>
          <w:bCs/>
        </w:rPr>
        <w:t xml:space="preserve"> de l</w:t>
      </w:r>
      <w:r w:rsidR="001F551F" w:rsidRPr="006F25AE">
        <w:rPr>
          <w:bCs/>
        </w:rPr>
        <w:t>’</w:t>
      </w:r>
      <w:r w:rsidRPr="006F25AE">
        <w:rPr>
          <w:bCs/>
        </w:rPr>
        <w:t>utilisation de l</w:t>
      </w:r>
      <w:r w:rsidR="001F551F" w:rsidRPr="006F25AE">
        <w:rPr>
          <w:bCs/>
        </w:rPr>
        <w:t>’</w:t>
      </w:r>
      <w:r w:rsidRPr="006F25AE">
        <w:rPr>
          <w:bCs/>
        </w:rPr>
        <w:t>IPA ou l</w:t>
      </w:r>
      <w:r w:rsidR="001F551F" w:rsidRPr="006F25AE">
        <w:rPr>
          <w:bCs/>
        </w:rPr>
        <w:t>’</w:t>
      </w:r>
      <w:r w:rsidRPr="006F25AE">
        <w:rPr>
          <w:bCs/>
        </w:rPr>
        <w:t>attribution des coûts aux utilisateurs en fonction de l</w:t>
      </w:r>
      <w:r w:rsidR="001F551F" w:rsidRPr="006F25AE">
        <w:rPr>
          <w:bCs/>
        </w:rPr>
        <w:t>’</w:t>
      </w:r>
      <w:r w:rsidRPr="006F25AE">
        <w:rPr>
          <w:bCs/>
        </w:rPr>
        <w:t>utilisation est un modèle opérationnel courant.</w:t>
      </w:r>
      <w:r w:rsidR="009B65F6" w:rsidRPr="006F25AE">
        <w:t xml:space="preserve"> </w:t>
      </w:r>
    </w:p>
    <w:p w14:paraId="530E2426" w14:textId="77777777" w:rsidR="00E40FFB" w:rsidRPr="006F25AE" w:rsidRDefault="00E40FFB" w:rsidP="00E40FFB"/>
    <w:p w14:paraId="608DAFFA" w14:textId="77777777" w:rsidR="00E40FFB" w:rsidRPr="006F25AE" w:rsidRDefault="00E40FFB" w:rsidP="00E40FFB"/>
    <w:p w14:paraId="36A4F26C" w14:textId="77777777" w:rsidR="00E40FFB" w:rsidRPr="006F25AE" w:rsidRDefault="009B65F6" w:rsidP="00E40FFB">
      <w:r w:rsidRPr="006F25AE">
        <w:br w:type="page"/>
      </w:r>
    </w:p>
    <w:p w14:paraId="70F4E296" w14:textId="1A989136" w:rsidR="00E40FFB" w:rsidRPr="006F25AE" w:rsidRDefault="00EC0599" w:rsidP="00E40FFB">
      <w:pPr>
        <w:pStyle w:val="Heading2"/>
      </w:pPr>
      <w:bookmarkStart w:id="11" w:name="_Toc77159459"/>
      <w:r w:rsidRPr="006F25AE">
        <w:t>Anti-modèle</w:t>
      </w:r>
      <w:r w:rsidR="002170DB" w:rsidRPr="006F25AE">
        <w:t> </w:t>
      </w:r>
      <w:r w:rsidRPr="006F25AE">
        <w:t>3a</w:t>
      </w:r>
      <w:r w:rsidR="002170DB" w:rsidRPr="006F25AE">
        <w:t> </w:t>
      </w:r>
      <w:r w:rsidRPr="006F25AE">
        <w:t>: Passerelle IPA et pare-feu réseau</w:t>
      </w:r>
      <w:bookmarkEnd w:id="11"/>
    </w:p>
    <w:p w14:paraId="7DA58E06" w14:textId="77777777" w:rsidR="00E40FFB" w:rsidRPr="006F25AE" w:rsidRDefault="00E40FFB" w:rsidP="00E40FFB"/>
    <w:p w14:paraId="53466DFF" w14:textId="77777777" w:rsidR="00E40FFB" w:rsidRPr="006F25AE" w:rsidRDefault="00E40FFB" w:rsidP="00E40FFB"/>
    <w:p w14:paraId="4FF6A62E" w14:textId="5B9E7E56" w:rsidR="00E40FFB" w:rsidRPr="006F25AE" w:rsidRDefault="00EC0599" w:rsidP="00E40FFB">
      <w:pPr>
        <w:keepNext/>
      </w:pPr>
      <w:r w:rsidRPr="006F25AE">
        <w:t>Dans cet anti-modèle, tout le trafic est acheminé au moyen d</w:t>
      </w:r>
      <w:r w:rsidR="001F551F" w:rsidRPr="006F25AE">
        <w:t>’</w:t>
      </w:r>
      <w:r w:rsidRPr="006F25AE">
        <w:t xml:space="preserve">un pare-feu de nouvelle génération (déployé dans un environnement IaaS hébergé sur des machines virtuelles </w:t>
      </w:r>
      <w:r w:rsidR="002170DB" w:rsidRPr="006F25AE">
        <w:t>[</w:t>
      </w:r>
      <w:r w:rsidRPr="006F25AE">
        <w:t>MV</w:t>
      </w:r>
      <w:r w:rsidR="002170DB" w:rsidRPr="006F25AE">
        <w:t>]</w:t>
      </w:r>
      <w:r w:rsidRPr="006F25AE">
        <w:t>) avant d</w:t>
      </w:r>
      <w:r w:rsidR="001F551F" w:rsidRPr="006F25AE">
        <w:t>’</w:t>
      </w:r>
      <w:r w:rsidRPr="006F25AE">
        <w:t>être consommé par un point d</w:t>
      </w:r>
      <w:r w:rsidR="001F551F" w:rsidRPr="006F25AE">
        <w:t>’</w:t>
      </w:r>
      <w:r w:rsidR="00392005" w:rsidRPr="006F25AE">
        <w:t>extrémité</w:t>
      </w:r>
      <w:r w:rsidRPr="006F25AE">
        <w:t xml:space="preserve"> IPA sur la passerelle IPA.</w:t>
      </w:r>
      <w:r w:rsidR="00096721" w:rsidRPr="006F25AE">
        <w:t xml:space="preserve"> </w:t>
      </w:r>
    </w:p>
    <w:p w14:paraId="445204AF" w14:textId="77777777" w:rsidR="001B153D" w:rsidRPr="002170DB" w:rsidRDefault="009B65F6" w:rsidP="00E40FFB">
      <w:pPr>
        <w:keepNext/>
      </w:pPr>
      <w:r w:rsidRPr="002170DB">
        <w:rPr>
          <w:noProof/>
        </w:rPr>
        <w:drawing>
          <wp:inline distT="0" distB="0" distL="0" distR="0" wp14:anchorId="0D6FD286" wp14:editId="15EC0C8A">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53518" name=""/>
                    <pic:cNvPicPr/>
                  </pic:nvPicPr>
                  <pic:blipFill>
                    <a:blip r:embed="rId33"/>
                    <a:stretch>
                      <a:fillRect/>
                    </a:stretch>
                  </pic:blipFill>
                  <pic:spPr>
                    <a:xfrm>
                      <a:off x="0" y="0"/>
                      <a:ext cx="5943600" cy="3343275"/>
                    </a:xfrm>
                    <a:prstGeom prst="rect">
                      <a:avLst/>
                    </a:prstGeom>
                  </pic:spPr>
                </pic:pic>
              </a:graphicData>
            </a:graphic>
          </wp:inline>
        </w:drawing>
      </w:r>
    </w:p>
    <w:p w14:paraId="198A7C7A" w14:textId="3C38F3EB" w:rsidR="00E40FFB" w:rsidRPr="006F25AE" w:rsidRDefault="009B65F6" w:rsidP="00E40FFB">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10</w:t>
      </w:r>
      <w:r w:rsidR="006A57A9" w:rsidRPr="000E2D21">
        <w:fldChar w:fldCharType="end"/>
      </w:r>
      <w:r w:rsidR="002170DB" w:rsidRPr="002170DB">
        <w:t> </w:t>
      </w:r>
      <w:r w:rsidR="00EC0599" w:rsidRPr="000E2D21">
        <w:t xml:space="preserve">: Anti-modèle </w:t>
      </w:r>
      <w:r w:rsidR="002170DB" w:rsidRPr="000E2D21">
        <w:t>—</w:t>
      </w:r>
      <w:r w:rsidR="00EC0599" w:rsidRPr="006F25AE">
        <w:t xml:space="preserve"> Passerelle IPA avec pare-feu réseau </w:t>
      </w:r>
    </w:p>
    <w:p w14:paraId="70D6120F" w14:textId="77777777" w:rsidR="00E40FFB" w:rsidRPr="006F25AE" w:rsidRDefault="00E40FFB" w:rsidP="00E40FFB"/>
    <w:p w14:paraId="5F7FBD10" w14:textId="6D8E53F4" w:rsidR="00E40FFB" w:rsidRPr="006F25AE" w:rsidRDefault="00C46D5A" w:rsidP="00E40FFB">
      <w:r w:rsidRPr="006F25AE">
        <w:t>Pourquoi est-ce un anti-modèle?</w:t>
      </w:r>
    </w:p>
    <w:p w14:paraId="4284F324" w14:textId="77777777" w:rsidR="00E40FFB" w:rsidRPr="006F25AE" w:rsidRDefault="00E40FFB" w:rsidP="00E40FFB"/>
    <w:p w14:paraId="01708E3D" w14:textId="6FF25B0E" w:rsidR="00E40FFB" w:rsidRPr="006F25AE" w:rsidRDefault="00EC0599" w:rsidP="00E40FFB">
      <w:r w:rsidRPr="006F25AE">
        <w:t>Les pare-feu réseau sont conçus pour protéger les infrastructures comme les serveurs, mais pas nécessairement les applications ou les clients.</w:t>
      </w:r>
      <w:r w:rsidR="00933CB9" w:rsidRPr="006F25AE">
        <w:t xml:space="preserve"> </w:t>
      </w:r>
      <w:r w:rsidRPr="006F25AE">
        <w:t>Les pare-feu réseau se concentrent sur l</w:t>
      </w:r>
      <w:r w:rsidR="001F551F" w:rsidRPr="006F25AE">
        <w:t>’</w:t>
      </w:r>
      <w:r w:rsidRPr="006F25AE">
        <w:t>inspection du trafic des couches</w:t>
      </w:r>
      <w:r w:rsidR="002170DB" w:rsidRPr="006F25AE">
        <w:t> </w:t>
      </w:r>
      <w:r w:rsidRPr="006F25AE">
        <w:t>3 et 4 OSI et ne connaissent pas les menaces propres au protocole HTTP/S et aux applications comme l</w:t>
      </w:r>
      <w:r w:rsidR="001F551F" w:rsidRPr="006F25AE">
        <w:t>’</w:t>
      </w:r>
      <w:r w:rsidRPr="006F25AE">
        <w:t>injection de code SQL et le script de site à site.</w:t>
      </w:r>
      <w:r w:rsidR="00933CB9" w:rsidRPr="006F25AE">
        <w:t xml:space="preserve"> </w:t>
      </w:r>
      <w:r w:rsidRPr="006F25AE">
        <w:t>Les pare-feu réseau prennent en charge de nombreux protocoles; toutefois pour les IPA, le seul protocole utilisé est HTTP/S. La protection DDoS se limite à la protection du réseau, pas nécessairement à la protection de la disponibilité de l</w:t>
      </w:r>
      <w:r w:rsidR="001F551F" w:rsidRPr="006F25AE">
        <w:t>’</w:t>
      </w:r>
      <w:r w:rsidRPr="006F25AE">
        <w:t>application.</w:t>
      </w:r>
      <w:r w:rsidR="00933CB9" w:rsidRPr="006F25AE">
        <w:t xml:space="preserve"> </w:t>
      </w:r>
      <w:r w:rsidRPr="006F25AE">
        <w:t>Les fonctionnalités d</w:t>
      </w:r>
      <w:r w:rsidR="001F551F" w:rsidRPr="006F25AE">
        <w:t>’</w:t>
      </w:r>
      <w:r w:rsidRPr="006F25AE">
        <w:t>un pare-feu de nouvelle génération sont redondantes avec les services fournis par un fournisseur de services infonuagiques lorsqu</w:t>
      </w:r>
      <w:r w:rsidR="001F551F" w:rsidRPr="006F25AE">
        <w:t>’</w:t>
      </w:r>
      <w:r w:rsidRPr="006F25AE">
        <w:t>une passerelle IPA PaaS est déployée.</w:t>
      </w:r>
      <w:r w:rsidR="00933CB9" w:rsidRPr="006F25AE">
        <w:t xml:space="preserve"> </w:t>
      </w:r>
      <w:r w:rsidRPr="006F25AE">
        <w:t>Le fournisseur de services infonuagiques protège les couches réseau de la plateforme.</w:t>
      </w:r>
    </w:p>
    <w:p w14:paraId="560D6BB0" w14:textId="77777777" w:rsidR="005F7CDB" w:rsidRPr="006F25AE" w:rsidRDefault="005F7CDB" w:rsidP="00E40FFB"/>
    <w:p w14:paraId="5BE91B40" w14:textId="3F9C1C60" w:rsidR="005F7CDB" w:rsidRPr="006F25AE" w:rsidRDefault="00EC0599" w:rsidP="00E40FFB">
      <w:r w:rsidRPr="006F25AE">
        <w:t>Dans un environnement infonuagique, les pare-feu réseau sont déployés comme des MV dans un modèle de service IaaS.</w:t>
      </w:r>
      <w:r w:rsidR="008A68CA" w:rsidRPr="006F25AE">
        <w:t xml:space="preserve"> </w:t>
      </w:r>
      <w:r w:rsidRPr="006F25AE">
        <w:t>Ces MV sont contenues dans un sous-réseau privé et sont limitées à une région à moins que MV ne soient déployées sur plusieurs régions.</w:t>
      </w:r>
      <w:r w:rsidR="008A68CA" w:rsidRPr="006F25AE">
        <w:t xml:space="preserve"> </w:t>
      </w:r>
      <w:r w:rsidRPr="006F25AE">
        <w:t>Les pare-feu d</w:t>
      </w:r>
      <w:r w:rsidR="001F551F" w:rsidRPr="006F25AE">
        <w:t>’</w:t>
      </w:r>
      <w:r w:rsidRPr="006F25AE">
        <w:t>application Web et les passerelles IPA sont des PaaS et peuvent évoluer pour être presque illimités.</w:t>
      </w:r>
      <w:r w:rsidR="008A68CA" w:rsidRPr="006F25AE">
        <w:t xml:space="preserve"> </w:t>
      </w:r>
      <w:r w:rsidRPr="006F25AE">
        <w:t>Cela offre un niveau de résilience et de disponibilité supérieur à celui d</w:t>
      </w:r>
      <w:r w:rsidR="001F551F" w:rsidRPr="006F25AE">
        <w:t>’</w:t>
      </w:r>
      <w:r w:rsidRPr="006F25AE">
        <w:t>une architecture qui comprend des dispositifs de pare-feu.</w:t>
      </w:r>
      <w:r w:rsidR="008A68CA" w:rsidRPr="006F25AE">
        <w:t xml:space="preserve"> </w:t>
      </w:r>
      <w:r w:rsidRPr="006F25AE">
        <w:t>Dans un modèle PaaS, le fournisseur de services infonuagiques fournit des protections de sécurité nécessaires au niveau du réseau.</w:t>
      </w:r>
      <w:r w:rsidR="008A68CA" w:rsidRPr="006F25AE">
        <w:t xml:space="preserve"> </w:t>
      </w:r>
      <w:r w:rsidRPr="006F25AE">
        <w:t>L</w:t>
      </w:r>
      <w:r w:rsidR="001F551F" w:rsidRPr="006F25AE">
        <w:t>’</w:t>
      </w:r>
      <w:r w:rsidRPr="006F25AE">
        <w:t>objectif du GC est de protéger le point d</w:t>
      </w:r>
      <w:r w:rsidR="001F551F" w:rsidRPr="006F25AE">
        <w:t>’</w:t>
      </w:r>
      <w:r w:rsidR="00392005" w:rsidRPr="006F25AE">
        <w:t>extrémité</w:t>
      </w:r>
      <w:r w:rsidRPr="006F25AE">
        <w:t xml:space="preserve"> de l</w:t>
      </w:r>
      <w:r w:rsidR="001F551F" w:rsidRPr="006F25AE">
        <w:t>’</w:t>
      </w:r>
      <w:r w:rsidR="00EC27AB" w:rsidRPr="006F25AE">
        <w:t>IPA</w:t>
      </w:r>
      <w:r w:rsidRPr="006F25AE">
        <w:t xml:space="preserve"> et de créer des applications qui tiennent compte de menaces courantes comme l</w:t>
      </w:r>
      <w:r w:rsidR="001F551F" w:rsidRPr="006F25AE">
        <w:t>’</w:t>
      </w:r>
      <w:r w:rsidRPr="006F25AE">
        <w:t>injection de code SQL.</w:t>
      </w:r>
    </w:p>
    <w:p w14:paraId="18C7432A" w14:textId="77777777" w:rsidR="00E40FFB" w:rsidRPr="006F25AE" w:rsidRDefault="00E40FFB" w:rsidP="00E40FFB"/>
    <w:p w14:paraId="2F685EBA" w14:textId="77777777" w:rsidR="00E40FFB" w:rsidRPr="006F25AE" w:rsidRDefault="00E40FFB" w:rsidP="00E40FFB"/>
    <w:p w14:paraId="5206CF73" w14:textId="77777777" w:rsidR="00E40FFB" w:rsidRPr="006F25AE" w:rsidRDefault="00E40FFB" w:rsidP="00E40FFB">
      <w:pPr>
        <w:rPr>
          <w:rFonts w:asciiTheme="majorHAnsi" w:eastAsiaTheme="majorEastAsia" w:hAnsiTheme="majorHAnsi" w:cstheme="majorBidi"/>
          <w:color w:val="2E74B5" w:themeColor="accent1" w:themeShade="BF"/>
          <w:sz w:val="26"/>
          <w:szCs w:val="26"/>
        </w:rPr>
      </w:pPr>
    </w:p>
    <w:p w14:paraId="6A514C5C" w14:textId="62F9651E" w:rsidR="00E40FFB" w:rsidRPr="006F25AE" w:rsidRDefault="00EC0599" w:rsidP="00E40FFB">
      <w:pPr>
        <w:pStyle w:val="Heading2"/>
      </w:pPr>
      <w:bookmarkStart w:id="12" w:name="_Toc77159460"/>
      <w:r w:rsidRPr="006F25AE">
        <w:t>Modèle 3b</w:t>
      </w:r>
      <w:r w:rsidR="002170DB" w:rsidRPr="006F25AE">
        <w:t> </w:t>
      </w:r>
      <w:r w:rsidRPr="006F25AE">
        <w:t xml:space="preserve">: Passerelle </w:t>
      </w:r>
      <w:r w:rsidR="00EC27AB" w:rsidRPr="006F25AE">
        <w:t>IPA</w:t>
      </w:r>
      <w:r w:rsidRPr="006F25AE">
        <w:t xml:space="preserve"> avec pare-feu d</w:t>
      </w:r>
      <w:r w:rsidR="001F551F" w:rsidRPr="006F25AE">
        <w:t>’</w:t>
      </w:r>
      <w:r w:rsidRPr="006F25AE">
        <w:t>application Web</w:t>
      </w:r>
      <w:bookmarkEnd w:id="12"/>
    </w:p>
    <w:p w14:paraId="4BEB609B" w14:textId="77777777" w:rsidR="00E40FFB" w:rsidRPr="006F25AE" w:rsidRDefault="00E40FFB" w:rsidP="00E40FFB"/>
    <w:p w14:paraId="1FE5E577" w14:textId="449CD354" w:rsidR="00CF69FA" w:rsidRPr="006F25AE" w:rsidRDefault="00EC0599" w:rsidP="00CF69FA">
      <w:r w:rsidRPr="006F25AE">
        <w:t>L</w:t>
      </w:r>
      <w:r w:rsidR="001F551F" w:rsidRPr="006F25AE">
        <w:t>’</w:t>
      </w:r>
      <w:r w:rsidRPr="006F25AE">
        <w:t>ajout d</w:t>
      </w:r>
      <w:r w:rsidR="001F551F" w:rsidRPr="006F25AE">
        <w:t>’</w:t>
      </w:r>
      <w:r w:rsidRPr="006F25AE">
        <w:t>un pare-feu d</w:t>
      </w:r>
      <w:r w:rsidR="001F551F" w:rsidRPr="006F25AE">
        <w:t>’</w:t>
      </w:r>
      <w:r w:rsidRPr="006F25AE">
        <w:t>application Web offre des services à une disponibilité élevée tout en protégeant ces services et les clients contre les menaces courantes.</w:t>
      </w:r>
      <w:r w:rsidR="00A65CD8" w:rsidRPr="006F25AE">
        <w:t xml:space="preserve"> </w:t>
      </w:r>
      <w:r w:rsidRPr="006F25AE">
        <w:t>Ce modèle s</w:t>
      </w:r>
      <w:r w:rsidR="001F551F" w:rsidRPr="006F25AE">
        <w:t>’</w:t>
      </w:r>
      <w:r w:rsidRPr="006F25AE">
        <w:t>appuie sur les capacités d</w:t>
      </w:r>
      <w:r w:rsidR="001F551F" w:rsidRPr="006F25AE">
        <w:t>’</w:t>
      </w:r>
      <w:r w:rsidRPr="006F25AE">
        <w:t>authentification et d</w:t>
      </w:r>
      <w:r w:rsidR="001F551F" w:rsidRPr="006F25AE">
        <w:t>’</w:t>
      </w:r>
      <w:r w:rsidRPr="006F25AE">
        <w:t>autorisation d</w:t>
      </w:r>
      <w:r w:rsidR="001F551F" w:rsidRPr="006F25AE">
        <w:t>’</w:t>
      </w:r>
      <w:r w:rsidRPr="006F25AE">
        <w:t>une passerelle IPA avec des mesures de protection supplémentaires pour les applications et les services pour lesquels la passerelle est un proxy inverse.</w:t>
      </w:r>
      <w:r w:rsidR="00A65CD8" w:rsidRPr="006F25AE">
        <w:t xml:space="preserve"> </w:t>
      </w:r>
      <w:r w:rsidRPr="006F25AE">
        <w:t>Les fournisseurs de services infonuagiques offrent des fonctionnalités de pare-feu d</w:t>
      </w:r>
      <w:r w:rsidR="001F551F" w:rsidRPr="006F25AE">
        <w:t>’</w:t>
      </w:r>
      <w:r w:rsidRPr="006F25AE">
        <w:t>application Web en tant que modèle de PaaS où l</w:t>
      </w:r>
      <w:r w:rsidR="001F551F" w:rsidRPr="006F25AE">
        <w:t>’</w:t>
      </w:r>
      <w:r w:rsidRPr="006F25AE">
        <w:t>infrastructure sous-jacente, y compris l</w:t>
      </w:r>
      <w:r w:rsidR="001F551F" w:rsidRPr="006F25AE">
        <w:t>’</w:t>
      </w:r>
      <w:r w:rsidRPr="006F25AE">
        <w:t>ordinateur, le stockage et le réseautage, est gérée par les fournisseurs de services infonuagiques.</w:t>
      </w:r>
      <w:r w:rsidR="00A65CD8" w:rsidRPr="006F25AE">
        <w:t xml:space="preserve"> </w:t>
      </w:r>
      <w:r w:rsidRPr="006F25AE">
        <w:t>Le modèle ci-dessous ne s</w:t>
      </w:r>
      <w:r w:rsidR="001F551F" w:rsidRPr="006F25AE">
        <w:t>’</w:t>
      </w:r>
      <w:r w:rsidRPr="006F25AE">
        <w:t>appliquerait pas lorsque les capacités de pare-feu d</w:t>
      </w:r>
      <w:r w:rsidR="001F551F" w:rsidRPr="006F25AE">
        <w:t>’</w:t>
      </w:r>
      <w:r w:rsidRPr="006F25AE">
        <w:t>application Web sont fournies en tant qu</w:t>
      </w:r>
      <w:r w:rsidR="001F551F" w:rsidRPr="006F25AE">
        <w:t>’</w:t>
      </w:r>
      <w:r w:rsidRPr="006F25AE">
        <w:t>IaaS, puisque la gestion de réseau privé virtuel sous-jacente incombe toujours au GC.</w:t>
      </w:r>
    </w:p>
    <w:p w14:paraId="51A0C0D3" w14:textId="77777777" w:rsidR="00E40FFB" w:rsidRPr="006F25AE" w:rsidRDefault="00E40FFB" w:rsidP="00E40FFB"/>
    <w:p w14:paraId="1F123A24" w14:textId="77777777" w:rsidR="00E40FFB" w:rsidRPr="006F25AE" w:rsidRDefault="00E40FFB" w:rsidP="00E40FFB"/>
    <w:p w14:paraId="194D489A" w14:textId="0973DB93" w:rsidR="00E40FFB" w:rsidRPr="006F25AE" w:rsidRDefault="00EC0599" w:rsidP="00E40FFB">
      <w:r w:rsidRPr="006F25AE">
        <w:t>Extrait de l</w:t>
      </w:r>
      <w:r w:rsidR="001F551F" w:rsidRPr="006F25AE">
        <w:t>’</w:t>
      </w:r>
      <w:r w:rsidRPr="006F25AE">
        <w:t xml:space="preserve">Annexe B </w:t>
      </w:r>
      <w:r w:rsidR="002170DB" w:rsidRPr="006F25AE">
        <w:t>—</w:t>
      </w:r>
      <w:r w:rsidRPr="006F25AE">
        <w:t xml:space="preserve"> Procédures obligatoires pour les interfaces de programmation d</w:t>
      </w:r>
      <w:r w:rsidR="001F551F" w:rsidRPr="006F25AE">
        <w:t>’</w:t>
      </w:r>
      <w:r w:rsidRPr="006F25AE">
        <w:t>applications</w:t>
      </w:r>
      <w:r w:rsidR="002170DB" w:rsidRPr="006F25AE">
        <w:t> </w:t>
      </w:r>
      <w:r w:rsidRPr="006F25AE">
        <w:t>:</w:t>
      </w:r>
    </w:p>
    <w:p w14:paraId="44E70766" w14:textId="77777777" w:rsidR="00E40FFB" w:rsidRPr="006F25AE" w:rsidRDefault="00E40FFB" w:rsidP="00E40FFB"/>
    <w:tbl>
      <w:tblPr>
        <w:tblStyle w:val="TableGrid"/>
        <w:tblW w:w="0" w:type="auto"/>
        <w:tblLook w:val="04A0" w:firstRow="1" w:lastRow="0" w:firstColumn="1" w:lastColumn="0" w:noHBand="0" w:noVBand="1"/>
      </w:tblPr>
      <w:tblGrid>
        <w:gridCol w:w="9350"/>
      </w:tblGrid>
      <w:tr w:rsidR="00154099" w:rsidRPr="006F25AE" w14:paraId="0381A1B0" w14:textId="77777777" w:rsidTr="006B7221">
        <w:tc>
          <w:tcPr>
            <w:tcW w:w="9350" w:type="dxa"/>
          </w:tcPr>
          <w:p w14:paraId="6E13AA85" w14:textId="3CBB50C6"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B.2.2.5.2 Concevez des IPA qui résistent aux attaques en veillant à ce que toutes les IPA soient conçues et mises en œuvre pour résister aux attaques communes d</w:t>
            </w:r>
            <w:r w:rsidR="001F551F" w:rsidRPr="006F25AE">
              <w:rPr>
                <w:rFonts w:asciiTheme="majorHAnsi" w:hAnsiTheme="majorHAnsi" w:cstheme="majorHAnsi"/>
                <w:i/>
                <w:iCs/>
              </w:rPr>
              <w:t>’</w:t>
            </w:r>
            <w:r w:rsidRPr="006F25AE">
              <w:rPr>
                <w:rFonts w:asciiTheme="majorHAnsi" w:hAnsiTheme="majorHAnsi" w:cstheme="majorHAnsi"/>
                <w:i/>
                <w:iCs/>
              </w:rPr>
              <w:t>lPA comme les dépassements de mémoire tampon et l</w:t>
            </w:r>
            <w:r w:rsidR="001F551F" w:rsidRPr="006F25AE">
              <w:rPr>
                <w:rFonts w:asciiTheme="majorHAnsi" w:hAnsiTheme="majorHAnsi" w:cstheme="majorHAnsi"/>
                <w:i/>
                <w:iCs/>
              </w:rPr>
              <w:t>’</w:t>
            </w:r>
            <w:r w:rsidRPr="006F25AE">
              <w:rPr>
                <w:rFonts w:asciiTheme="majorHAnsi" w:hAnsiTheme="majorHAnsi" w:cstheme="majorHAnsi"/>
                <w:i/>
                <w:iCs/>
              </w:rPr>
              <w:t>injection SQL.</w:t>
            </w:r>
            <w:r w:rsidR="009B65F6" w:rsidRPr="006F25AE">
              <w:rPr>
                <w:rFonts w:asciiTheme="majorHAnsi" w:hAnsiTheme="majorHAnsi" w:cstheme="majorHAnsi"/>
                <w:i/>
                <w:iCs/>
              </w:rPr>
              <w:t xml:space="preserve"> </w:t>
            </w:r>
            <w:r w:rsidRPr="006F25AE">
              <w:rPr>
                <w:rFonts w:asciiTheme="majorHAnsi" w:hAnsiTheme="majorHAnsi" w:cstheme="majorHAnsi"/>
                <w:i/>
                <w:iCs/>
              </w:rPr>
              <w:t>Traitez toutes les données soumises comme non fiables et validez-les avant de les traiter.</w:t>
            </w:r>
            <w:r w:rsidR="009B65F6" w:rsidRPr="006F25AE">
              <w:rPr>
                <w:rFonts w:asciiTheme="majorHAnsi" w:hAnsiTheme="majorHAnsi" w:cstheme="majorHAnsi"/>
                <w:i/>
                <w:iCs/>
              </w:rPr>
              <w:t xml:space="preserve"> </w:t>
            </w:r>
            <w:r w:rsidRPr="006F25AE">
              <w:rPr>
                <w:rFonts w:asciiTheme="majorHAnsi" w:hAnsiTheme="majorHAnsi" w:cstheme="majorHAnsi"/>
                <w:i/>
                <w:iCs/>
              </w:rPr>
              <w:t>Exploitez les schémas et les modèles de données pour assurer la validation correcte des données.</w:t>
            </w:r>
          </w:p>
        </w:tc>
      </w:tr>
    </w:tbl>
    <w:p w14:paraId="1F2489AC" w14:textId="77777777" w:rsidR="00E40FFB" w:rsidRPr="002170DB" w:rsidRDefault="009B65F6" w:rsidP="00E40FFB">
      <w:pPr>
        <w:keepNext/>
      </w:pPr>
      <w:r w:rsidRPr="002170DB">
        <w:rPr>
          <w:noProof/>
        </w:rPr>
        <w:drawing>
          <wp:inline distT="0" distB="0" distL="0" distR="0" wp14:anchorId="1BA9C3E8" wp14:editId="5ACD507B">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93978" name=""/>
                    <pic:cNvPicPr/>
                  </pic:nvPicPr>
                  <pic:blipFill>
                    <a:blip r:embed="rId34"/>
                    <a:stretch>
                      <a:fillRect/>
                    </a:stretch>
                  </pic:blipFill>
                  <pic:spPr>
                    <a:xfrm>
                      <a:off x="0" y="0"/>
                      <a:ext cx="5943600" cy="3343275"/>
                    </a:xfrm>
                    <a:prstGeom prst="rect">
                      <a:avLst/>
                    </a:prstGeom>
                  </pic:spPr>
                </pic:pic>
              </a:graphicData>
            </a:graphic>
          </wp:inline>
        </w:drawing>
      </w:r>
    </w:p>
    <w:p w14:paraId="57C24FD1" w14:textId="6F99B979" w:rsidR="00E40FFB" w:rsidRPr="006F25AE" w:rsidRDefault="009B65F6" w:rsidP="00E40FFB">
      <w:pPr>
        <w:pStyle w:val="Caption"/>
        <w:rPr>
          <w:iCs w:val="0"/>
        </w:rPr>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11</w:t>
      </w:r>
      <w:r w:rsidR="006A57A9" w:rsidRPr="000E2D21">
        <w:fldChar w:fldCharType="end"/>
      </w:r>
      <w:r w:rsidR="002170DB" w:rsidRPr="002170DB">
        <w:t> </w:t>
      </w:r>
      <w:r w:rsidR="00EC0599" w:rsidRPr="000E2D21">
        <w:rPr>
          <w:i w:val="0"/>
        </w:rPr>
        <w:t xml:space="preserve">: </w:t>
      </w:r>
      <w:r w:rsidR="00EC0599" w:rsidRPr="000E2D21">
        <w:rPr>
          <w:iCs w:val="0"/>
        </w:rPr>
        <w:t xml:space="preserve">Modèle </w:t>
      </w:r>
      <w:r w:rsidR="002170DB" w:rsidRPr="000E2D21">
        <w:rPr>
          <w:iCs w:val="0"/>
        </w:rPr>
        <w:t>—</w:t>
      </w:r>
      <w:r w:rsidR="00EC0599" w:rsidRPr="006F25AE">
        <w:rPr>
          <w:iCs w:val="0"/>
        </w:rPr>
        <w:t xml:space="preserve"> Services derrière un pare-feu d</w:t>
      </w:r>
      <w:r w:rsidR="001F551F" w:rsidRPr="006F25AE">
        <w:rPr>
          <w:iCs w:val="0"/>
        </w:rPr>
        <w:t>’</w:t>
      </w:r>
      <w:r w:rsidR="00EC0599" w:rsidRPr="006F25AE">
        <w:rPr>
          <w:iCs w:val="0"/>
        </w:rPr>
        <w:t xml:space="preserve">application Web et une passerelle </w:t>
      </w:r>
      <w:r w:rsidR="00EC27AB" w:rsidRPr="006F25AE">
        <w:rPr>
          <w:iCs w:val="0"/>
        </w:rPr>
        <w:t>IPA</w:t>
      </w:r>
    </w:p>
    <w:p w14:paraId="547CF7F1" w14:textId="77777777" w:rsidR="00E40FFB" w:rsidRPr="006F25AE" w:rsidRDefault="00E40FFB" w:rsidP="00E40FFB"/>
    <w:p w14:paraId="5940AB6C" w14:textId="77777777" w:rsidR="00E40FFB" w:rsidRPr="006F25AE" w:rsidRDefault="00E40FFB" w:rsidP="00E40FFB"/>
    <w:p w14:paraId="20FD2408" w14:textId="77777777" w:rsidR="00CF69FA" w:rsidRPr="006F25AE" w:rsidRDefault="00CF69FA" w:rsidP="00E40FFB">
      <w:pPr>
        <w:rPr>
          <w:b/>
          <w:bCs/>
        </w:rPr>
      </w:pPr>
    </w:p>
    <w:p w14:paraId="2A5BF98F" w14:textId="6BF7EB88" w:rsidR="00E40FFB" w:rsidRPr="006F25AE" w:rsidRDefault="00EC0599" w:rsidP="00E40FFB">
      <w:r w:rsidRPr="006F25AE">
        <w:t>Fonctionnalités du pare-feu d</w:t>
      </w:r>
      <w:r w:rsidR="001F551F" w:rsidRPr="006F25AE">
        <w:t>’</w:t>
      </w:r>
      <w:r w:rsidRPr="006F25AE">
        <w:t xml:space="preserve">application Web comme axé sur la protection contre de nombreux risques parmi les </w:t>
      </w:r>
      <w:hyperlink r:id="rId35" w:history="1">
        <w:r w:rsidRPr="000E2D21">
          <w:rPr>
            <w:rStyle w:val="Hyperlink"/>
          </w:rPr>
          <w:t>10</w:t>
        </w:r>
        <w:r w:rsidR="002170DB" w:rsidRPr="000E2D21">
          <w:rPr>
            <w:rStyle w:val="Hyperlink"/>
          </w:rPr>
          <w:t> </w:t>
        </w:r>
        <w:r w:rsidRPr="006F25AE">
          <w:rPr>
            <w:rStyle w:val="Hyperlink"/>
          </w:rPr>
          <w:t>principaux risques de sécurité Web OWASP</w:t>
        </w:r>
      </w:hyperlink>
      <w:r w:rsidRPr="002170DB">
        <w:rPr>
          <w:rStyle w:val="Hyperlink"/>
          <w:u w:val="none"/>
        </w:rPr>
        <w:t>.</w:t>
      </w:r>
      <w:r w:rsidR="005310CA" w:rsidRPr="000E2D21">
        <w:t xml:space="preserve"> </w:t>
      </w:r>
      <w:r w:rsidRPr="000E2D21">
        <w:t>Un pare-feu d</w:t>
      </w:r>
      <w:r w:rsidR="001F551F" w:rsidRPr="006F25AE">
        <w:t>’</w:t>
      </w:r>
      <w:r w:rsidRPr="006F25AE">
        <w:t>application Web peut augmenter les mesures de protection de la passerelle IPA en fournissant une méthode temporaire de résolution des défaillances constatées dans le code des applications.</w:t>
      </w:r>
      <w:r w:rsidR="005310CA" w:rsidRPr="006F25AE">
        <w:t xml:space="preserve"> </w:t>
      </w:r>
      <w:r w:rsidRPr="006F25AE">
        <w:t>Par exemple, si une ancienne application est vulnérable aux injections de code SQL, on peut utiliser le pare-feu d</w:t>
      </w:r>
      <w:r w:rsidR="001F551F" w:rsidRPr="006F25AE">
        <w:t>’</w:t>
      </w:r>
      <w:r w:rsidRPr="006F25AE">
        <w:t>application Web pour fournir ces mesures de protection jusqu</w:t>
      </w:r>
      <w:r w:rsidR="001F551F" w:rsidRPr="006F25AE">
        <w:t>’</w:t>
      </w:r>
      <w:r w:rsidRPr="006F25AE">
        <w:t>à ce que l</w:t>
      </w:r>
      <w:r w:rsidR="001F551F" w:rsidRPr="006F25AE">
        <w:t>’</w:t>
      </w:r>
      <w:r w:rsidRPr="006F25AE">
        <w:t>ancien code des applications puisse être remanié.</w:t>
      </w:r>
      <w:r w:rsidR="005310CA" w:rsidRPr="006F25AE">
        <w:t xml:space="preserve"> </w:t>
      </w:r>
      <w:r w:rsidRPr="006F25AE">
        <w:t>Par conséquent, un pare-feu d</w:t>
      </w:r>
      <w:r w:rsidR="001F551F" w:rsidRPr="006F25AE">
        <w:t>’</w:t>
      </w:r>
      <w:r w:rsidRPr="006F25AE">
        <w:t>application Web est plus efficace entre les mains d</w:t>
      </w:r>
      <w:r w:rsidR="001F551F" w:rsidRPr="006F25AE">
        <w:t>’</w:t>
      </w:r>
      <w:r w:rsidRPr="006F25AE">
        <w:t>un développeur qui connait le fonctionnement de l</w:t>
      </w:r>
      <w:r w:rsidR="001F551F" w:rsidRPr="006F25AE">
        <w:t>’</w:t>
      </w:r>
      <w:r w:rsidRPr="006F25AE">
        <w:t>application.</w:t>
      </w:r>
      <w:r w:rsidR="005310CA" w:rsidRPr="006F25AE">
        <w:t xml:space="preserve"> </w:t>
      </w:r>
      <w:r w:rsidRPr="006F25AE">
        <w:t>Certains diraient qu</w:t>
      </w:r>
      <w:r w:rsidR="001F551F" w:rsidRPr="006F25AE">
        <w:t>’</w:t>
      </w:r>
      <w:r w:rsidRPr="006F25AE">
        <w:t>avec un test de code approprié, un pare-feu d</w:t>
      </w:r>
      <w:r w:rsidR="001F551F" w:rsidRPr="006F25AE">
        <w:t>’</w:t>
      </w:r>
      <w:r w:rsidRPr="006F25AE">
        <w:t>application Web n</w:t>
      </w:r>
      <w:r w:rsidR="001F551F" w:rsidRPr="006F25AE">
        <w:t>’</w:t>
      </w:r>
      <w:r w:rsidRPr="006F25AE">
        <w:t>est pas nécessaire, car les vulnérabilités seront trouvées et corrigées avec un test approprié.</w:t>
      </w:r>
      <w:r w:rsidR="005310CA" w:rsidRPr="006F25AE">
        <w:t xml:space="preserve"> </w:t>
      </w:r>
      <w:r w:rsidRPr="006F25AE">
        <w:t>Les pare-feu d</w:t>
      </w:r>
      <w:r w:rsidR="001F551F" w:rsidRPr="006F25AE">
        <w:t>’</w:t>
      </w:r>
      <w:r w:rsidRPr="006F25AE">
        <w:t>application Web, lorsqu</w:t>
      </w:r>
      <w:r w:rsidR="001F551F" w:rsidRPr="006F25AE">
        <w:t>’</w:t>
      </w:r>
      <w:r w:rsidRPr="006F25AE">
        <w:t>ils sont livrés en tant que PaaS infonuagique, offrent aux développeurs les capacités suivantes</w:t>
      </w:r>
      <w:r w:rsidR="002170DB" w:rsidRPr="006F25AE">
        <w:t> </w:t>
      </w:r>
      <w:r w:rsidRPr="006F25AE">
        <w:t>:</w:t>
      </w:r>
    </w:p>
    <w:p w14:paraId="2581B4B3" w14:textId="77777777" w:rsidR="005310CA" w:rsidRPr="006F25AE" w:rsidRDefault="005310CA" w:rsidP="00E40FFB"/>
    <w:p w14:paraId="7BFDF105" w14:textId="2A1AF213" w:rsidR="00E40FFB" w:rsidRPr="006F25AE" w:rsidRDefault="00EC0599" w:rsidP="00E40FFB">
      <w:pPr>
        <w:numPr>
          <w:ilvl w:val="0"/>
          <w:numId w:val="15"/>
        </w:numPr>
      </w:pPr>
      <w:r w:rsidRPr="006F25AE">
        <w:t>Protection contre les attaques par injection de code SQL.</w:t>
      </w:r>
    </w:p>
    <w:p w14:paraId="58143D48" w14:textId="4132CF36" w:rsidR="00E40FFB" w:rsidRPr="006F25AE" w:rsidRDefault="00EC0599" w:rsidP="00E40FFB">
      <w:pPr>
        <w:numPr>
          <w:ilvl w:val="0"/>
          <w:numId w:val="15"/>
        </w:numPr>
      </w:pPr>
      <w:r w:rsidRPr="006F25AE">
        <w:t>Protection contre les scripts de site à site.</w:t>
      </w:r>
    </w:p>
    <w:p w14:paraId="1B7FE5B9" w14:textId="31D2D2B4" w:rsidR="00E40FFB" w:rsidRPr="006F25AE" w:rsidRDefault="00EC0599" w:rsidP="00E40FFB">
      <w:pPr>
        <w:numPr>
          <w:ilvl w:val="0"/>
          <w:numId w:val="15"/>
        </w:numPr>
      </w:pPr>
      <w:r w:rsidRPr="006F25AE">
        <w:t>Protection contre les modifications de session ou de paramètre.</w:t>
      </w:r>
    </w:p>
    <w:p w14:paraId="149CB9A2" w14:textId="62A46C5E" w:rsidR="00E40FFB" w:rsidRPr="006F25AE" w:rsidRDefault="00EC0599" w:rsidP="00E40FFB">
      <w:pPr>
        <w:numPr>
          <w:ilvl w:val="0"/>
          <w:numId w:val="15"/>
        </w:numPr>
      </w:pPr>
      <w:r w:rsidRPr="006F25AE">
        <w:t>Permet aux développeurs d</w:t>
      </w:r>
      <w:r w:rsidR="001F551F" w:rsidRPr="006F25AE">
        <w:t>’</w:t>
      </w:r>
      <w:r w:rsidRPr="006F25AE">
        <w:t>ajouter des inspections propres à une application</w:t>
      </w:r>
    </w:p>
    <w:p w14:paraId="5B8A4402" w14:textId="6EC55B77" w:rsidR="00E40FFB" w:rsidRPr="006F25AE" w:rsidRDefault="00EC0599" w:rsidP="00E40FFB">
      <w:pPr>
        <w:numPr>
          <w:ilvl w:val="0"/>
          <w:numId w:val="15"/>
        </w:numPr>
      </w:pPr>
      <w:r w:rsidRPr="006F25AE">
        <w:t>Inspection du trafic chiffré SSL (HTTPS).</w:t>
      </w:r>
    </w:p>
    <w:p w14:paraId="625FD77E" w14:textId="5ED4545F" w:rsidR="00E40FFB" w:rsidRPr="006F25AE" w:rsidRDefault="00EC0599" w:rsidP="00E40FFB">
      <w:pPr>
        <w:numPr>
          <w:ilvl w:val="0"/>
          <w:numId w:val="15"/>
        </w:numPr>
      </w:pPr>
      <w:r w:rsidRPr="006F25AE">
        <w:t>Protection contre le déni de couche d</w:t>
      </w:r>
      <w:r w:rsidR="001F551F" w:rsidRPr="006F25AE">
        <w:t>’</w:t>
      </w:r>
      <w:r w:rsidRPr="006F25AE">
        <w:t>application et les attaques par déni de service distribué (DDoS).</w:t>
      </w:r>
    </w:p>
    <w:p w14:paraId="11DAE3A7" w14:textId="6AED7231" w:rsidR="00E40FFB" w:rsidRPr="006F25AE" w:rsidRDefault="00EC0599" w:rsidP="00E40FFB">
      <w:pPr>
        <w:numPr>
          <w:ilvl w:val="0"/>
          <w:numId w:val="15"/>
        </w:numPr>
      </w:pPr>
      <w:r w:rsidRPr="006F25AE">
        <w:t>Fournit la validation du schéma XML</w:t>
      </w:r>
    </w:p>
    <w:p w14:paraId="155C4035" w14:textId="42D7D79D" w:rsidR="00E40FFB" w:rsidRPr="006F25AE" w:rsidRDefault="00EC0599" w:rsidP="00E40FFB">
      <w:pPr>
        <w:numPr>
          <w:ilvl w:val="0"/>
          <w:numId w:val="15"/>
        </w:numPr>
      </w:pPr>
      <w:r w:rsidRPr="006F25AE">
        <w:t>Bloque le contenu XML malveillant</w:t>
      </w:r>
    </w:p>
    <w:p w14:paraId="0F17F01F" w14:textId="77777777" w:rsidR="00E40FFB" w:rsidRPr="006F25AE" w:rsidRDefault="00E40FFB" w:rsidP="00E40FFB"/>
    <w:p w14:paraId="246397F3" w14:textId="77777777" w:rsidR="00E40FFB" w:rsidRPr="006F25AE" w:rsidRDefault="00E40FFB" w:rsidP="00E40FFB"/>
    <w:p w14:paraId="1BC91215" w14:textId="77777777" w:rsidR="00E40FFB" w:rsidRPr="006F25AE" w:rsidRDefault="00E40FFB" w:rsidP="00E40FFB"/>
    <w:p w14:paraId="0BC76A14" w14:textId="77777777" w:rsidR="00E85749" w:rsidRPr="006F25AE" w:rsidRDefault="009B65F6" w:rsidP="00E85749">
      <w:pPr>
        <w:rPr>
          <w:rFonts w:asciiTheme="majorHAnsi" w:eastAsiaTheme="majorEastAsia" w:hAnsiTheme="majorHAnsi" w:cstheme="majorBidi"/>
          <w:color w:val="2E74B5" w:themeColor="accent1" w:themeShade="BF"/>
          <w:sz w:val="26"/>
          <w:szCs w:val="26"/>
        </w:rPr>
      </w:pPr>
      <w:r w:rsidRPr="006F25AE">
        <w:br w:type="page"/>
      </w:r>
    </w:p>
    <w:p w14:paraId="7C3D2873" w14:textId="0C6F6241" w:rsidR="00681532" w:rsidRPr="006F25AE" w:rsidRDefault="00EC0599" w:rsidP="00E40FFB">
      <w:pPr>
        <w:pStyle w:val="Heading2"/>
      </w:pPr>
      <w:bookmarkStart w:id="13" w:name="_Toc77159461"/>
      <w:r w:rsidRPr="006F25AE">
        <w:t>Anti-modèle</w:t>
      </w:r>
      <w:r w:rsidR="002170DB" w:rsidRPr="006F25AE">
        <w:t> </w:t>
      </w:r>
      <w:r w:rsidRPr="006F25AE">
        <w:t>4a</w:t>
      </w:r>
      <w:r w:rsidR="002170DB" w:rsidRPr="006F25AE">
        <w:t> </w:t>
      </w:r>
      <w:r w:rsidRPr="006F25AE">
        <w:t>: Modèle d</w:t>
      </w:r>
      <w:r w:rsidR="001F551F" w:rsidRPr="006F25AE">
        <w:t>’</w:t>
      </w:r>
      <w:r w:rsidRPr="006F25AE">
        <w:t>exploitation par étape pour les services de plateforme IPA</w:t>
      </w:r>
      <w:bookmarkEnd w:id="13"/>
    </w:p>
    <w:p w14:paraId="5145C3E7" w14:textId="77777777" w:rsidR="00681532" w:rsidRPr="006F25AE" w:rsidRDefault="00681532" w:rsidP="00681532"/>
    <w:p w14:paraId="7C796622" w14:textId="286E17B8" w:rsidR="00681532" w:rsidRPr="006F25AE" w:rsidRDefault="00EC0599" w:rsidP="00681532">
      <w:r w:rsidRPr="006F25AE">
        <w:t>Il convient d</w:t>
      </w:r>
      <w:r w:rsidR="001F551F" w:rsidRPr="006F25AE">
        <w:t>’</w:t>
      </w:r>
      <w:r w:rsidRPr="006F25AE">
        <w:t>éviter les modèles opérationnels qui introduisent des barrières et le soutien de travail entre les équipes.</w:t>
      </w:r>
      <w:r w:rsidR="004D45E5" w:rsidRPr="006F25AE">
        <w:t xml:space="preserve"> </w:t>
      </w:r>
      <w:r w:rsidRPr="006F25AE">
        <w:t>Traditionnellement, l</w:t>
      </w:r>
      <w:r w:rsidR="001F551F" w:rsidRPr="006F25AE">
        <w:t>’</w:t>
      </w:r>
      <w:r w:rsidRPr="006F25AE">
        <w:t>équipe de la TI est organisée en cloisons fonctionnels axés sur la spécialisation, avec un soutien entre ces équipes pour déployer une solution complète.</w:t>
      </w:r>
      <w:r w:rsidR="004D45E5" w:rsidRPr="006F25AE">
        <w:t xml:space="preserve"> </w:t>
      </w:r>
      <w:r w:rsidRPr="006F25AE">
        <w:t>L</w:t>
      </w:r>
      <w:r w:rsidR="001F551F" w:rsidRPr="006F25AE">
        <w:t>’</w:t>
      </w:r>
      <w:r w:rsidRPr="006F25AE">
        <w:t>application de ce modèle traditionnel à la prestation d</w:t>
      </w:r>
      <w:r w:rsidR="001F551F" w:rsidRPr="006F25AE">
        <w:t>’</w:t>
      </w:r>
      <w:r w:rsidRPr="006F25AE">
        <w:t>IPA sur la passerelle IPA, le pare-feu d</w:t>
      </w:r>
      <w:r w:rsidR="001F551F" w:rsidRPr="006F25AE">
        <w:t>’</w:t>
      </w:r>
      <w:r w:rsidRPr="006F25AE">
        <w:t>application Web et les plateformes du réseau de diffusion de contenu ralentira le rythme de prestation, les processus complexes de gestion des services et la livraison intensive des personnes.</w:t>
      </w:r>
      <w:r w:rsidR="004D45E5" w:rsidRPr="006F25AE">
        <w:t xml:space="preserve"> </w:t>
      </w:r>
      <w:r w:rsidRPr="006F25AE">
        <w:t>Étant donné que ces capacités sont fournies par le biais de la PaaS, il n</w:t>
      </w:r>
      <w:r w:rsidR="001F551F" w:rsidRPr="006F25AE">
        <w:t>’</w:t>
      </w:r>
      <w:r w:rsidRPr="006F25AE">
        <w:t>y a pas lieu de s</w:t>
      </w:r>
      <w:r w:rsidR="001F551F" w:rsidRPr="006F25AE">
        <w:t>’</w:t>
      </w:r>
      <w:r w:rsidRPr="006F25AE">
        <w:t>inquiéter de l</w:t>
      </w:r>
      <w:r w:rsidR="001F551F" w:rsidRPr="006F25AE">
        <w:t>’</w:t>
      </w:r>
      <w:r w:rsidRPr="006F25AE">
        <w:t>expansion de ces capacités.</w:t>
      </w:r>
      <w:r w:rsidR="004D45E5" w:rsidRPr="006F25AE">
        <w:t xml:space="preserve"> </w:t>
      </w:r>
      <w:r w:rsidRPr="006F25AE">
        <w:t>Au lieu de cela, l</w:t>
      </w:r>
      <w:r w:rsidR="001F551F" w:rsidRPr="006F25AE">
        <w:t>’</w:t>
      </w:r>
      <w:r w:rsidRPr="006F25AE">
        <w:t>accent devrait être mis sur la gestion des configurations de ces capacités de plateforme.</w:t>
      </w:r>
      <w:r w:rsidR="004D45E5" w:rsidRPr="006F25AE">
        <w:t xml:space="preserve"> </w:t>
      </w:r>
    </w:p>
    <w:p w14:paraId="585011CC" w14:textId="77777777" w:rsidR="00681532" w:rsidRPr="006F25AE" w:rsidRDefault="00681532" w:rsidP="00681532"/>
    <w:p w14:paraId="12C7AB3C" w14:textId="5F35F456" w:rsidR="00681532" w:rsidRPr="006F25AE" w:rsidRDefault="00EC0599" w:rsidP="00681532">
      <w:r w:rsidRPr="006F25AE">
        <w:t>On doit éviter un modèle de livraison par étape, en cascade.</w:t>
      </w:r>
    </w:p>
    <w:p w14:paraId="1100D466" w14:textId="77777777" w:rsidR="00681532" w:rsidRPr="006F25AE" w:rsidRDefault="00681532" w:rsidP="00681532"/>
    <w:p w14:paraId="67E0F7FD" w14:textId="77777777" w:rsidR="00681532" w:rsidRPr="006F25AE" w:rsidRDefault="00681532" w:rsidP="00681532"/>
    <w:p w14:paraId="3C9681D2" w14:textId="77777777" w:rsidR="00681532" w:rsidRPr="002170DB" w:rsidRDefault="009B65F6" w:rsidP="00681532">
      <w:r w:rsidRPr="002170DB">
        <w:rPr>
          <w:noProof/>
        </w:rPr>
        <w:drawing>
          <wp:inline distT="0" distB="0" distL="0" distR="0" wp14:anchorId="1195572D" wp14:editId="293E20AE">
            <wp:extent cx="5024504" cy="1459097"/>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33631" name=""/>
                    <pic:cNvPicPr/>
                  </pic:nvPicPr>
                  <pic:blipFill>
                    <a:blip r:embed="rId36"/>
                    <a:srcRect l="7627" t="34626" r="7781" b="21702"/>
                    <a:stretch>
                      <a:fillRect/>
                    </a:stretch>
                  </pic:blipFill>
                  <pic:spPr bwMode="auto">
                    <a:xfrm>
                      <a:off x="0" y="0"/>
                      <a:ext cx="5027815" cy="1460058"/>
                    </a:xfrm>
                    <a:prstGeom prst="rect">
                      <a:avLst/>
                    </a:prstGeom>
                    <a:ln>
                      <a:noFill/>
                    </a:ln>
                    <a:extLst>
                      <a:ext uri="{53640926-AAD7-44D8-BBD7-CCE9431645EC}">
                        <a14:shadowObscured xmlns:a14="http://schemas.microsoft.com/office/drawing/2010/main"/>
                      </a:ext>
                    </a:extLst>
                  </pic:spPr>
                </pic:pic>
              </a:graphicData>
            </a:graphic>
          </wp:inline>
        </w:drawing>
      </w:r>
    </w:p>
    <w:p w14:paraId="74FF381E" w14:textId="77777777" w:rsidR="00FC7972" w:rsidRPr="000E2D21" w:rsidRDefault="00FC7972" w:rsidP="00681532"/>
    <w:p w14:paraId="7E18C723" w14:textId="77777777" w:rsidR="00FC7972" w:rsidRPr="006F25AE" w:rsidRDefault="009B65F6">
      <w:r w:rsidRPr="000E2D21">
        <w:br w:type="page"/>
      </w:r>
    </w:p>
    <w:p w14:paraId="179C8DD1" w14:textId="77777777" w:rsidR="00FC7972" w:rsidRPr="006F25AE" w:rsidRDefault="00FC7972" w:rsidP="00681532"/>
    <w:p w14:paraId="6BF94764" w14:textId="60C07BE7" w:rsidR="00E40FFB" w:rsidRPr="006F25AE" w:rsidRDefault="00EC0599" w:rsidP="00E40FFB">
      <w:pPr>
        <w:pStyle w:val="Heading2"/>
      </w:pPr>
      <w:bookmarkStart w:id="14" w:name="_Toc77159462"/>
      <w:r w:rsidRPr="006F25AE">
        <w:t>Modèle</w:t>
      </w:r>
      <w:r w:rsidR="002170DB" w:rsidRPr="006F25AE">
        <w:t> </w:t>
      </w:r>
      <w:r w:rsidRPr="006F25AE">
        <w:t>4a</w:t>
      </w:r>
      <w:r w:rsidR="002170DB" w:rsidRPr="006F25AE">
        <w:t> </w:t>
      </w:r>
      <w:r w:rsidRPr="006F25AE">
        <w:t>: Modèle d</w:t>
      </w:r>
      <w:r w:rsidR="001F551F" w:rsidRPr="006F25AE">
        <w:t>’</w:t>
      </w:r>
      <w:r w:rsidRPr="006F25AE">
        <w:t>exploitation pour les services de plateforme IPA</w:t>
      </w:r>
      <w:bookmarkEnd w:id="14"/>
      <w:r w:rsidR="009B65F6" w:rsidRPr="006F25AE">
        <w:t xml:space="preserve"> </w:t>
      </w:r>
    </w:p>
    <w:p w14:paraId="5534B792" w14:textId="50AC09A1" w:rsidR="00E40FFB" w:rsidRPr="006F25AE" w:rsidRDefault="00EC0599" w:rsidP="00E40FFB">
      <w:r w:rsidRPr="006F25AE">
        <w:t>Le modèle d</w:t>
      </w:r>
      <w:r w:rsidR="001F551F" w:rsidRPr="006F25AE">
        <w:t>’</w:t>
      </w:r>
      <w:r w:rsidRPr="006F25AE">
        <w:t>exploitation pour la fourniture de plateformes IPA est essentiel pour s</w:t>
      </w:r>
      <w:r w:rsidR="001F551F" w:rsidRPr="006F25AE">
        <w:t>’</w:t>
      </w:r>
      <w:r w:rsidRPr="006F25AE">
        <w:t>assurer que les développeurs peuvent fournir de nouvelles IPA et des changements avec rapidité sans compromettre la sécurité, la fiabilité ou la qualité.</w:t>
      </w:r>
      <w:r w:rsidR="003600CF" w:rsidRPr="006F25AE">
        <w:t xml:space="preserve"> </w:t>
      </w:r>
    </w:p>
    <w:p w14:paraId="627339C6" w14:textId="77777777" w:rsidR="003600CF" w:rsidRPr="006F25AE" w:rsidRDefault="003600CF" w:rsidP="00E40FFB"/>
    <w:p w14:paraId="797C43AF" w14:textId="7126C838" w:rsidR="00E40FFB" w:rsidRPr="006F25AE" w:rsidRDefault="00EC0599" w:rsidP="00E40FFB">
      <w:r w:rsidRPr="006F25AE">
        <w:t>Extrait des Procédures obligatoires pour les interfaces de programmation d</w:t>
      </w:r>
      <w:r w:rsidR="001F551F" w:rsidRPr="006F25AE">
        <w:t>’</w:t>
      </w:r>
      <w:r w:rsidRPr="006F25AE">
        <w:t>applications</w:t>
      </w:r>
      <w:r w:rsidR="002170DB" w:rsidRPr="006F25AE">
        <w:t> </w:t>
      </w:r>
      <w:r w:rsidRPr="006F25AE">
        <w:t>:</w:t>
      </w:r>
    </w:p>
    <w:p w14:paraId="2F3D79DA" w14:textId="77777777" w:rsidR="00E40FFB" w:rsidRPr="006F25AE" w:rsidRDefault="00E40FFB" w:rsidP="00E40FFB"/>
    <w:tbl>
      <w:tblPr>
        <w:tblStyle w:val="TableGrid"/>
        <w:tblW w:w="0" w:type="auto"/>
        <w:tblLook w:val="04A0" w:firstRow="1" w:lastRow="0" w:firstColumn="1" w:lastColumn="0" w:noHBand="0" w:noVBand="1"/>
      </w:tblPr>
      <w:tblGrid>
        <w:gridCol w:w="9350"/>
      </w:tblGrid>
      <w:tr w:rsidR="00154099" w:rsidRPr="006F25AE" w14:paraId="31B9E4B7" w14:textId="77777777" w:rsidTr="006B7221">
        <w:tc>
          <w:tcPr>
            <w:tcW w:w="9350" w:type="dxa"/>
          </w:tcPr>
          <w:p w14:paraId="64785B9D" w14:textId="77DC06B3"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D.2.2.1.2 Permettez au personnel d</w:t>
            </w:r>
            <w:r w:rsidR="001F551F" w:rsidRPr="006F25AE">
              <w:rPr>
                <w:rFonts w:asciiTheme="majorHAnsi" w:hAnsiTheme="majorHAnsi" w:cstheme="majorHAnsi"/>
                <w:i/>
                <w:iCs/>
              </w:rPr>
              <w:t>’</w:t>
            </w:r>
            <w:r w:rsidRPr="006F25AE">
              <w:rPr>
                <w:rFonts w:asciiTheme="majorHAnsi" w:hAnsiTheme="majorHAnsi" w:cstheme="majorHAnsi"/>
                <w:i/>
                <w:iCs/>
              </w:rPr>
              <w:t>offrir de meilleurs services en effectuant ce qui suit</w:t>
            </w:r>
            <w:r w:rsidR="002170DB" w:rsidRPr="006F25AE">
              <w:rPr>
                <w:rFonts w:asciiTheme="majorHAnsi" w:hAnsiTheme="majorHAnsi" w:cstheme="majorHAnsi"/>
                <w:i/>
                <w:iCs/>
              </w:rPr>
              <w:t> </w:t>
            </w:r>
            <w:r w:rsidRPr="006F25AE">
              <w:rPr>
                <w:rFonts w:asciiTheme="majorHAnsi" w:hAnsiTheme="majorHAnsi" w:cstheme="majorHAnsi"/>
                <w:i/>
                <w:iCs/>
              </w:rPr>
              <w:t xml:space="preserve">: </w:t>
            </w:r>
          </w:p>
          <w:p w14:paraId="785F7172" w14:textId="77777777" w:rsidR="00E40FFB" w:rsidRPr="006F25AE" w:rsidRDefault="00E40FFB" w:rsidP="006B7221">
            <w:pPr>
              <w:rPr>
                <w:rFonts w:asciiTheme="majorHAnsi" w:hAnsiTheme="majorHAnsi" w:cstheme="majorHAnsi"/>
                <w:i/>
                <w:iCs/>
              </w:rPr>
            </w:pPr>
          </w:p>
          <w:p w14:paraId="00901356" w14:textId="5B45FDA9"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D.2.2.1.2.1 Veillez à ce que les outils, la formation et les processus nécessaires soient en place pour appuyer un processus robuste et souple d</w:t>
            </w:r>
            <w:r w:rsidR="001F551F" w:rsidRPr="006F25AE">
              <w:rPr>
                <w:rFonts w:asciiTheme="majorHAnsi" w:hAnsiTheme="majorHAnsi" w:cstheme="majorHAnsi"/>
                <w:i/>
                <w:iCs/>
              </w:rPr>
              <w:t>’</w:t>
            </w:r>
            <w:r w:rsidRPr="006F25AE">
              <w:rPr>
                <w:rFonts w:asciiTheme="majorHAnsi" w:hAnsiTheme="majorHAnsi" w:cstheme="majorHAnsi"/>
                <w:i/>
                <w:iCs/>
              </w:rPr>
              <w:t>élaboration et de gestion du cycle de vie des API.</w:t>
            </w:r>
          </w:p>
          <w:p w14:paraId="32427387" w14:textId="77777777" w:rsidR="00E40FFB" w:rsidRPr="006F25AE" w:rsidRDefault="00E40FFB" w:rsidP="006B7221">
            <w:pPr>
              <w:rPr>
                <w:rFonts w:asciiTheme="majorHAnsi" w:hAnsiTheme="majorHAnsi" w:cstheme="majorHAnsi"/>
                <w:i/>
                <w:iCs/>
              </w:rPr>
            </w:pPr>
          </w:p>
          <w:p w14:paraId="3A56DF1B" w14:textId="4EF9F2B1" w:rsidR="00E40FFB" w:rsidRPr="006F25AE" w:rsidRDefault="00EC0599" w:rsidP="006B7221">
            <w:pPr>
              <w:rPr>
                <w:rFonts w:asciiTheme="majorHAnsi" w:hAnsiTheme="majorHAnsi" w:cstheme="majorHAnsi"/>
                <w:i/>
                <w:iCs/>
              </w:rPr>
            </w:pPr>
            <w:r w:rsidRPr="006F25AE">
              <w:rPr>
                <w:rFonts w:asciiTheme="majorHAnsi" w:hAnsiTheme="majorHAnsi" w:cstheme="majorHAnsi"/>
                <w:i/>
                <w:iCs/>
              </w:rPr>
              <w:t>D.2.2.1.2.2 Adoptez des pratiques d</w:t>
            </w:r>
            <w:r w:rsidR="001F551F" w:rsidRPr="006F25AE">
              <w:rPr>
                <w:rFonts w:asciiTheme="majorHAnsi" w:hAnsiTheme="majorHAnsi" w:cstheme="majorHAnsi"/>
                <w:i/>
                <w:iCs/>
              </w:rPr>
              <w:t>’</w:t>
            </w:r>
            <w:r w:rsidRPr="006F25AE">
              <w:rPr>
                <w:rFonts w:asciiTheme="majorHAnsi" w:hAnsiTheme="majorHAnsi" w:cstheme="majorHAnsi"/>
                <w:i/>
                <w:iCs/>
              </w:rPr>
              <w:t>intégration et de prestation continues (CI/CD) et de développement axé sur les essais (DAE) appuyées par des outils d</w:t>
            </w:r>
            <w:r w:rsidR="001F551F" w:rsidRPr="006F25AE">
              <w:rPr>
                <w:rFonts w:asciiTheme="majorHAnsi" w:hAnsiTheme="majorHAnsi" w:cstheme="majorHAnsi"/>
                <w:i/>
                <w:iCs/>
              </w:rPr>
              <w:t>’</w:t>
            </w:r>
            <w:r w:rsidRPr="006F25AE">
              <w:rPr>
                <w:rFonts w:asciiTheme="majorHAnsi" w:hAnsiTheme="majorHAnsi" w:cstheme="majorHAnsi"/>
                <w:i/>
                <w:iCs/>
              </w:rPr>
              <w:t>automatisation et des essais de sécurité intégrés.</w:t>
            </w:r>
            <w:r w:rsidRPr="006F25AE">
              <w:rPr>
                <w:rFonts w:asciiTheme="majorHAnsi" w:hAnsiTheme="majorHAnsi" w:cstheme="majorHAnsi"/>
                <w:iCs/>
              </w:rPr>
              <w:t xml:space="preserve"> </w:t>
            </w:r>
            <w:r w:rsidRPr="006F25AE">
              <w:rPr>
                <w:rFonts w:asciiTheme="majorHAnsi" w:hAnsiTheme="majorHAnsi" w:cstheme="majorHAnsi"/>
                <w:i/>
                <w:iCs/>
              </w:rPr>
              <w:t>Cela constitue la base de l</w:t>
            </w:r>
            <w:r w:rsidR="001F551F" w:rsidRPr="006F25AE">
              <w:rPr>
                <w:rFonts w:asciiTheme="majorHAnsi" w:hAnsiTheme="majorHAnsi" w:cstheme="majorHAnsi"/>
                <w:i/>
                <w:iCs/>
              </w:rPr>
              <w:t>’</w:t>
            </w:r>
            <w:r w:rsidRPr="006F25AE">
              <w:rPr>
                <w:rFonts w:asciiTheme="majorHAnsi" w:hAnsiTheme="majorHAnsi" w:cstheme="majorHAnsi"/>
                <w:i/>
                <w:iCs/>
              </w:rPr>
              <w:t>adoption de DevOps à mesure que la maturité s</w:t>
            </w:r>
            <w:r w:rsidR="001F551F" w:rsidRPr="006F25AE">
              <w:rPr>
                <w:rFonts w:asciiTheme="majorHAnsi" w:hAnsiTheme="majorHAnsi" w:cstheme="majorHAnsi"/>
                <w:i/>
                <w:iCs/>
              </w:rPr>
              <w:t>’</w:t>
            </w:r>
            <w:r w:rsidRPr="006F25AE">
              <w:rPr>
                <w:rFonts w:asciiTheme="majorHAnsi" w:hAnsiTheme="majorHAnsi" w:cstheme="majorHAnsi"/>
                <w:i/>
                <w:iCs/>
              </w:rPr>
              <w:t>améliore.</w:t>
            </w:r>
          </w:p>
        </w:tc>
      </w:tr>
    </w:tbl>
    <w:p w14:paraId="438810CE" w14:textId="77777777" w:rsidR="00E40FFB" w:rsidRPr="006F25AE" w:rsidRDefault="00E40FFB" w:rsidP="00E40FFB"/>
    <w:p w14:paraId="55F97DE2" w14:textId="77777777" w:rsidR="00E40FFB" w:rsidRPr="006F25AE" w:rsidRDefault="00E40FFB" w:rsidP="00E40FFB"/>
    <w:p w14:paraId="5F5F3924" w14:textId="6BB3B447" w:rsidR="005F7CDB" w:rsidRPr="006F25AE" w:rsidRDefault="00EC0599" w:rsidP="00E40FFB">
      <w:r w:rsidRPr="006F25AE">
        <w:t>Dans un environnement infonuagique, la passerelle IPA et le pare-feu d</w:t>
      </w:r>
      <w:r w:rsidR="001F551F" w:rsidRPr="006F25AE">
        <w:t>’</w:t>
      </w:r>
      <w:r w:rsidRPr="006F25AE">
        <w:t xml:space="preserve">application Web comme services de </w:t>
      </w:r>
      <w:r w:rsidR="002170DB" w:rsidRPr="006F25AE">
        <w:t>plateforme</w:t>
      </w:r>
      <w:r w:rsidRPr="006F25AE">
        <w:t>.</w:t>
      </w:r>
      <w:r w:rsidR="00767BA2" w:rsidRPr="006F25AE">
        <w:t xml:space="preserve"> </w:t>
      </w:r>
      <w:r w:rsidRPr="006F25AE">
        <w:t>La plateforme elle-même est gérée par le fournisseur de services infonuagiques.</w:t>
      </w:r>
      <w:r w:rsidR="00767BA2" w:rsidRPr="006F25AE">
        <w:t xml:space="preserve"> </w:t>
      </w:r>
      <w:r w:rsidRPr="006F25AE">
        <w:t>Les développeurs déploient des configurations sur la plateforme pour prendre en charge leurs applications, généralement au moyen d</w:t>
      </w:r>
      <w:r w:rsidR="001F551F" w:rsidRPr="006F25AE">
        <w:t>’</w:t>
      </w:r>
      <w:r w:rsidRPr="006F25AE">
        <w:t>un pipeline.</w:t>
      </w:r>
      <w:r w:rsidR="00767BA2" w:rsidRPr="006F25AE">
        <w:t xml:space="preserve"> </w:t>
      </w:r>
      <w:r w:rsidRPr="006F25AE">
        <w:t>Les opérations travaillent avec la gouvernance pour déployer les stratégies requises pour que tous les développeurs puissent les suivre ainsi que pour surveiller les scénarios à haut risque.</w:t>
      </w:r>
      <w:r w:rsidR="00767BA2" w:rsidRPr="006F25AE">
        <w:t xml:space="preserve"> </w:t>
      </w:r>
      <w:r w:rsidRPr="006F25AE">
        <w:t>Ces stratégies peuvent supprimer les options de configuration à haut risque.</w:t>
      </w:r>
      <w:r w:rsidR="00767BA2" w:rsidRPr="006F25AE">
        <w:t xml:space="preserve"> </w:t>
      </w:r>
      <w:r w:rsidRPr="006F25AE">
        <w:t>Voici des exemples de stratégiques qui pourraient être appliquées</w:t>
      </w:r>
      <w:r w:rsidR="002170DB" w:rsidRPr="006F25AE">
        <w:t> </w:t>
      </w:r>
      <w:r w:rsidRPr="006F25AE">
        <w:t>:</w:t>
      </w:r>
    </w:p>
    <w:p w14:paraId="63200573" w14:textId="77777777" w:rsidR="00767BA2" w:rsidRPr="006F25AE" w:rsidRDefault="00767BA2" w:rsidP="00E40FFB"/>
    <w:p w14:paraId="5E7DF1C7" w14:textId="7D10320B" w:rsidR="005F7CDB" w:rsidRPr="006F25AE" w:rsidRDefault="00EC0599" w:rsidP="00767BA2">
      <w:pPr>
        <w:pStyle w:val="ListParagraph"/>
        <w:numPr>
          <w:ilvl w:val="0"/>
          <w:numId w:val="16"/>
        </w:numPr>
        <w:rPr>
          <w:lang w:val="fr-CA"/>
        </w:rPr>
      </w:pPr>
      <w:r w:rsidRPr="006F25AE">
        <w:rPr>
          <w:lang w:val="fr-CA"/>
        </w:rPr>
        <w:t>Toutes les IPA doivent être enregistrées dans une passerelle IPA</w:t>
      </w:r>
    </w:p>
    <w:p w14:paraId="20B159CE" w14:textId="25B15DB7" w:rsidR="00454C14" w:rsidRPr="006F25AE" w:rsidRDefault="00EC0599" w:rsidP="00767BA2">
      <w:pPr>
        <w:pStyle w:val="ListParagraph"/>
        <w:numPr>
          <w:ilvl w:val="0"/>
          <w:numId w:val="16"/>
        </w:numPr>
        <w:rPr>
          <w:lang w:val="fr-CA"/>
        </w:rPr>
      </w:pPr>
      <w:r w:rsidRPr="006F25AE">
        <w:rPr>
          <w:lang w:val="fr-CA"/>
        </w:rPr>
        <w:t>Toutes les passerelles IPA doivent être connectées à un pare-feu d</w:t>
      </w:r>
      <w:r w:rsidR="001F551F" w:rsidRPr="006F25AE">
        <w:rPr>
          <w:lang w:val="fr-CA"/>
        </w:rPr>
        <w:t>’</w:t>
      </w:r>
      <w:r w:rsidRPr="006F25AE">
        <w:rPr>
          <w:lang w:val="fr-CA"/>
        </w:rPr>
        <w:t>application Web</w:t>
      </w:r>
    </w:p>
    <w:p w14:paraId="4ECEE6A3" w14:textId="5ED8DC2B" w:rsidR="00454C14" w:rsidRPr="006F25AE" w:rsidRDefault="00EC0599" w:rsidP="00767BA2">
      <w:pPr>
        <w:pStyle w:val="ListParagraph"/>
        <w:numPr>
          <w:ilvl w:val="0"/>
          <w:numId w:val="16"/>
        </w:numPr>
        <w:rPr>
          <w:lang w:val="fr-CA"/>
        </w:rPr>
      </w:pPr>
      <w:r w:rsidRPr="006F25AE">
        <w:rPr>
          <w:lang w:val="fr-CA"/>
        </w:rPr>
        <w:t xml:space="preserve">Toutes les </w:t>
      </w:r>
      <w:r w:rsidR="00EC27AB" w:rsidRPr="006F25AE">
        <w:rPr>
          <w:lang w:val="fr-CA"/>
        </w:rPr>
        <w:t>IPA</w:t>
      </w:r>
      <w:r w:rsidRPr="006F25AE">
        <w:rPr>
          <w:lang w:val="fr-CA"/>
        </w:rPr>
        <w:t xml:space="preserve"> nécessitent une authentification (peut-être une technologie d</w:t>
      </w:r>
      <w:r w:rsidR="001F551F" w:rsidRPr="006F25AE">
        <w:rPr>
          <w:lang w:val="fr-CA"/>
        </w:rPr>
        <w:t>’</w:t>
      </w:r>
      <w:r w:rsidRPr="006F25AE">
        <w:rPr>
          <w:lang w:val="fr-CA"/>
        </w:rPr>
        <w:t>authentification précise)</w:t>
      </w:r>
    </w:p>
    <w:p w14:paraId="7272DAE5" w14:textId="193BC698" w:rsidR="00454C14" w:rsidRPr="006F25AE" w:rsidRDefault="00EC0599" w:rsidP="00767BA2">
      <w:pPr>
        <w:pStyle w:val="ListParagraph"/>
        <w:numPr>
          <w:ilvl w:val="0"/>
          <w:numId w:val="16"/>
        </w:numPr>
        <w:rPr>
          <w:lang w:val="fr-CA"/>
        </w:rPr>
      </w:pPr>
      <w:r w:rsidRPr="006F25AE">
        <w:rPr>
          <w:lang w:val="fr-CA"/>
        </w:rPr>
        <w:t>Toutes les IPA doivent utiliser le protocole https</w:t>
      </w:r>
    </w:p>
    <w:p w14:paraId="3B4481AC" w14:textId="681D90FF" w:rsidR="00E40FFB" w:rsidRPr="006F25AE" w:rsidRDefault="00EC0599" w:rsidP="00E40FFB">
      <w:pPr>
        <w:pStyle w:val="ListParagraph"/>
        <w:numPr>
          <w:ilvl w:val="0"/>
          <w:numId w:val="16"/>
        </w:numPr>
        <w:rPr>
          <w:lang w:val="fr-CA"/>
        </w:rPr>
      </w:pPr>
      <w:r w:rsidRPr="006F25AE">
        <w:rPr>
          <w:lang w:val="fr-CA"/>
        </w:rPr>
        <w:t>Tous les pare-feu doivent inclure un ensemble de règles clés</w:t>
      </w:r>
    </w:p>
    <w:p w14:paraId="4E2F6E56" w14:textId="77777777" w:rsidR="00681532" w:rsidRPr="006F25AE" w:rsidRDefault="00681532" w:rsidP="00E40FFB"/>
    <w:p w14:paraId="0CA8C4B1" w14:textId="0DF57005" w:rsidR="00E40FFB" w:rsidRPr="006F25AE" w:rsidRDefault="00EC0599" w:rsidP="00E40FFB">
      <w:r w:rsidRPr="006F25AE">
        <w:t xml:space="preserve">La description ci-dessous ne doit pas être considérée comme des </w:t>
      </w:r>
      <w:r w:rsidR="002170DB" w:rsidRPr="006F25AE">
        <w:t>« </w:t>
      </w:r>
      <w:r w:rsidRPr="006F25AE">
        <w:t>exemples</w:t>
      </w:r>
      <w:r w:rsidR="002170DB" w:rsidRPr="006F25AE">
        <w:t> »</w:t>
      </w:r>
      <w:r w:rsidRPr="006F25AE">
        <w:t xml:space="preserve"> de capacités communes pour chaque application, mais plutôt comme un ensemble commun de plateformes.</w:t>
      </w:r>
      <w:r w:rsidR="009B65F6" w:rsidRPr="006F25AE">
        <w:t xml:space="preserve"> </w:t>
      </w:r>
      <w:r w:rsidRPr="006F25AE">
        <w:t>Chaque application peut nécessiter une configuration unique de la plateforme adaptée à son but.</w:t>
      </w:r>
      <w:r w:rsidR="009B65F6" w:rsidRPr="006F25AE">
        <w:t xml:space="preserve"> </w:t>
      </w:r>
      <w:r w:rsidRPr="006F25AE">
        <w:t xml:space="preserve">En outre, les opérations peuvent mettre en </w:t>
      </w:r>
      <w:r w:rsidR="002170DB" w:rsidRPr="006F25AE">
        <w:t>œ</w:t>
      </w:r>
      <w:r w:rsidRPr="006F25AE">
        <w:t>uvre une configuration de base commune sur toutes les plateformes.</w:t>
      </w:r>
      <w:r w:rsidR="009B65F6" w:rsidRPr="006F25AE">
        <w:t xml:space="preserve"> </w:t>
      </w:r>
    </w:p>
    <w:p w14:paraId="418E7FE9" w14:textId="77777777" w:rsidR="00681532" w:rsidRPr="006F25AE" w:rsidRDefault="00681532" w:rsidP="00E40FFB"/>
    <w:p w14:paraId="12CDDDAC" w14:textId="77777777" w:rsidR="00681532" w:rsidRPr="006F25AE" w:rsidRDefault="00681532" w:rsidP="00E40FFB"/>
    <w:p w14:paraId="7EBDC2A8" w14:textId="77777777" w:rsidR="00681532" w:rsidRPr="006F25AE" w:rsidRDefault="00681532" w:rsidP="00E40FFB"/>
    <w:p w14:paraId="50E1A98E" w14:textId="77777777" w:rsidR="00681532" w:rsidRPr="006F25AE" w:rsidRDefault="00681532" w:rsidP="00E40FFB"/>
    <w:p w14:paraId="7C32969B" w14:textId="77777777" w:rsidR="00681532" w:rsidRPr="006F25AE" w:rsidRDefault="00681532" w:rsidP="00E40FFB"/>
    <w:p w14:paraId="3BC8B956" w14:textId="77777777" w:rsidR="00681532" w:rsidRPr="002170DB" w:rsidRDefault="009B65F6" w:rsidP="005310CA">
      <w:pPr>
        <w:jc w:val="center"/>
      </w:pPr>
      <w:r w:rsidRPr="002170DB">
        <w:rPr>
          <w:noProof/>
        </w:rPr>
        <w:drawing>
          <wp:inline distT="0" distB="0" distL="0" distR="0" wp14:anchorId="4F788A0D" wp14:editId="5E550291">
            <wp:extent cx="4254910" cy="177654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24252" name=""/>
                    <pic:cNvPicPr/>
                  </pic:nvPicPr>
                  <pic:blipFill>
                    <a:blip r:embed="rId37"/>
                    <a:srcRect l="13282" t="29556" r="15087" b="17274"/>
                    <a:stretch>
                      <a:fillRect/>
                    </a:stretch>
                  </pic:blipFill>
                  <pic:spPr bwMode="auto">
                    <a:xfrm>
                      <a:off x="0" y="0"/>
                      <a:ext cx="4257434" cy="1777598"/>
                    </a:xfrm>
                    <a:prstGeom prst="rect">
                      <a:avLst/>
                    </a:prstGeom>
                    <a:ln>
                      <a:noFill/>
                    </a:ln>
                    <a:extLst>
                      <a:ext uri="{53640926-AAD7-44D8-BBD7-CCE9431645EC}">
                        <a14:shadowObscured xmlns:a14="http://schemas.microsoft.com/office/drawing/2010/main"/>
                      </a:ext>
                    </a:extLst>
                  </pic:spPr>
                </pic:pic>
              </a:graphicData>
            </a:graphic>
          </wp:inline>
        </w:drawing>
      </w:r>
    </w:p>
    <w:p w14:paraId="1E7AE9FE" w14:textId="77777777" w:rsidR="00681532" w:rsidRPr="000E2D21" w:rsidRDefault="00681532" w:rsidP="00E40FFB">
      <w:pPr>
        <w:rPr>
          <w:rFonts w:asciiTheme="majorHAnsi" w:eastAsiaTheme="majorEastAsia" w:hAnsiTheme="majorHAnsi" w:cstheme="majorBidi"/>
          <w:color w:val="2E74B5" w:themeColor="accent1" w:themeShade="BF"/>
          <w:sz w:val="26"/>
          <w:szCs w:val="26"/>
        </w:rPr>
      </w:pPr>
    </w:p>
    <w:p w14:paraId="6C6F6F44" w14:textId="77777777" w:rsidR="00414013" w:rsidRPr="006F25AE" w:rsidRDefault="009B65F6">
      <w:r w:rsidRPr="000E2D21">
        <w:br w:type="page"/>
      </w:r>
    </w:p>
    <w:p w14:paraId="0A0C742D" w14:textId="4F299081" w:rsidR="00E85749" w:rsidRPr="006F25AE" w:rsidRDefault="00D00A0A" w:rsidP="00414013">
      <w:pPr>
        <w:pStyle w:val="Heading1"/>
      </w:pPr>
      <w:bookmarkStart w:id="15" w:name="_Toc77159463"/>
      <w:r w:rsidRPr="006F25AE">
        <w:t>Harmonisation avec les scénarios de connectivité du GC</w:t>
      </w:r>
      <w:bookmarkEnd w:id="15"/>
    </w:p>
    <w:p w14:paraId="1AD18830" w14:textId="441979D1" w:rsidR="00C1608F" w:rsidRPr="006F25AE" w:rsidRDefault="00D00A0A" w:rsidP="0038355E">
      <w:pPr>
        <w:rPr>
          <w:rFonts w:eastAsia="Calibri"/>
        </w:rPr>
      </w:pPr>
      <w:r w:rsidRPr="006F25AE">
        <w:rPr>
          <w:rFonts w:eastAsia="Calibri"/>
        </w:rPr>
        <w:t>Afin d</w:t>
      </w:r>
      <w:r w:rsidR="001F551F" w:rsidRPr="006F25AE">
        <w:rPr>
          <w:rFonts w:eastAsia="Calibri"/>
        </w:rPr>
        <w:t>’</w:t>
      </w:r>
      <w:r w:rsidRPr="006F25AE">
        <w:rPr>
          <w:rFonts w:eastAsia="Calibri"/>
        </w:rPr>
        <w:t xml:space="preserve">aider les ministères du GC à décrire leurs modèles de connectivité, la CEAI GC a approuvé un ensemble de </w:t>
      </w:r>
      <w:hyperlink r:id="rId38" w:history="1">
        <w:r w:rsidRPr="000E2D21">
          <w:rPr>
            <w:rStyle w:val="Hyperlink"/>
            <w:rFonts w:eastAsia="Calibri"/>
          </w:rPr>
          <w:t>scénarios de connectivité</w:t>
        </w:r>
      </w:hyperlink>
      <w:r w:rsidRPr="002170DB">
        <w:rPr>
          <w:rStyle w:val="Hyperlink"/>
          <w:rFonts w:eastAsia="Calibri"/>
          <w:u w:val="none"/>
        </w:rPr>
        <w:t>.</w:t>
      </w:r>
      <w:r w:rsidR="007A1289" w:rsidRPr="000E2D21">
        <w:rPr>
          <w:rFonts w:eastAsia="Calibri"/>
        </w:rPr>
        <w:t xml:space="preserve"> </w:t>
      </w:r>
      <w:r w:rsidRPr="000E2D21">
        <w:rPr>
          <w:rFonts w:eastAsia="Calibri"/>
        </w:rPr>
        <w:t>L</w:t>
      </w:r>
      <w:r w:rsidR="001F551F" w:rsidRPr="006F25AE">
        <w:rPr>
          <w:rFonts w:eastAsia="Calibri"/>
        </w:rPr>
        <w:t>’</w:t>
      </w:r>
      <w:r w:rsidRPr="006F25AE">
        <w:rPr>
          <w:rFonts w:eastAsia="Calibri"/>
        </w:rPr>
        <w:t>intégration d</w:t>
      </w:r>
      <w:r w:rsidR="001F551F" w:rsidRPr="006F25AE">
        <w:rPr>
          <w:rFonts w:eastAsia="Calibri"/>
        </w:rPr>
        <w:t>’</w:t>
      </w:r>
      <w:r w:rsidRPr="006F25AE">
        <w:rPr>
          <w:rFonts w:eastAsia="Calibri"/>
        </w:rPr>
        <w:t>applications ou de services informatiques hybrides (infonuagiques et sur place) relève du scénario D. Pour ceux qui orchestrent les interactions d</w:t>
      </w:r>
      <w:r w:rsidR="001F551F" w:rsidRPr="006F25AE">
        <w:rPr>
          <w:rFonts w:eastAsia="Calibri"/>
        </w:rPr>
        <w:t>’</w:t>
      </w:r>
      <w:r w:rsidRPr="006F25AE">
        <w:rPr>
          <w:rFonts w:eastAsia="Calibri"/>
        </w:rPr>
        <w:t>IPA sur Internet, entre les IPA publiques, mais sécurisées, sur place et celles dans le nuage, D1 s</w:t>
      </w:r>
      <w:r w:rsidR="001F551F" w:rsidRPr="006F25AE">
        <w:rPr>
          <w:rFonts w:eastAsia="Calibri"/>
        </w:rPr>
        <w:t>’</w:t>
      </w:r>
      <w:r w:rsidRPr="006F25AE">
        <w:rPr>
          <w:rFonts w:eastAsia="Calibri"/>
        </w:rPr>
        <w:t>applique lorsque tout le trafic traverse le Service Internet d</w:t>
      </w:r>
      <w:r w:rsidR="001F551F" w:rsidRPr="006F25AE">
        <w:rPr>
          <w:rFonts w:eastAsia="Calibri"/>
        </w:rPr>
        <w:t>’</w:t>
      </w:r>
      <w:r w:rsidRPr="006F25AE">
        <w:rPr>
          <w:rFonts w:eastAsia="Calibri"/>
        </w:rPr>
        <w:t>entreprise (SIE) du GC.</w:t>
      </w:r>
      <w:r w:rsidR="007A1289" w:rsidRPr="006F25AE">
        <w:rPr>
          <w:rFonts w:eastAsia="Calibri"/>
        </w:rPr>
        <w:t xml:space="preserve"> </w:t>
      </w:r>
      <w:r w:rsidRPr="006F25AE">
        <w:rPr>
          <w:rFonts w:eastAsia="Calibri"/>
        </w:rPr>
        <w:t>Pour ceux qui orchestrent le même scénario sur CXP, le scénario</w:t>
      </w:r>
      <w:r w:rsidR="002170DB" w:rsidRPr="006F25AE">
        <w:rPr>
          <w:rFonts w:eastAsia="Calibri"/>
        </w:rPr>
        <w:t> </w:t>
      </w:r>
      <w:r w:rsidRPr="006F25AE">
        <w:rPr>
          <w:rFonts w:eastAsia="Calibri"/>
        </w:rPr>
        <w:t>D6 s</w:t>
      </w:r>
      <w:r w:rsidR="001F551F" w:rsidRPr="006F25AE">
        <w:rPr>
          <w:rFonts w:eastAsia="Calibri"/>
        </w:rPr>
        <w:t>’</w:t>
      </w:r>
      <w:r w:rsidRPr="006F25AE">
        <w:rPr>
          <w:rFonts w:eastAsia="Calibri"/>
        </w:rPr>
        <w:t>applique.</w:t>
      </w:r>
      <w:r w:rsidR="007A1289" w:rsidRPr="006F25AE">
        <w:rPr>
          <w:rFonts w:eastAsia="Calibri"/>
        </w:rPr>
        <w:t xml:space="preserve"> </w:t>
      </w:r>
    </w:p>
    <w:p w14:paraId="736268DC" w14:textId="77777777" w:rsidR="00C1608F" w:rsidRPr="006F25AE" w:rsidRDefault="00C1608F" w:rsidP="0038355E">
      <w:pPr>
        <w:rPr>
          <w:rFonts w:eastAsia="Calibri"/>
        </w:rPr>
      </w:pPr>
    </w:p>
    <w:p w14:paraId="215DAE71" w14:textId="72429483" w:rsidR="008141D7" w:rsidRPr="006F25AE" w:rsidRDefault="00D00A0A" w:rsidP="0038355E">
      <w:pPr>
        <w:rPr>
          <w:rFonts w:eastAsia="Calibri"/>
        </w:rPr>
      </w:pPr>
      <w:r w:rsidRPr="006F25AE">
        <w:rPr>
          <w:rFonts w:eastAsia="Calibri"/>
        </w:rPr>
        <w:t>Le point d</w:t>
      </w:r>
      <w:r w:rsidR="001F551F" w:rsidRPr="006F25AE">
        <w:rPr>
          <w:rFonts w:eastAsia="Calibri"/>
        </w:rPr>
        <w:t>’</w:t>
      </w:r>
      <w:r w:rsidRPr="006F25AE">
        <w:rPr>
          <w:rFonts w:eastAsia="Calibri"/>
        </w:rPr>
        <w:t>accès au nuage (PAN) est élaboré pour les scénarios d</w:t>
      </w:r>
      <w:r w:rsidR="001F551F" w:rsidRPr="006F25AE">
        <w:rPr>
          <w:rFonts w:eastAsia="Calibri"/>
        </w:rPr>
        <w:t>’</w:t>
      </w:r>
      <w:r w:rsidRPr="006F25AE">
        <w:rPr>
          <w:rFonts w:eastAsia="Calibri"/>
        </w:rPr>
        <w:t>IaaS, car la PaaS est hors de la portée de l</w:t>
      </w:r>
      <w:r w:rsidR="001F551F" w:rsidRPr="006F25AE">
        <w:rPr>
          <w:rFonts w:eastAsia="Calibri"/>
        </w:rPr>
        <w:t>’</w:t>
      </w:r>
      <w:r w:rsidRPr="006F25AE">
        <w:rPr>
          <w:rFonts w:eastAsia="Calibri"/>
        </w:rPr>
        <w:t>initiative d</w:t>
      </w:r>
      <w:r w:rsidR="001F551F" w:rsidRPr="006F25AE">
        <w:rPr>
          <w:rFonts w:eastAsia="Calibri"/>
        </w:rPr>
        <w:t>’</w:t>
      </w:r>
      <w:r w:rsidRPr="006F25AE">
        <w:rPr>
          <w:rFonts w:eastAsia="Calibri"/>
        </w:rPr>
        <w:t>Activation et défense du nuage sécurisé (ADNS).</w:t>
      </w:r>
      <w:r w:rsidR="00F7376F" w:rsidRPr="006F25AE">
        <w:rPr>
          <w:rFonts w:eastAsia="Calibri"/>
        </w:rPr>
        <w:t xml:space="preserve"> </w:t>
      </w:r>
      <w:r w:rsidRPr="006F25AE">
        <w:rPr>
          <w:rFonts w:eastAsia="Calibri"/>
        </w:rPr>
        <w:t>Étant donné que les points d</w:t>
      </w:r>
      <w:r w:rsidR="001F551F" w:rsidRPr="006F25AE">
        <w:rPr>
          <w:rFonts w:eastAsia="Calibri"/>
        </w:rPr>
        <w:t>’</w:t>
      </w:r>
      <w:r w:rsidR="00392005" w:rsidRPr="006F25AE">
        <w:rPr>
          <w:rFonts w:eastAsia="Calibri"/>
        </w:rPr>
        <w:t>extrémité</w:t>
      </w:r>
      <w:r w:rsidRPr="006F25AE">
        <w:rPr>
          <w:rFonts w:eastAsia="Calibri"/>
        </w:rPr>
        <w:t xml:space="preserve"> IPA reposent sur des fonctionnalités de passerelle IPA comme le filtrage IP, mais plus important encore, l</w:t>
      </w:r>
      <w:r w:rsidR="001F551F" w:rsidRPr="006F25AE">
        <w:rPr>
          <w:rFonts w:eastAsia="Calibri"/>
        </w:rPr>
        <w:t>’</w:t>
      </w:r>
      <w:r w:rsidRPr="006F25AE">
        <w:rPr>
          <w:rFonts w:eastAsia="Calibri"/>
        </w:rPr>
        <w:t>identité pour authentifier et autoriser l</w:t>
      </w:r>
      <w:r w:rsidR="001F551F" w:rsidRPr="006F25AE">
        <w:rPr>
          <w:rFonts w:eastAsia="Calibri"/>
        </w:rPr>
        <w:t>’</w:t>
      </w:r>
      <w:r w:rsidRPr="006F25AE">
        <w:rPr>
          <w:rFonts w:eastAsia="Calibri"/>
        </w:rPr>
        <w:t>accès au point d</w:t>
      </w:r>
      <w:r w:rsidR="001F551F" w:rsidRPr="006F25AE">
        <w:rPr>
          <w:rFonts w:eastAsia="Calibri"/>
        </w:rPr>
        <w:t>’</w:t>
      </w:r>
      <w:r w:rsidR="00392005" w:rsidRPr="006F25AE">
        <w:rPr>
          <w:rFonts w:eastAsia="Calibri"/>
        </w:rPr>
        <w:t>extrémité</w:t>
      </w:r>
      <w:r w:rsidRPr="006F25AE">
        <w:rPr>
          <w:rFonts w:eastAsia="Calibri"/>
        </w:rPr>
        <w:t>, le routage du trafic au moyen du PAN n</w:t>
      </w:r>
      <w:r w:rsidR="001F551F" w:rsidRPr="006F25AE">
        <w:rPr>
          <w:rFonts w:eastAsia="Calibri"/>
        </w:rPr>
        <w:t>’</w:t>
      </w:r>
      <w:r w:rsidRPr="006F25AE">
        <w:rPr>
          <w:rFonts w:eastAsia="Calibri"/>
        </w:rPr>
        <w:t>est pas nécessaire.</w:t>
      </w:r>
      <w:r w:rsidR="00F7376F" w:rsidRPr="006F25AE">
        <w:rPr>
          <w:rFonts w:eastAsia="Calibri"/>
        </w:rPr>
        <w:t xml:space="preserve"> </w:t>
      </w:r>
      <w:r w:rsidRPr="006F25AE">
        <w:rPr>
          <w:rFonts w:eastAsia="Calibri"/>
        </w:rPr>
        <w:t>À l</w:t>
      </w:r>
      <w:r w:rsidR="001F551F" w:rsidRPr="006F25AE">
        <w:rPr>
          <w:rFonts w:eastAsia="Calibri"/>
        </w:rPr>
        <w:t>’</w:t>
      </w:r>
      <w:r w:rsidRPr="006F25AE">
        <w:rPr>
          <w:rFonts w:eastAsia="Calibri"/>
        </w:rPr>
        <w:t>aide de modèles de déploiement PaaS, mettez la couche réseau de la passerelle IPA et du pare-feu d</w:t>
      </w:r>
      <w:r w:rsidR="001F551F" w:rsidRPr="006F25AE">
        <w:rPr>
          <w:rFonts w:eastAsia="Calibri"/>
        </w:rPr>
        <w:t>’</w:t>
      </w:r>
      <w:r w:rsidRPr="006F25AE">
        <w:rPr>
          <w:rFonts w:eastAsia="Calibri"/>
        </w:rPr>
        <w:t>application Web sous la gestion du fournisseur de services infonuagiques.</w:t>
      </w:r>
      <w:r w:rsidR="00F7376F" w:rsidRPr="006F25AE">
        <w:rPr>
          <w:rFonts w:eastAsia="Calibri"/>
        </w:rPr>
        <w:t xml:space="preserve"> </w:t>
      </w:r>
      <w:r w:rsidRPr="006F25AE">
        <w:rPr>
          <w:rFonts w:eastAsia="Calibri"/>
        </w:rPr>
        <w:t>Au moment de la rédaction du présent document, les services minimaux suivants sont recommandés</w:t>
      </w:r>
      <w:r w:rsidR="002170DB" w:rsidRPr="006F25AE">
        <w:rPr>
          <w:rFonts w:eastAsia="Calibri"/>
        </w:rPr>
        <w:t> </w:t>
      </w:r>
      <w:r w:rsidRPr="006F25AE">
        <w:rPr>
          <w:rFonts w:eastAsia="Calibri"/>
        </w:rPr>
        <w:t>:</w:t>
      </w:r>
    </w:p>
    <w:p w14:paraId="21F9FBE5" w14:textId="77777777" w:rsidR="00F7376F" w:rsidRPr="006F25AE" w:rsidRDefault="00F7376F" w:rsidP="00F7376F">
      <w:pPr>
        <w:pStyle w:val="Default"/>
        <w:rPr>
          <w:color w:val="auto"/>
          <w:lang w:val="fr-CA"/>
        </w:rPr>
      </w:pPr>
    </w:p>
    <w:p w14:paraId="0E4147AD" w14:textId="12D20C15" w:rsidR="00F7376F" w:rsidRPr="006F25AE" w:rsidRDefault="00D00A0A" w:rsidP="00F7376F">
      <w:pPr>
        <w:pStyle w:val="Default"/>
        <w:numPr>
          <w:ilvl w:val="0"/>
          <w:numId w:val="19"/>
        </w:numPr>
        <w:rPr>
          <w:sz w:val="18"/>
          <w:szCs w:val="18"/>
          <w:lang w:val="fr-CA"/>
        </w:rPr>
      </w:pPr>
      <w:r w:rsidRPr="006F25AE">
        <w:rPr>
          <w:sz w:val="18"/>
          <w:szCs w:val="18"/>
          <w:lang w:val="fr-CA"/>
        </w:rPr>
        <w:t>Contrôle d</w:t>
      </w:r>
      <w:r w:rsidR="001F551F" w:rsidRPr="006F25AE">
        <w:rPr>
          <w:sz w:val="18"/>
          <w:szCs w:val="18"/>
          <w:lang w:val="fr-CA"/>
        </w:rPr>
        <w:t>’</w:t>
      </w:r>
      <w:r w:rsidRPr="006F25AE">
        <w:rPr>
          <w:sz w:val="18"/>
          <w:szCs w:val="18"/>
          <w:lang w:val="fr-CA"/>
        </w:rPr>
        <w:t>accès</w:t>
      </w:r>
      <w:r w:rsidR="009B65F6" w:rsidRPr="006F25AE">
        <w:rPr>
          <w:sz w:val="18"/>
          <w:szCs w:val="18"/>
          <w:lang w:val="fr-CA"/>
        </w:rPr>
        <w:t xml:space="preserve"> </w:t>
      </w:r>
    </w:p>
    <w:p w14:paraId="79677642" w14:textId="7F8FCAE2" w:rsidR="00F7376F" w:rsidRPr="006F25AE" w:rsidRDefault="00D00A0A" w:rsidP="00F7376F">
      <w:pPr>
        <w:pStyle w:val="Default"/>
        <w:numPr>
          <w:ilvl w:val="0"/>
          <w:numId w:val="19"/>
        </w:numPr>
        <w:rPr>
          <w:sz w:val="18"/>
          <w:szCs w:val="18"/>
          <w:lang w:val="fr-CA"/>
        </w:rPr>
      </w:pPr>
      <w:r w:rsidRPr="006F25AE">
        <w:rPr>
          <w:sz w:val="18"/>
          <w:szCs w:val="18"/>
          <w:lang w:val="fr-CA"/>
        </w:rPr>
        <w:t>Journalisation et surveillance</w:t>
      </w:r>
    </w:p>
    <w:p w14:paraId="1130CDF2" w14:textId="781A6B0F" w:rsidR="00F7376F" w:rsidRPr="006F25AE" w:rsidRDefault="00D00A0A" w:rsidP="00F7376F">
      <w:pPr>
        <w:pStyle w:val="Default"/>
        <w:numPr>
          <w:ilvl w:val="0"/>
          <w:numId w:val="19"/>
        </w:numPr>
        <w:rPr>
          <w:sz w:val="18"/>
          <w:szCs w:val="18"/>
          <w:lang w:val="fr-CA"/>
        </w:rPr>
      </w:pPr>
      <w:r w:rsidRPr="006F25AE">
        <w:rPr>
          <w:sz w:val="18"/>
          <w:szCs w:val="18"/>
          <w:lang w:val="fr-CA"/>
        </w:rPr>
        <w:t>Audit</w:t>
      </w:r>
      <w:r w:rsidR="009B65F6" w:rsidRPr="006F25AE">
        <w:rPr>
          <w:sz w:val="18"/>
          <w:szCs w:val="18"/>
          <w:lang w:val="fr-CA"/>
        </w:rPr>
        <w:t xml:space="preserve"> </w:t>
      </w:r>
    </w:p>
    <w:p w14:paraId="18597C15" w14:textId="560E9B1B" w:rsidR="00F7376F" w:rsidRPr="006F25AE" w:rsidRDefault="00D00A0A" w:rsidP="00F7376F">
      <w:pPr>
        <w:pStyle w:val="Default"/>
        <w:numPr>
          <w:ilvl w:val="0"/>
          <w:numId w:val="19"/>
        </w:numPr>
        <w:rPr>
          <w:sz w:val="18"/>
          <w:szCs w:val="18"/>
          <w:lang w:val="fr-CA"/>
        </w:rPr>
      </w:pPr>
      <w:r w:rsidRPr="006F25AE">
        <w:rPr>
          <w:sz w:val="18"/>
          <w:szCs w:val="18"/>
          <w:lang w:val="fr-CA"/>
        </w:rPr>
        <w:t>Services de cyberdéfense (CIN/CNH du CCCS)</w:t>
      </w:r>
      <w:r w:rsidR="009B65F6" w:rsidRPr="006F25AE">
        <w:rPr>
          <w:sz w:val="18"/>
          <w:szCs w:val="18"/>
          <w:lang w:val="fr-CA"/>
        </w:rPr>
        <w:t xml:space="preserve"> </w:t>
      </w:r>
    </w:p>
    <w:p w14:paraId="3BF9E9D3" w14:textId="72EB21EE" w:rsidR="00F7376F" w:rsidRPr="006F25AE" w:rsidRDefault="00D00A0A" w:rsidP="00F7376F">
      <w:pPr>
        <w:pStyle w:val="Default"/>
        <w:numPr>
          <w:ilvl w:val="0"/>
          <w:numId w:val="19"/>
        </w:numPr>
        <w:rPr>
          <w:sz w:val="18"/>
          <w:szCs w:val="18"/>
          <w:lang w:val="fr-CA"/>
        </w:rPr>
      </w:pPr>
      <w:r w:rsidRPr="006F25AE">
        <w:rPr>
          <w:i/>
          <w:iCs/>
          <w:sz w:val="18"/>
          <w:szCs w:val="18"/>
          <w:lang w:val="fr-CA"/>
        </w:rPr>
        <w:t>Des services supplémentaires peuvent être requis selon le profil de risque (par exemple, si les flux Internet sont activés).</w:t>
      </w:r>
      <w:r w:rsidR="009B65F6" w:rsidRPr="006F25AE">
        <w:rPr>
          <w:i/>
          <w:iCs/>
          <w:sz w:val="18"/>
          <w:szCs w:val="18"/>
          <w:lang w:val="fr-CA"/>
        </w:rPr>
        <w:t xml:space="preserve"> </w:t>
      </w:r>
    </w:p>
    <w:p w14:paraId="7D8C2654" w14:textId="77777777" w:rsidR="00E82D9A" w:rsidRPr="006F25AE" w:rsidRDefault="00E82D9A" w:rsidP="0038355E">
      <w:pPr>
        <w:rPr>
          <w:rFonts w:eastAsia="Calibri"/>
        </w:rPr>
      </w:pPr>
    </w:p>
    <w:p w14:paraId="04A76D30" w14:textId="77777777" w:rsidR="008141D7" w:rsidRPr="006F25AE" w:rsidRDefault="008141D7" w:rsidP="0038355E">
      <w:pPr>
        <w:rPr>
          <w:rFonts w:eastAsia="Calibri"/>
        </w:rPr>
      </w:pPr>
    </w:p>
    <w:p w14:paraId="261489E7" w14:textId="77777777" w:rsidR="00414013" w:rsidRPr="000E2D21" w:rsidRDefault="009B65F6" w:rsidP="007541B1">
      <w:pPr>
        <w:jc w:val="center"/>
        <w:rPr>
          <w:rFonts w:eastAsia="Calibri"/>
        </w:rPr>
      </w:pPr>
      <w:r w:rsidRPr="002170DB">
        <w:rPr>
          <w:noProof/>
        </w:rPr>
        <w:drawing>
          <wp:inline distT="0" distB="0" distL="0" distR="0" wp14:anchorId="7E505973" wp14:editId="6B849CBE">
            <wp:extent cx="4638675" cy="241617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45579"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38675" cy="2416175"/>
                    </a:xfrm>
                    <a:prstGeom prst="rect">
                      <a:avLst/>
                    </a:prstGeom>
                    <a:ln>
                      <a:noFill/>
                    </a:ln>
                    <a:extLst>
                      <a:ext uri="{53640926-AAD7-44D8-BBD7-CCE9431645EC}">
                        <a14:shadowObscured xmlns:a14="http://schemas.microsoft.com/office/drawing/2010/main"/>
                      </a:ext>
                    </a:extLst>
                  </pic:spPr>
                </pic:pic>
              </a:graphicData>
            </a:graphic>
          </wp:inline>
        </w:drawing>
      </w:r>
      <w:r w:rsidRPr="002170DB">
        <w:rPr>
          <w:rFonts w:eastAsia="Calibri"/>
        </w:rPr>
        <w:t xml:space="preserve"> </w:t>
      </w:r>
      <w:r w:rsidRPr="002170DB">
        <w:rPr>
          <w:rFonts w:eastAsia="Calibri"/>
        </w:rPr>
        <w:br w:type="page"/>
      </w:r>
    </w:p>
    <w:p w14:paraId="7CFB36FC" w14:textId="1959ECC4" w:rsidR="008141D7" w:rsidRPr="006F25AE" w:rsidRDefault="00D00A0A" w:rsidP="00A567D8">
      <w:pPr>
        <w:pStyle w:val="Heading1"/>
      </w:pPr>
      <w:bookmarkStart w:id="16" w:name="_Toc77159464"/>
      <w:r w:rsidRPr="000E2D21">
        <w:t>Cas d</w:t>
      </w:r>
      <w:r w:rsidR="001F551F" w:rsidRPr="000E2D21">
        <w:t>’</w:t>
      </w:r>
      <w:r w:rsidRPr="006F25AE">
        <w:t>utilisation</w:t>
      </w:r>
      <w:bookmarkEnd w:id="16"/>
    </w:p>
    <w:p w14:paraId="4C795A1B" w14:textId="77777777" w:rsidR="00414013" w:rsidRPr="006F25AE" w:rsidRDefault="00414013" w:rsidP="00E85749">
      <w:pPr>
        <w:rPr>
          <w:rFonts w:eastAsia="Calibri" w:cs="Calibri"/>
          <w:b/>
          <w:color w:val="2E74B5"/>
          <w:szCs w:val="22"/>
        </w:rPr>
      </w:pPr>
    </w:p>
    <w:p w14:paraId="6682A1B0" w14:textId="77777777" w:rsidR="00E40FFB" w:rsidRPr="006F25AE" w:rsidRDefault="00E40FFB" w:rsidP="00E40FFB">
      <w:pPr>
        <w:rPr>
          <w:rFonts w:asciiTheme="majorHAnsi" w:eastAsiaTheme="majorEastAsia" w:hAnsiTheme="majorHAnsi" w:cstheme="majorBidi"/>
          <w:color w:val="2E74B5" w:themeColor="accent1" w:themeShade="BF"/>
          <w:sz w:val="26"/>
          <w:szCs w:val="26"/>
        </w:rPr>
      </w:pPr>
    </w:p>
    <w:p w14:paraId="3C81BBA6" w14:textId="5088BAA4" w:rsidR="00E40FFB" w:rsidRPr="006F25AE" w:rsidRDefault="00D00A0A" w:rsidP="00E40FFB">
      <w:pPr>
        <w:pStyle w:val="Heading2"/>
      </w:pPr>
      <w:bookmarkStart w:id="17" w:name="_Toc77159465"/>
      <w:r w:rsidRPr="006F25AE">
        <w:t>Cas d</w:t>
      </w:r>
      <w:r w:rsidR="001F551F" w:rsidRPr="006F25AE">
        <w:t>’</w:t>
      </w:r>
      <w:r w:rsidRPr="006F25AE">
        <w:t>utilisation</w:t>
      </w:r>
      <w:r w:rsidR="002170DB" w:rsidRPr="006F25AE">
        <w:t> </w:t>
      </w:r>
      <w:r w:rsidRPr="006F25AE">
        <w:t>1</w:t>
      </w:r>
      <w:r w:rsidR="002170DB" w:rsidRPr="006F25AE">
        <w:t> </w:t>
      </w:r>
      <w:r w:rsidRPr="006F25AE">
        <w:t>: SaaS vers application hébergée dans le nuage du GC</w:t>
      </w:r>
      <w:bookmarkEnd w:id="17"/>
    </w:p>
    <w:p w14:paraId="5808998F" w14:textId="77777777" w:rsidR="00E40FFB" w:rsidRPr="006F25AE" w:rsidRDefault="00E40FFB" w:rsidP="00E40FFB"/>
    <w:p w14:paraId="5CF7DD03" w14:textId="4A14F81D" w:rsidR="00E40FFB" w:rsidRPr="006F25AE" w:rsidRDefault="00D00A0A" w:rsidP="00E40FFB">
      <w:r w:rsidRPr="006F25AE">
        <w:t>On peut employer des méthodes de SaaS dans le nuage public à l</w:t>
      </w:r>
      <w:r w:rsidR="001F551F" w:rsidRPr="006F25AE">
        <w:t>’</w:t>
      </w:r>
      <w:r w:rsidRPr="006F25AE">
        <w:t>extérieur au moyen des IPA.</w:t>
      </w:r>
      <w:r w:rsidR="009B65F6" w:rsidRPr="006F25AE">
        <w:t xml:space="preserve"> </w:t>
      </w:r>
      <w:r w:rsidRPr="006F25AE">
        <w:t>De même, le SaaS peut avoir besoin d</w:t>
      </w:r>
      <w:r w:rsidR="001F551F" w:rsidRPr="006F25AE">
        <w:t>’</w:t>
      </w:r>
      <w:r w:rsidRPr="006F25AE">
        <w:t>invoquer des IPA externes pour achever le traitement.</w:t>
      </w:r>
      <w:r w:rsidR="009B65F6" w:rsidRPr="006F25AE">
        <w:t xml:space="preserve"> </w:t>
      </w:r>
      <w:r w:rsidRPr="006F25AE">
        <w:t>Par exemple, dans un flux de travail, des renseignements provenant d</w:t>
      </w:r>
      <w:r w:rsidR="001F551F" w:rsidRPr="006F25AE">
        <w:t>’</w:t>
      </w:r>
      <w:r w:rsidRPr="006F25AE">
        <w:t>un autre système d</w:t>
      </w:r>
      <w:r w:rsidR="001F551F" w:rsidRPr="006F25AE">
        <w:t>’</w:t>
      </w:r>
      <w:r w:rsidRPr="006F25AE">
        <w:t>enregistrement peuvent être nécessaires pour achever le traitement.</w:t>
      </w:r>
      <w:r w:rsidR="009B65F6" w:rsidRPr="006F25AE">
        <w:t xml:space="preserve"> </w:t>
      </w:r>
    </w:p>
    <w:p w14:paraId="2BE6A2AB" w14:textId="77777777" w:rsidR="00E40FFB" w:rsidRPr="006F25AE" w:rsidRDefault="00E40FFB" w:rsidP="00E40FFB"/>
    <w:p w14:paraId="49FB4726" w14:textId="079ECBE9" w:rsidR="00E40FFB" w:rsidRPr="006F25AE" w:rsidRDefault="00D00A0A" w:rsidP="00E40FFB">
      <w:r w:rsidRPr="006F25AE">
        <w:t xml:space="preserve">Dans ce scénario, le SaaS invoque des méthodes pour plusieurs services hébergés par le GC dans un environnement </w:t>
      </w:r>
      <w:r w:rsidR="00392005" w:rsidRPr="006F25AE">
        <w:t>infonuagique</w:t>
      </w:r>
      <w:r w:rsidRPr="006F25AE">
        <w:t xml:space="preserve"> public.</w:t>
      </w:r>
      <w:r w:rsidR="009B65F6" w:rsidRPr="006F25AE">
        <w:t xml:space="preserve"> </w:t>
      </w:r>
      <w:r w:rsidRPr="006F25AE">
        <w:t>Ces services peuvent être fournis au moyen de solutions IaaS, par exemple des MV exécutant un produit LCPE, ou utilisant des services PaaS comme une application de microservices architecturée à l</w:t>
      </w:r>
      <w:r w:rsidR="001F551F" w:rsidRPr="006F25AE">
        <w:t>’</w:t>
      </w:r>
      <w:r w:rsidRPr="006F25AE">
        <w:t>aide d</w:t>
      </w:r>
      <w:r w:rsidR="001F551F" w:rsidRPr="006F25AE">
        <w:t>’</w:t>
      </w:r>
      <w:r w:rsidRPr="006F25AE">
        <w:t>une plateforme de fonction comme service.</w:t>
      </w:r>
    </w:p>
    <w:p w14:paraId="47E54C27" w14:textId="77777777" w:rsidR="00E40FFB" w:rsidRPr="006F25AE" w:rsidRDefault="00E40FFB" w:rsidP="00E40FFB"/>
    <w:p w14:paraId="42A75BB8" w14:textId="77777777" w:rsidR="00E40FFB" w:rsidRPr="002170DB" w:rsidRDefault="009B65F6" w:rsidP="00E40FFB">
      <w:r w:rsidRPr="002170DB">
        <w:rPr>
          <w:noProof/>
        </w:rPr>
        <w:drawing>
          <wp:inline distT="0" distB="0" distL="0" distR="0" wp14:anchorId="597E0A8D" wp14:editId="5367A1DB">
            <wp:extent cx="5943600" cy="3343275"/>
            <wp:effectExtent l="0" t="0" r="0" b="9525"/>
            <wp:docPr id="2789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8459" name=""/>
                    <pic:cNvPicPr/>
                  </pic:nvPicPr>
                  <pic:blipFill>
                    <a:blip r:embed="rId40"/>
                    <a:stretch>
                      <a:fillRect/>
                    </a:stretch>
                  </pic:blipFill>
                  <pic:spPr>
                    <a:xfrm>
                      <a:off x="0" y="0"/>
                      <a:ext cx="5943600" cy="3343275"/>
                    </a:xfrm>
                    <a:prstGeom prst="rect">
                      <a:avLst/>
                    </a:prstGeom>
                  </pic:spPr>
                </pic:pic>
              </a:graphicData>
            </a:graphic>
          </wp:inline>
        </w:drawing>
      </w:r>
    </w:p>
    <w:p w14:paraId="29767CBC" w14:textId="77777777" w:rsidR="00E40FFB" w:rsidRPr="000E2D21" w:rsidRDefault="00E40FFB" w:rsidP="00E40FFB"/>
    <w:p w14:paraId="419BF870" w14:textId="77777777" w:rsidR="00E40FFB" w:rsidRPr="006F25AE" w:rsidRDefault="00E40FFB" w:rsidP="00E40FFB"/>
    <w:p w14:paraId="1796A6C0" w14:textId="77777777" w:rsidR="00E40FFB" w:rsidRPr="006F25AE" w:rsidRDefault="00E40FFB" w:rsidP="00E40FFB"/>
    <w:p w14:paraId="0987C0DC" w14:textId="77777777" w:rsidR="00E40FFB" w:rsidRPr="006F25AE" w:rsidRDefault="009B65F6" w:rsidP="00E40FFB">
      <w:pPr>
        <w:rPr>
          <w:rFonts w:asciiTheme="majorHAnsi" w:eastAsiaTheme="majorEastAsia" w:hAnsiTheme="majorHAnsi" w:cstheme="majorBidi"/>
          <w:color w:val="2E74B5" w:themeColor="accent1" w:themeShade="BF"/>
          <w:sz w:val="26"/>
          <w:szCs w:val="26"/>
        </w:rPr>
      </w:pPr>
      <w:r w:rsidRPr="006F25AE">
        <w:br w:type="page"/>
      </w:r>
    </w:p>
    <w:p w14:paraId="37FE78BC" w14:textId="38642B30" w:rsidR="00E40FFB" w:rsidRPr="006F25AE" w:rsidRDefault="00D00A0A" w:rsidP="00E40FFB">
      <w:pPr>
        <w:pStyle w:val="Heading2"/>
      </w:pPr>
      <w:bookmarkStart w:id="18" w:name="_Toc77159466"/>
      <w:r w:rsidRPr="006F25AE">
        <w:t>Cas d</w:t>
      </w:r>
      <w:r w:rsidR="001F551F" w:rsidRPr="006F25AE">
        <w:t>’</w:t>
      </w:r>
      <w:r w:rsidRPr="006F25AE">
        <w:t>utilisation</w:t>
      </w:r>
      <w:r w:rsidR="002170DB" w:rsidRPr="006F25AE">
        <w:t> </w:t>
      </w:r>
      <w:r w:rsidRPr="006F25AE">
        <w:t>2</w:t>
      </w:r>
      <w:r w:rsidR="002170DB" w:rsidRPr="006F25AE">
        <w:t> </w:t>
      </w:r>
      <w:r w:rsidRPr="006F25AE">
        <w:t>: Application hébergée du centre de données du GC vers application hébergée dans le nuage du GC</w:t>
      </w:r>
      <w:bookmarkEnd w:id="18"/>
    </w:p>
    <w:p w14:paraId="386AA2B5" w14:textId="77777777" w:rsidR="00E40FFB" w:rsidRPr="006F25AE" w:rsidRDefault="00E40FFB" w:rsidP="00E40FFB"/>
    <w:p w14:paraId="6DF0CE7F" w14:textId="744AD970" w:rsidR="00E40FFB" w:rsidRPr="006F25AE" w:rsidRDefault="00D00A0A" w:rsidP="00E40FFB">
      <w:r w:rsidRPr="006F25AE">
        <w:t>Dans ce scénario, une application hébergée dans un centre de données géré par le GC doit invoquer les méthodes d</w:t>
      </w:r>
      <w:r w:rsidR="001F551F" w:rsidRPr="006F25AE">
        <w:t>’</w:t>
      </w:r>
      <w:r w:rsidRPr="006F25AE">
        <w:t>une application ou d</w:t>
      </w:r>
      <w:r w:rsidR="001F551F" w:rsidRPr="006F25AE">
        <w:t>’</w:t>
      </w:r>
      <w:r w:rsidRPr="006F25AE">
        <w:t>un service hébergé dans un nuage public et vice versa.</w:t>
      </w:r>
      <w:r w:rsidR="009B65F6" w:rsidRPr="006F25AE">
        <w:t xml:space="preserve"> </w:t>
      </w:r>
      <w:r w:rsidRPr="006F25AE">
        <w:t>Il s</w:t>
      </w:r>
      <w:r w:rsidR="001F551F" w:rsidRPr="006F25AE">
        <w:t>’</w:t>
      </w:r>
      <w:r w:rsidRPr="006F25AE">
        <w:t>agit d</w:t>
      </w:r>
      <w:r w:rsidR="001F551F" w:rsidRPr="006F25AE">
        <w:t>’</w:t>
      </w:r>
      <w:r w:rsidRPr="006F25AE">
        <w:t>un cas d</w:t>
      </w:r>
      <w:r w:rsidR="001F551F" w:rsidRPr="006F25AE">
        <w:t>’</w:t>
      </w:r>
      <w:r w:rsidRPr="006F25AE">
        <w:t>utilisation informatique hybride où la seule connectivité entre les applications est fondée sur l</w:t>
      </w:r>
      <w:r w:rsidR="001F551F" w:rsidRPr="006F25AE">
        <w:t>’</w:t>
      </w:r>
      <w:r w:rsidRPr="006F25AE">
        <w:t>IPA sur le protocole https.</w:t>
      </w:r>
      <w:r w:rsidR="009B65F6" w:rsidRPr="006F25AE">
        <w:t xml:space="preserve"> </w:t>
      </w:r>
      <w:r w:rsidRPr="006F25AE">
        <w:t>Une passerelle IPA et un pare-feu d</w:t>
      </w:r>
      <w:r w:rsidR="001F551F" w:rsidRPr="006F25AE">
        <w:t>’</w:t>
      </w:r>
      <w:r w:rsidRPr="006F25AE">
        <w:t>application Web sont requis dans le centre de données et le nuage public.</w:t>
      </w:r>
    </w:p>
    <w:p w14:paraId="4A2EC8AF" w14:textId="77777777" w:rsidR="00B7145C" w:rsidRPr="006F25AE" w:rsidRDefault="00B7145C" w:rsidP="00E40FFB"/>
    <w:p w14:paraId="7FD5C6CC" w14:textId="77777777" w:rsidR="00B7145C" w:rsidRPr="002170DB" w:rsidRDefault="009B65F6" w:rsidP="00E40FFB">
      <w:r w:rsidRPr="002170DB">
        <w:rPr>
          <w:noProof/>
        </w:rPr>
        <w:drawing>
          <wp:inline distT="0" distB="0" distL="0" distR="0" wp14:anchorId="49B93835" wp14:editId="61AE2770">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33196" name=""/>
                    <pic:cNvPicPr/>
                  </pic:nvPicPr>
                  <pic:blipFill>
                    <a:blip r:embed="rId41"/>
                    <a:stretch>
                      <a:fillRect/>
                    </a:stretch>
                  </pic:blipFill>
                  <pic:spPr>
                    <a:xfrm>
                      <a:off x="0" y="0"/>
                      <a:ext cx="5943600" cy="3343275"/>
                    </a:xfrm>
                    <a:prstGeom prst="rect">
                      <a:avLst/>
                    </a:prstGeom>
                  </pic:spPr>
                </pic:pic>
              </a:graphicData>
            </a:graphic>
          </wp:inline>
        </w:drawing>
      </w:r>
    </w:p>
    <w:p w14:paraId="47388F86" w14:textId="77777777" w:rsidR="00E40FFB" w:rsidRPr="000E2D21" w:rsidRDefault="00E40FFB" w:rsidP="00E40FFB"/>
    <w:p w14:paraId="5FE6D4A1" w14:textId="77777777" w:rsidR="00E40FFB" w:rsidRPr="006F25AE" w:rsidRDefault="00E40FFB" w:rsidP="00E40FFB"/>
    <w:p w14:paraId="3578133C" w14:textId="77777777" w:rsidR="00E40FFB" w:rsidRPr="006F25AE" w:rsidRDefault="00E40FFB" w:rsidP="00E40FFB"/>
    <w:p w14:paraId="5A86AA1B" w14:textId="77777777" w:rsidR="00E40FFB" w:rsidRPr="006F25AE" w:rsidRDefault="00E40FFB" w:rsidP="00E40FFB"/>
    <w:p w14:paraId="7B38A852" w14:textId="77777777" w:rsidR="00E40FFB" w:rsidRPr="006F25AE" w:rsidRDefault="00E40FFB" w:rsidP="00E40FFB"/>
    <w:p w14:paraId="479E3BD0" w14:textId="77777777" w:rsidR="00E40FFB" w:rsidRPr="006F25AE" w:rsidRDefault="00E40FFB" w:rsidP="00E40FFB"/>
    <w:p w14:paraId="1C69754E" w14:textId="77777777" w:rsidR="00E40FFB" w:rsidRPr="006F25AE" w:rsidRDefault="009B65F6">
      <w:r w:rsidRPr="006F25AE">
        <w:br w:type="page"/>
      </w:r>
    </w:p>
    <w:p w14:paraId="14C5E38A" w14:textId="1EEBF1CB" w:rsidR="004863D5" w:rsidRPr="006F25AE" w:rsidRDefault="00D00A0A" w:rsidP="004863D5">
      <w:pPr>
        <w:pStyle w:val="Heading1"/>
      </w:pPr>
      <w:bookmarkStart w:id="19" w:name="_Toc77159467"/>
      <w:r w:rsidRPr="006F25AE">
        <w:t>Architectures de solutions du fournisseur de nuage</w:t>
      </w:r>
      <w:bookmarkEnd w:id="19"/>
    </w:p>
    <w:p w14:paraId="06B6F370" w14:textId="77777777" w:rsidR="004863D5" w:rsidRPr="006F25AE" w:rsidRDefault="004863D5"/>
    <w:p w14:paraId="33A5BC0C" w14:textId="77777777" w:rsidR="004863D5" w:rsidRPr="006F25AE" w:rsidRDefault="004863D5"/>
    <w:p w14:paraId="782BE036" w14:textId="77777777" w:rsidR="00E86FB0" w:rsidRPr="006F25AE" w:rsidRDefault="009B65F6" w:rsidP="00543E1D">
      <w:pPr>
        <w:pStyle w:val="Heading2"/>
      </w:pPr>
      <w:bookmarkStart w:id="20" w:name="_Toc77159468"/>
      <w:r w:rsidRPr="006F25AE">
        <w:t>Amazon Web Services</w:t>
      </w:r>
      <w:bookmarkEnd w:id="20"/>
    </w:p>
    <w:p w14:paraId="46457F3D" w14:textId="77777777" w:rsidR="00E86FB0" w:rsidRPr="006F25AE" w:rsidRDefault="00E86FB0"/>
    <w:p w14:paraId="732F184E" w14:textId="4545DC55" w:rsidR="00543E1D" w:rsidRPr="006F25AE" w:rsidRDefault="00D00A0A">
      <w:r w:rsidRPr="006F25AE">
        <w:t>L</w:t>
      </w:r>
      <w:r w:rsidR="001F551F" w:rsidRPr="006F25AE">
        <w:t>’</w:t>
      </w:r>
      <w:r w:rsidRPr="006F25AE">
        <w:t>équipe d</w:t>
      </w:r>
      <w:r w:rsidR="001F551F" w:rsidRPr="006F25AE">
        <w:t>’</w:t>
      </w:r>
      <w:r w:rsidRPr="006F25AE">
        <w:t>Amazon Web Services (AWS) a présenté son architecture générique pour les modèles d</w:t>
      </w:r>
      <w:r w:rsidR="001F551F" w:rsidRPr="006F25AE">
        <w:t>’</w:t>
      </w:r>
      <w:r w:rsidRPr="006F25AE">
        <w:t>architecture axés sur l</w:t>
      </w:r>
      <w:r w:rsidR="001F551F" w:rsidRPr="006F25AE">
        <w:t>’</w:t>
      </w:r>
      <w:r w:rsidRPr="006F25AE">
        <w:t>IPA.</w:t>
      </w:r>
      <w:r w:rsidR="0002030A" w:rsidRPr="006F25AE">
        <w:t xml:space="preserve"> </w:t>
      </w:r>
      <w:r w:rsidRPr="006F25AE">
        <w:t>Elle a ensuite fourni un exemple de modèle et d</w:t>
      </w:r>
      <w:r w:rsidR="001F551F" w:rsidRPr="006F25AE">
        <w:t>’</w:t>
      </w:r>
      <w:r w:rsidRPr="006F25AE">
        <w:t>anti-modèle.</w:t>
      </w:r>
      <w:r w:rsidR="0002030A" w:rsidRPr="006F25AE">
        <w:t xml:space="preserve"> </w:t>
      </w:r>
      <w:r w:rsidRPr="006F25AE">
        <w:t xml:space="preserve">AWS suggère le </w:t>
      </w:r>
      <w:hyperlink r:id="rId42" w:history="1">
        <w:r w:rsidRPr="000E2D21">
          <w:rPr>
            <w:rStyle w:val="Hyperlink"/>
          </w:rPr>
          <w:t>livre blanc</w:t>
        </w:r>
      </w:hyperlink>
      <w:r w:rsidRPr="002170DB">
        <w:rPr>
          <w:rStyle w:val="Hyperlink"/>
          <w:u w:val="none"/>
        </w:rPr>
        <w:t xml:space="preserve"> suivant pour expliquer plus en détail comment le service AWS peut activer les modèles axés sur l</w:t>
      </w:r>
      <w:r w:rsidR="001F551F" w:rsidRPr="000E2D21">
        <w:rPr>
          <w:rStyle w:val="Hyperlink"/>
          <w:u w:val="none"/>
        </w:rPr>
        <w:t>’</w:t>
      </w:r>
      <w:r w:rsidRPr="000E2D21">
        <w:rPr>
          <w:rStyle w:val="Hyperlink"/>
          <w:u w:val="none"/>
        </w:rPr>
        <w:t>IPA.</w:t>
      </w:r>
    </w:p>
    <w:p w14:paraId="70C45DAC" w14:textId="77777777" w:rsidR="006E269D" w:rsidRPr="002170DB" w:rsidRDefault="009B65F6" w:rsidP="006E269D">
      <w:pPr>
        <w:keepNext/>
      </w:pPr>
      <w:r w:rsidRPr="002170DB">
        <w:rPr>
          <w:noProof/>
        </w:rPr>
        <w:drawing>
          <wp:inline distT="0" distB="0" distL="0" distR="0" wp14:anchorId="712BD9E3" wp14:editId="3A52D06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4036" name=""/>
                    <pic:cNvPicPr/>
                  </pic:nvPicPr>
                  <pic:blipFill>
                    <a:blip r:embed="rId43"/>
                    <a:stretch>
                      <a:fillRect/>
                    </a:stretch>
                  </pic:blipFill>
                  <pic:spPr>
                    <a:xfrm>
                      <a:off x="0" y="0"/>
                      <a:ext cx="5943600" cy="3343275"/>
                    </a:xfrm>
                    <a:prstGeom prst="rect">
                      <a:avLst/>
                    </a:prstGeom>
                  </pic:spPr>
                </pic:pic>
              </a:graphicData>
            </a:graphic>
          </wp:inline>
        </w:drawing>
      </w:r>
    </w:p>
    <w:p w14:paraId="384A7AB5" w14:textId="60857C61" w:rsidR="006E269D" w:rsidRPr="006F25AE" w:rsidRDefault="009B65F6" w:rsidP="006E269D">
      <w:pPr>
        <w:pStyle w:val="Caption"/>
      </w:pPr>
      <w:r w:rsidRPr="000E2D21">
        <w:t>Figure</w:t>
      </w:r>
      <w:r w:rsidR="002170DB" w:rsidRPr="000E2D21">
        <w:t> </w:t>
      </w:r>
      <w:r w:rsidR="006A57A9" w:rsidRPr="000E2D21">
        <w:fldChar w:fldCharType="begin"/>
      </w:r>
      <w:r w:rsidRPr="006F25AE">
        <w:instrText xml:space="preserve"> SEQ Figure \* ARABIC </w:instrText>
      </w:r>
      <w:r w:rsidR="006A57A9" w:rsidRPr="000E2D21">
        <w:fldChar w:fldCharType="separate"/>
      </w:r>
      <w:r w:rsidR="006A57A9" w:rsidRPr="000E2D21">
        <w:t>12</w:t>
      </w:r>
      <w:r w:rsidR="006A57A9" w:rsidRPr="000E2D21">
        <w:fldChar w:fldCharType="end"/>
      </w:r>
      <w:r w:rsidR="002170DB" w:rsidRPr="002170DB">
        <w:t> </w:t>
      </w:r>
      <w:r w:rsidR="00D00A0A" w:rsidRPr="000E2D21">
        <w:t xml:space="preserve">: Approche </w:t>
      </w:r>
      <w:r w:rsidR="002170DB" w:rsidRPr="006F25AE">
        <w:t>« </w:t>
      </w:r>
      <w:r w:rsidR="00D00A0A" w:rsidRPr="006F25AE">
        <w:t>générique</w:t>
      </w:r>
      <w:r w:rsidR="002170DB" w:rsidRPr="006F25AE">
        <w:t> »</w:t>
      </w:r>
      <w:r w:rsidR="00D00A0A" w:rsidRPr="006F25AE">
        <w:t xml:space="preserve"> d</w:t>
      </w:r>
      <w:r w:rsidR="001F551F" w:rsidRPr="006F25AE">
        <w:t>’</w:t>
      </w:r>
      <w:r w:rsidR="00D00A0A" w:rsidRPr="006F25AE">
        <w:t>AWS pour les architectures axées sur l</w:t>
      </w:r>
      <w:r w:rsidR="001F551F" w:rsidRPr="006F25AE">
        <w:t>’</w:t>
      </w:r>
      <w:r w:rsidR="00D00A0A" w:rsidRPr="006F25AE">
        <w:t>IPA</w:t>
      </w:r>
    </w:p>
    <w:p w14:paraId="1C5248E6" w14:textId="77777777" w:rsidR="00E86FB0" w:rsidRPr="006F25AE" w:rsidRDefault="009B65F6">
      <w:r w:rsidRPr="006F25AE">
        <w:t xml:space="preserve"> </w:t>
      </w:r>
    </w:p>
    <w:p w14:paraId="1BC35C8D" w14:textId="77777777" w:rsidR="00E86FB0" w:rsidRPr="006F25AE" w:rsidRDefault="00E86FB0"/>
    <w:p w14:paraId="30C23B28" w14:textId="77777777" w:rsidR="00E86FB0" w:rsidRPr="006F25AE" w:rsidRDefault="00E86FB0"/>
    <w:p w14:paraId="26642E45" w14:textId="77777777" w:rsidR="00E86FB0" w:rsidRPr="006F25AE" w:rsidRDefault="00E86FB0"/>
    <w:p w14:paraId="6C4FE481" w14:textId="77777777" w:rsidR="001037B9" w:rsidRPr="006F25AE" w:rsidRDefault="001037B9"/>
    <w:p w14:paraId="4FFE2817" w14:textId="77777777" w:rsidR="001037B9" w:rsidRPr="006F25AE" w:rsidRDefault="001037B9"/>
    <w:p w14:paraId="6454E4AD" w14:textId="77777777" w:rsidR="001037B9" w:rsidRPr="006F25AE" w:rsidRDefault="001037B9"/>
    <w:p w14:paraId="27D5B763" w14:textId="77777777" w:rsidR="001037B9" w:rsidRPr="006F25AE" w:rsidRDefault="001037B9"/>
    <w:p w14:paraId="4CE91214" w14:textId="77777777" w:rsidR="001037B9" w:rsidRPr="006F25AE" w:rsidRDefault="001037B9"/>
    <w:p w14:paraId="24675D30" w14:textId="77777777" w:rsidR="006E269D" w:rsidRPr="002170DB" w:rsidRDefault="009B65F6" w:rsidP="006E269D">
      <w:pPr>
        <w:keepNext/>
      </w:pPr>
      <w:r w:rsidRPr="002170DB">
        <w:rPr>
          <w:noProof/>
        </w:rPr>
        <w:drawing>
          <wp:inline distT="0" distB="0" distL="0" distR="0" wp14:anchorId="1610D6E8" wp14:editId="1F114891">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4035" name=""/>
                    <pic:cNvPicPr/>
                  </pic:nvPicPr>
                  <pic:blipFill>
                    <a:blip r:embed="rId44"/>
                    <a:stretch>
                      <a:fillRect/>
                    </a:stretch>
                  </pic:blipFill>
                  <pic:spPr>
                    <a:xfrm>
                      <a:off x="0" y="0"/>
                      <a:ext cx="5943600" cy="3343275"/>
                    </a:xfrm>
                    <a:prstGeom prst="rect">
                      <a:avLst/>
                    </a:prstGeom>
                  </pic:spPr>
                </pic:pic>
              </a:graphicData>
            </a:graphic>
          </wp:inline>
        </w:drawing>
      </w:r>
    </w:p>
    <w:p w14:paraId="2C6EBEB3" w14:textId="7C018C5F" w:rsidR="006E269D" w:rsidRPr="006F25AE" w:rsidRDefault="009B65F6" w:rsidP="006E269D">
      <w:pPr>
        <w:pStyle w:val="Caption"/>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13</w:t>
      </w:r>
      <w:r w:rsidR="006A57A9" w:rsidRPr="000E2D21">
        <w:fldChar w:fldCharType="end"/>
      </w:r>
      <w:r w:rsidR="002170DB" w:rsidRPr="002170DB">
        <w:t> </w:t>
      </w:r>
      <w:r w:rsidR="00D00A0A" w:rsidRPr="000E2D21">
        <w:t>: Exemple d</w:t>
      </w:r>
      <w:r w:rsidR="001F551F" w:rsidRPr="006F25AE">
        <w:t>’</w:t>
      </w:r>
      <w:r w:rsidR="00D00A0A" w:rsidRPr="006F25AE">
        <w:t>AWS d</w:t>
      </w:r>
      <w:r w:rsidR="001F551F" w:rsidRPr="006F25AE">
        <w:t>’</w:t>
      </w:r>
      <w:r w:rsidR="00D00A0A" w:rsidRPr="006F25AE">
        <w:t>un modèle axé sur l</w:t>
      </w:r>
      <w:r w:rsidR="001F551F" w:rsidRPr="006F25AE">
        <w:t>’</w:t>
      </w:r>
      <w:r w:rsidR="00D00A0A" w:rsidRPr="006F25AE">
        <w:t>IPA</w:t>
      </w:r>
    </w:p>
    <w:p w14:paraId="2F969EB6" w14:textId="77777777" w:rsidR="00656708" w:rsidRPr="006F25AE" w:rsidRDefault="009B65F6">
      <w:r w:rsidRPr="006F25AE">
        <w:t xml:space="preserve"> </w:t>
      </w:r>
    </w:p>
    <w:p w14:paraId="4053831C" w14:textId="77777777" w:rsidR="00656708" w:rsidRPr="006F25AE" w:rsidRDefault="00656708"/>
    <w:p w14:paraId="5ED99E97" w14:textId="77777777" w:rsidR="006E269D" w:rsidRPr="002170DB" w:rsidRDefault="009B65F6" w:rsidP="006E269D">
      <w:pPr>
        <w:keepNext/>
      </w:pPr>
      <w:r w:rsidRPr="002170DB">
        <w:rPr>
          <w:noProof/>
        </w:rPr>
        <w:drawing>
          <wp:inline distT="0" distB="0" distL="0" distR="0" wp14:anchorId="7519A4AF" wp14:editId="73CFCEBF">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76757" name=""/>
                    <pic:cNvPicPr/>
                  </pic:nvPicPr>
                  <pic:blipFill>
                    <a:blip r:embed="rId45"/>
                    <a:stretch>
                      <a:fillRect/>
                    </a:stretch>
                  </pic:blipFill>
                  <pic:spPr>
                    <a:xfrm>
                      <a:off x="0" y="0"/>
                      <a:ext cx="5943600" cy="3343275"/>
                    </a:xfrm>
                    <a:prstGeom prst="rect">
                      <a:avLst/>
                    </a:prstGeom>
                  </pic:spPr>
                </pic:pic>
              </a:graphicData>
            </a:graphic>
          </wp:inline>
        </w:drawing>
      </w:r>
    </w:p>
    <w:p w14:paraId="5DA5E364" w14:textId="6273115F" w:rsidR="006E269D" w:rsidRPr="006F25AE" w:rsidRDefault="009B65F6" w:rsidP="006E269D">
      <w:pPr>
        <w:pStyle w:val="Caption"/>
      </w:pPr>
      <w:r w:rsidRPr="000E2D21">
        <w:t>Figure</w:t>
      </w:r>
      <w:r w:rsidR="002170DB" w:rsidRPr="006F25AE">
        <w:t> </w:t>
      </w:r>
      <w:r w:rsidR="006A57A9" w:rsidRPr="000E2D21">
        <w:fldChar w:fldCharType="begin"/>
      </w:r>
      <w:r w:rsidRPr="006F25AE">
        <w:instrText xml:space="preserve"> SEQ Figure \* ARABIC </w:instrText>
      </w:r>
      <w:r w:rsidR="006A57A9" w:rsidRPr="000E2D21">
        <w:fldChar w:fldCharType="separate"/>
      </w:r>
      <w:r w:rsidR="006A57A9" w:rsidRPr="000E2D21">
        <w:t>14</w:t>
      </w:r>
      <w:r w:rsidR="006A57A9" w:rsidRPr="000E2D21">
        <w:fldChar w:fldCharType="end"/>
      </w:r>
      <w:r w:rsidR="002170DB" w:rsidRPr="002170DB">
        <w:t> </w:t>
      </w:r>
      <w:r w:rsidR="00D00A0A" w:rsidRPr="000E2D21">
        <w:t>: Exemple d</w:t>
      </w:r>
      <w:r w:rsidR="001F551F" w:rsidRPr="006F25AE">
        <w:t>’</w:t>
      </w:r>
      <w:r w:rsidR="00D00A0A" w:rsidRPr="006F25AE">
        <w:t>AWS d</w:t>
      </w:r>
      <w:r w:rsidR="001F551F" w:rsidRPr="006F25AE">
        <w:t>’</w:t>
      </w:r>
      <w:r w:rsidR="00D00A0A" w:rsidRPr="006F25AE">
        <w:t xml:space="preserve">un anti-modèle en raison de la complexité et de la faible disponibilité </w:t>
      </w:r>
    </w:p>
    <w:p w14:paraId="401159AE" w14:textId="77777777" w:rsidR="004863D5" w:rsidRPr="006F25AE" w:rsidRDefault="009B65F6">
      <w:r w:rsidRPr="006F25AE">
        <w:t xml:space="preserve"> </w:t>
      </w:r>
      <w:r w:rsidRPr="006F25AE">
        <w:br w:type="page"/>
      </w:r>
    </w:p>
    <w:p w14:paraId="74AA46B1" w14:textId="77777777" w:rsidR="007E1D8E" w:rsidRPr="006F25AE" w:rsidRDefault="009B65F6" w:rsidP="007B5DD7">
      <w:pPr>
        <w:pStyle w:val="Heading2"/>
      </w:pPr>
      <w:bookmarkStart w:id="21" w:name="_Toc77159469"/>
      <w:r w:rsidRPr="006F25AE">
        <w:t>Microsoft</w:t>
      </w:r>
      <w:bookmarkEnd w:id="21"/>
    </w:p>
    <w:p w14:paraId="4366F660" w14:textId="77777777" w:rsidR="007E1D8E" w:rsidRPr="006F25AE" w:rsidRDefault="007E1D8E" w:rsidP="00E40FFB"/>
    <w:p w14:paraId="6006A74D" w14:textId="470742B7" w:rsidR="007B5DD7" w:rsidRPr="006F25AE" w:rsidRDefault="00D00A0A" w:rsidP="00E40FFB">
      <w:r w:rsidRPr="006F25AE">
        <w:t>Microsoft a proposé son architecture de solution pour les modèles axés sur l</w:t>
      </w:r>
      <w:r w:rsidR="001F551F" w:rsidRPr="006F25AE">
        <w:t>’</w:t>
      </w:r>
      <w:r w:rsidRPr="006F25AE">
        <w:t>IPA.</w:t>
      </w:r>
      <w:r w:rsidR="009C46F4" w:rsidRPr="006F25AE">
        <w:t xml:space="preserve"> </w:t>
      </w:r>
      <w:r w:rsidRPr="006F25AE">
        <w:t xml:space="preserve">Microsoft propose un produit à installer sur place appelé </w:t>
      </w:r>
      <w:r w:rsidR="002170DB" w:rsidRPr="006F25AE">
        <w:t>« </w:t>
      </w:r>
      <w:r w:rsidRPr="006F25AE">
        <w:t>Data Gateway</w:t>
      </w:r>
      <w:r w:rsidR="002170DB" w:rsidRPr="006F25AE">
        <w:t> »</w:t>
      </w:r>
      <w:r w:rsidRPr="006F25AE">
        <w:t xml:space="preserve"> qui se connecte directement avec les applications Web.</w:t>
      </w:r>
      <w:r w:rsidR="009C46F4" w:rsidRPr="006F25AE">
        <w:t xml:space="preserve"> </w:t>
      </w:r>
      <w:r w:rsidRPr="006F25AE">
        <w:t>Par ailleurs, le modèle plus normalisé de déploiement d</w:t>
      </w:r>
      <w:r w:rsidR="001F551F" w:rsidRPr="006F25AE">
        <w:t>’</w:t>
      </w:r>
      <w:r w:rsidRPr="006F25AE">
        <w:t>une passerelle IPA sur place peut également être utilisé pour les modèles informatiques hybrides.</w:t>
      </w:r>
    </w:p>
    <w:p w14:paraId="7A4D1A6C" w14:textId="77777777" w:rsidR="008D52C9" w:rsidRPr="006F25AE" w:rsidRDefault="008D52C9" w:rsidP="00E40FFB"/>
    <w:p w14:paraId="7AFB9F30" w14:textId="77777777" w:rsidR="008D52C9" w:rsidRPr="006F25AE" w:rsidRDefault="008D52C9" w:rsidP="00E40FFB"/>
    <w:p w14:paraId="2216DB51" w14:textId="77777777" w:rsidR="008D52C9" w:rsidRPr="002170DB" w:rsidRDefault="009B65F6" w:rsidP="00E40FFB">
      <w:r w:rsidRPr="002170DB">
        <w:rPr>
          <w:noProof/>
        </w:rPr>
        <w:drawing>
          <wp:inline distT="0" distB="0" distL="0" distR="0" wp14:anchorId="063B7B4A" wp14:editId="32F569C6">
            <wp:extent cx="5943600" cy="5624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94714"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43600" cy="5624830"/>
                    </a:xfrm>
                    <a:prstGeom prst="rect">
                      <a:avLst/>
                    </a:prstGeom>
                    <a:noFill/>
                    <a:ln>
                      <a:noFill/>
                    </a:ln>
                  </pic:spPr>
                </pic:pic>
              </a:graphicData>
            </a:graphic>
          </wp:inline>
        </w:drawing>
      </w:r>
    </w:p>
    <w:p w14:paraId="61E87509" w14:textId="77777777" w:rsidR="008D52C9" w:rsidRPr="000E2D21" w:rsidRDefault="008D52C9" w:rsidP="00E40FFB"/>
    <w:p w14:paraId="2DDEC678" w14:textId="77777777" w:rsidR="008D52C9" w:rsidRPr="006F25AE" w:rsidRDefault="008D52C9" w:rsidP="00E40FFB"/>
    <w:p w14:paraId="5670A828" w14:textId="77777777" w:rsidR="0037776A" w:rsidRPr="006F25AE" w:rsidRDefault="009B65F6">
      <w:r w:rsidRPr="006F25AE">
        <w:br w:type="page"/>
      </w:r>
    </w:p>
    <w:p w14:paraId="3AEFFA12" w14:textId="77777777" w:rsidR="007E1D8E" w:rsidRPr="006F25AE" w:rsidRDefault="007E1D8E" w:rsidP="00E40FFB"/>
    <w:p w14:paraId="235961D4" w14:textId="77777777" w:rsidR="007E1D8E" w:rsidRPr="006F25AE" w:rsidRDefault="009B65F6" w:rsidP="007B5DD7">
      <w:pPr>
        <w:pStyle w:val="Heading2"/>
      </w:pPr>
      <w:bookmarkStart w:id="22" w:name="_Toc77159470"/>
      <w:r w:rsidRPr="006F25AE">
        <w:t>Oracle</w:t>
      </w:r>
      <w:bookmarkEnd w:id="22"/>
    </w:p>
    <w:p w14:paraId="370ABAF6" w14:textId="77777777" w:rsidR="008133D0" w:rsidRPr="006F25AE" w:rsidRDefault="008133D0" w:rsidP="006E7D4D"/>
    <w:p w14:paraId="31B34B01" w14:textId="3D8FFECE" w:rsidR="006E7D4D" w:rsidRPr="006F25AE" w:rsidRDefault="00D00A0A" w:rsidP="006E7D4D">
      <w:r w:rsidRPr="006F25AE">
        <w:t>Oracle a présenté son architecture de solution générique pour les modèles axés sur l</w:t>
      </w:r>
      <w:r w:rsidR="001F551F" w:rsidRPr="006F25AE">
        <w:t>’</w:t>
      </w:r>
      <w:r w:rsidRPr="006F25AE">
        <w:t>IPA.</w:t>
      </w:r>
      <w:r w:rsidR="009B65F6" w:rsidRPr="006F25AE">
        <w:t xml:space="preserve"> </w:t>
      </w:r>
      <w:r w:rsidRPr="006F25AE">
        <w:t xml:space="preserve">Ils ont également créé un livre blanc </w:t>
      </w:r>
      <w:hyperlink r:id="rId47" w:history="1">
        <w:r w:rsidRPr="000E2D21">
          <w:rPr>
            <w:rStyle w:val="Hyperlink"/>
          </w:rPr>
          <w:t>Oracle Cloud Infrastructure Serverless Multi-Tier Architectures</w:t>
        </w:r>
      </w:hyperlink>
      <w:r w:rsidRPr="002170DB">
        <w:rPr>
          <w:rStyle w:val="Hyperlink"/>
          <w:u w:val="none"/>
        </w:rPr>
        <w:t xml:space="preserve"> (https://bit.ly/2TmHhku)</w:t>
      </w:r>
      <w:r w:rsidR="002170DB" w:rsidRPr="000E2D21">
        <w:rPr>
          <w:rStyle w:val="Hyperlink"/>
          <w:u w:val="none"/>
        </w:rPr>
        <w:t>.</w:t>
      </w:r>
    </w:p>
    <w:p w14:paraId="465144D2" w14:textId="17612013" w:rsidR="007E1D8E" w:rsidRPr="006F25AE" w:rsidRDefault="00D00A0A" w:rsidP="006E7D4D">
      <w:r w:rsidRPr="006F25AE">
        <w:t xml:space="preserve">Il existe également un laboratoire (https://bit.ly/3moNpoy) qui fournit un guide étape par étape sur la mise en </w:t>
      </w:r>
      <w:r w:rsidR="002170DB" w:rsidRPr="006F25AE">
        <w:t>œ</w:t>
      </w:r>
      <w:r w:rsidRPr="006F25AE">
        <w:t>uvre de l</w:t>
      </w:r>
      <w:r w:rsidR="001F551F" w:rsidRPr="006F25AE">
        <w:t>’</w:t>
      </w:r>
      <w:r w:rsidRPr="006F25AE">
        <w:t>architecture décrite dans le document.</w:t>
      </w:r>
    </w:p>
    <w:p w14:paraId="36CA15DD" w14:textId="77777777" w:rsidR="007E1D8E" w:rsidRPr="006F25AE" w:rsidRDefault="007E1D8E" w:rsidP="00E40FFB"/>
    <w:p w14:paraId="01B59681" w14:textId="77777777" w:rsidR="00F618F3" w:rsidRPr="006F25AE" w:rsidRDefault="00F618F3" w:rsidP="00E40FFB"/>
    <w:p w14:paraId="2E5B96D3" w14:textId="77777777" w:rsidR="006A57A9" w:rsidRPr="002170DB" w:rsidRDefault="009B65F6" w:rsidP="006A57A9">
      <w:pPr>
        <w:keepNext/>
      </w:pPr>
      <w:r w:rsidRPr="002170DB">
        <w:rPr>
          <w:noProof/>
          <w:color w:val="000000"/>
        </w:rPr>
        <w:drawing>
          <wp:inline distT="0" distB="0" distL="0" distR="0" wp14:anchorId="0BE7AAFF" wp14:editId="5197B8D9">
            <wp:extent cx="5943600" cy="2503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69140" name="Picture 5"/>
                    <pic:cNvPicPr>
                      <a:picLocks noChangeAspect="1" noChangeArrowheads="1"/>
                    </pic:cNvPicPr>
                  </pic:nvPicPr>
                  <pic:blipFill>
                    <a:blip r:embed="rId48" r:link="rId49" cstate="print">
                      <a:extLst>
                        <a:ext uri="{28A0092B-C50C-407E-A947-70E740481C1C}">
                          <a14:useLocalDpi xmlns:a14="http://schemas.microsoft.com/office/drawing/2010/main" val="0"/>
                        </a:ext>
                      </a:extLst>
                    </a:blip>
                    <a:stretch>
                      <a:fillRect/>
                    </a:stretch>
                  </pic:blipFill>
                  <pic:spPr bwMode="auto">
                    <a:xfrm>
                      <a:off x="0" y="0"/>
                      <a:ext cx="5943600" cy="2503805"/>
                    </a:xfrm>
                    <a:prstGeom prst="rect">
                      <a:avLst/>
                    </a:prstGeom>
                    <a:noFill/>
                    <a:ln>
                      <a:noFill/>
                    </a:ln>
                  </pic:spPr>
                </pic:pic>
              </a:graphicData>
            </a:graphic>
          </wp:inline>
        </w:drawing>
      </w:r>
    </w:p>
    <w:p w14:paraId="0AB5ECD5" w14:textId="04184149" w:rsidR="00F618F3" w:rsidRPr="006F25AE" w:rsidRDefault="009B65F6" w:rsidP="006A57A9">
      <w:pPr>
        <w:pStyle w:val="Caption"/>
      </w:pPr>
      <w:r w:rsidRPr="000E2D21">
        <w:t>Figure</w:t>
      </w:r>
      <w:r w:rsidR="002170DB" w:rsidRPr="006F25AE">
        <w:t> </w:t>
      </w:r>
      <w:r w:rsidR="00BC178B" w:rsidRPr="000E2D21">
        <w:fldChar w:fldCharType="begin"/>
      </w:r>
      <w:r w:rsidR="00BC178B" w:rsidRPr="006F25AE">
        <w:instrText xml:space="preserve"> SEQ Figure \* ARABIC </w:instrText>
      </w:r>
      <w:r w:rsidR="00BC178B" w:rsidRPr="000E2D21">
        <w:fldChar w:fldCharType="separate"/>
      </w:r>
      <w:r w:rsidRPr="000E2D21">
        <w:t>15</w:t>
      </w:r>
      <w:r w:rsidR="00BC178B" w:rsidRPr="000E2D21">
        <w:fldChar w:fldCharType="end"/>
      </w:r>
      <w:r w:rsidR="002170DB" w:rsidRPr="002170DB">
        <w:t> </w:t>
      </w:r>
      <w:r w:rsidR="00D00A0A" w:rsidRPr="000E2D21">
        <w:t>: Architecture de solution axée sur l</w:t>
      </w:r>
      <w:r w:rsidR="001F551F" w:rsidRPr="006F25AE">
        <w:t>’</w:t>
      </w:r>
      <w:r w:rsidR="00D00A0A" w:rsidRPr="006F25AE">
        <w:t>IPA d</w:t>
      </w:r>
      <w:r w:rsidR="001F551F" w:rsidRPr="006F25AE">
        <w:t>’</w:t>
      </w:r>
      <w:r w:rsidR="00D00A0A" w:rsidRPr="006F25AE">
        <w:t xml:space="preserve">Oracle OCI </w:t>
      </w:r>
    </w:p>
    <w:p w14:paraId="004B5923" w14:textId="77777777" w:rsidR="007E1D8E" w:rsidRPr="006F25AE" w:rsidRDefault="007E1D8E" w:rsidP="00E40FFB"/>
    <w:p w14:paraId="65A73834" w14:textId="77777777" w:rsidR="007E1D8E" w:rsidRPr="006F25AE" w:rsidRDefault="007E1D8E" w:rsidP="00E40FFB"/>
    <w:p w14:paraId="5B240E57" w14:textId="77777777" w:rsidR="007E1D8E" w:rsidRPr="006F25AE" w:rsidRDefault="007E1D8E" w:rsidP="00E40FFB"/>
    <w:p w14:paraId="1146F39A" w14:textId="77777777" w:rsidR="007E1D8E" w:rsidRPr="006F25AE" w:rsidRDefault="007E1D8E" w:rsidP="00E40FFB"/>
    <w:p w14:paraId="69FC262C" w14:textId="77777777" w:rsidR="007E1D8E" w:rsidRPr="006F25AE" w:rsidRDefault="007E1D8E" w:rsidP="00E40FFB"/>
    <w:p w14:paraId="09514DEA" w14:textId="77777777" w:rsidR="007E1D8E" w:rsidRPr="006F25AE" w:rsidRDefault="007E1D8E" w:rsidP="00E40FFB"/>
    <w:p w14:paraId="0F26BB04" w14:textId="77777777" w:rsidR="007E1D8E" w:rsidRPr="006F25AE" w:rsidRDefault="009B65F6">
      <w:r w:rsidRPr="006F25AE">
        <w:br w:type="page"/>
      </w:r>
    </w:p>
    <w:p w14:paraId="5BE133FC" w14:textId="2F4E79E2" w:rsidR="00E40FFB" w:rsidRPr="006F25AE" w:rsidRDefault="00D00A0A" w:rsidP="007E1D8E">
      <w:pPr>
        <w:pStyle w:val="Heading1"/>
      </w:pPr>
      <w:bookmarkStart w:id="23" w:name="_Toc77159471"/>
      <w:r w:rsidRPr="006F25AE">
        <w:t>Références</w:t>
      </w:r>
      <w:bookmarkEnd w:id="23"/>
    </w:p>
    <w:p w14:paraId="699438D7" w14:textId="77777777" w:rsidR="00E40FFB" w:rsidRPr="006F25AE" w:rsidRDefault="00E40FFB" w:rsidP="00E40FFB"/>
    <w:p w14:paraId="76557854" w14:textId="77777777" w:rsidR="00E40FFB" w:rsidRPr="006F25AE" w:rsidRDefault="00E40FFB" w:rsidP="00E40FFB"/>
    <w:p w14:paraId="47F621C1" w14:textId="77777777" w:rsidR="00E40FFB" w:rsidRPr="002170DB" w:rsidRDefault="00805A10" w:rsidP="00E40FFB">
      <w:pPr>
        <w:rPr>
          <w:rStyle w:val="Hyperlink"/>
        </w:rPr>
      </w:pPr>
      <w:hyperlink r:id="rId50" w:history="1">
        <w:r w:rsidR="009B65F6" w:rsidRPr="000E2D21">
          <w:rPr>
            <w:rStyle w:val="Hyperlink"/>
          </w:rPr>
          <w:t>The API Gateway Pattern</w:t>
        </w:r>
      </w:hyperlink>
    </w:p>
    <w:p w14:paraId="4879D10A" w14:textId="77777777" w:rsidR="004863D5" w:rsidRPr="000E2D21" w:rsidRDefault="004863D5" w:rsidP="00E40FFB"/>
    <w:p w14:paraId="04554401" w14:textId="17FF7F5B" w:rsidR="004C0633" w:rsidRPr="002170DB" w:rsidRDefault="00805A10" w:rsidP="00E40FFB">
      <w:pPr>
        <w:rPr>
          <w:rFonts w:eastAsia="Calibri"/>
        </w:rPr>
      </w:pPr>
      <w:hyperlink r:id="rId51" w:history="1">
        <w:r w:rsidR="00D00A0A" w:rsidRPr="000E2D21">
          <w:rPr>
            <w:rStyle w:val="Hyperlink"/>
          </w:rPr>
          <w:t>Procédures obligatoires pour les interfaces de programmatio</w:t>
        </w:r>
        <w:r w:rsidR="00D00A0A" w:rsidRPr="006F25AE">
          <w:rPr>
            <w:rStyle w:val="Hyperlink"/>
          </w:rPr>
          <w:t>n d</w:t>
        </w:r>
        <w:r w:rsidR="001F551F" w:rsidRPr="006F25AE">
          <w:rPr>
            <w:rStyle w:val="Hyperlink"/>
          </w:rPr>
          <w:t>’</w:t>
        </w:r>
        <w:r w:rsidR="00D00A0A" w:rsidRPr="006F25AE">
          <w:rPr>
            <w:rStyle w:val="Hyperlink"/>
          </w:rPr>
          <w:t>applications</w:t>
        </w:r>
      </w:hyperlink>
    </w:p>
    <w:p w14:paraId="561E85E5" w14:textId="77777777" w:rsidR="004C0633" w:rsidRPr="000E2D21" w:rsidRDefault="004C0633" w:rsidP="00E40FFB">
      <w:pPr>
        <w:rPr>
          <w:rFonts w:eastAsia="Calibri"/>
        </w:rPr>
      </w:pPr>
    </w:p>
    <w:p w14:paraId="6C03907C" w14:textId="7632C247" w:rsidR="00B7606C" w:rsidRPr="000E2D21" w:rsidRDefault="00805A10" w:rsidP="00E40FFB">
      <w:hyperlink r:id="rId52" w:history="1">
        <w:r w:rsidR="00D00A0A" w:rsidRPr="000E2D21">
          <w:rPr>
            <w:rStyle w:val="Hyperlink"/>
            <w:rFonts w:eastAsia="Calibri"/>
          </w:rPr>
          <w:t>Exigences en matière de connectivité au nuage sécurisé du GC</w:t>
        </w:r>
      </w:hyperlink>
      <w:r w:rsidR="004C0633" w:rsidRPr="002170DB">
        <w:t xml:space="preserve"> </w:t>
      </w:r>
    </w:p>
    <w:p w14:paraId="5FCACD45" w14:textId="77777777" w:rsidR="004C0633" w:rsidRPr="006F25AE" w:rsidRDefault="004C0633" w:rsidP="00E40FFB"/>
    <w:p w14:paraId="0231C363" w14:textId="1597F129" w:rsidR="004C0633" w:rsidRPr="002170DB" w:rsidRDefault="00805A10" w:rsidP="00E40FFB">
      <w:pPr>
        <w:rPr>
          <w:rStyle w:val="Hyperlink"/>
        </w:rPr>
      </w:pPr>
      <w:hyperlink r:id="rId53" w:history="1">
        <w:r w:rsidR="00D00A0A" w:rsidRPr="000E2D21">
          <w:rPr>
            <w:rStyle w:val="Hyperlink"/>
          </w:rPr>
          <w:t>Modèles de conception de sécurité pour les systèmes d</w:t>
        </w:r>
        <w:r w:rsidR="001F551F" w:rsidRPr="006F25AE">
          <w:rPr>
            <w:rStyle w:val="Hyperlink"/>
          </w:rPr>
          <w:t>’</w:t>
        </w:r>
        <w:r w:rsidR="00D00A0A" w:rsidRPr="006F25AE">
          <w:rPr>
            <w:rStyle w:val="Hyperlink"/>
          </w:rPr>
          <w:t>information de SaaS</w:t>
        </w:r>
      </w:hyperlink>
    </w:p>
    <w:p w14:paraId="4A214EFB" w14:textId="77777777" w:rsidR="004C0633" w:rsidRPr="000E2D21" w:rsidRDefault="004C0633" w:rsidP="00E40FFB">
      <w:pPr>
        <w:rPr>
          <w:rStyle w:val="Hyperlink"/>
        </w:rPr>
      </w:pPr>
    </w:p>
    <w:p w14:paraId="7ADFDEDB" w14:textId="182464D6" w:rsidR="004C0633" w:rsidRPr="002170DB" w:rsidRDefault="00805A10" w:rsidP="00E40FFB">
      <w:hyperlink r:id="rId54" w:anchor="api-security" w:history="1">
        <w:r w:rsidR="00D00A0A" w:rsidRPr="000E2D21">
          <w:rPr>
            <w:rStyle w:val="Hyperlink"/>
          </w:rPr>
          <w:t>Lignes directrices sur la sécurité des microservices et des conteneurs</w:t>
        </w:r>
      </w:hyperlink>
    </w:p>
    <w:p w14:paraId="79756912" w14:textId="77777777" w:rsidR="00E40FFB" w:rsidRPr="000E2D21" w:rsidRDefault="00E40FFB" w:rsidP="00E40FFB"/>
    <w:p w14:paraId="284CDEF0" w14:textId="663B9255" w:rsidR="00E40FFB" w:rsidRPr="00F54417" w:rsidRDefault="00D00A0A" w:rsidP="00E40FFB">
      <w:r w:rsidRPr="006F25AE">
        <w:rPr>
          <w:rStyle w:val="Hyperlink"/>
          <w:u w:val="none"/>
        </w:rPr>
        <w:t>Guide de modernisation des applications</w:t>
      </w:r>
      <w:r w:rsidR="002170DB" w:rsidRPr="006F25AE">
        <w:rPr>
          <w:rStyle w:val="Hyperlink"/>
          <w:u w:val="none"/>
        </w:rPr>
        <w:t> </w:t>
      </w:r>
      <w:r w:rsidRPr="006F25AE">
        <w:rPr>
          <w:rStyle w:val="Hyperlink"/>
          <w:u w:val="none"/>
        </w:rPr>
        <w:t xml:space="preserve">: </w:t>
      </w:r>
      <w:hyperlink r:id="rId55" w:history="1">
        <w:r w:rsidRPr="000E2D21">
          <w:rPr>
            <w:rStyle w:val="Hyperlink"/>
          </w:rPr>
          <w:t>Créatio</w:t>
        </w:r>
        <w:r w:rsidRPr="006F25AE">
          <w:rPr>
            <w:rStyle w:val="Hyperlink"/>
          </w:rPr>
          <w:t>n d</w:t>
        </w:r>
        <w:r w:rsidR="001F551F" w:rsidRPr="006F25AE">
          <w:rPr>
            <w:rStyle w:val="Hyperlink"/>
          </w:rPr>
          <w:t>’</w:t>
        </w:r>
        <w:r w:rsidRPr="006F25AE">
          <w:rPr>
            <w:rStyle w:val="Hyperlink"/>
          </w:rPr>
          <w:t>applications modernes à l</w:t>
        </w:r>
        <w:r w:rsidR="001F551F" w:rsidRPr="006F25AE">
          <w:rPr>
            <w:rStyle w:val="Hyperlink"/>
          </w:rPr>
          <w:t>’</w:t>
        </w:r>
        <w:r w:rsidRPr="006F25AE">
          <w:rPr>
            <w:rStyle w:val="Hyperlink"/>
          </w:rPr>
          <w:t>aide des services de plateforme</w:t>
        </w:r>
      </w:hyperlink>
    </w:p>
    <w:p w14:paraId="2811595B" w14:textId="77777777" w:rsidR="00E40FFB" w:rsidRPr="00F54417" w:rsidRDefault="00E40FFB" w:rsidP="00E40FFB"/>
    <w:p w14:paraId="3C9DCC6E" w14:textId="77777777" w:rsidR="00E40FFB" w:rsidRPr="00F54417" w:rsidRDefault="00E40FFB" w:rsidP="00E40FFB"/>
    <w:p w14:paraId="0CB85FAC" w14:textId="77777777" w:rsidR="00E40FFB" w:rsidRPr="00F54417" w:rsidRDefault="00E40FFB" w:rsidP="00E40FFB"/>
    <w:p w14:paraId="183AF672" w14:textId="77777777" w:rsidR="00E40FFB" w:rsidRPr="00F54417" w:rsidRDefault="00E40FFB" w:rsidP="00E40FFB"/>
    <w:sectPr w:rsidR="00E40FFB" w:rsidRPr="00F54417" w:rsidSect="008659B8">
      <w:headerReference w:type="even" r:id="rId56"/>
      <w:headerReference w:type="default" r:id="rId57"/>
      <w:footerReference w:type="default" r:id="rId58"/>
      <w:headerReference w:type="first" r:id="rId59"/>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05333" w14:textId="77777777" w:rsidR="00A072DD" w:rsidRDefault="00A072DD">
      <w:r>
        <w:separator/>
      </w:r>
    </w:p>
  </w:endnote>
  <w:endnote w:type="continuationSeparator" w:id="0">
    <w:p w14:paraId="18B3B06B" w14:textId="77777777" w:rsidR="00A072DD" w:rsidRDefault="00A07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429AC" w14:textId="77777777" w:rsidR="00805A10" w:rsidRDefault="00805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1E094" w14:textId="77777777" w:rsidR="005155F1" w:rsidRDefault="005155F1">
    <w:pPr>
      <w:pStyle w:val="Footer"/>
      <w:pBdr>
        <w:top w:val="single" w:sz="4" w:space="1" w:color="D9D9D9" w:themeColor="background1" w:themeShade="D9"/>
      </w:pBdr>
      <w:jc w:val="right"/>
    </w:pPr>
  </w:p>
  <w:p w14:paraId="4E315E9D" w14:textId="77777777" w:rsidR="00B12A46" w:rsidRDefault="00B12A46" w:rsidP="005155F1">
    <w:pPr>
      <w:pBdr>
        <w:top w:val="nil"/>
        <w:left w:val="nil"/>
        <w:bottom w:val="nil"/>
        <w:right w:val="nil"/>
        <w:between w:val="nil"/>
      </w:pBdr>
      <w:tabs>
        <w:tab w:val="right" w:pos="9020"/>
      </w:tabs>
      <w:jc w:val="right"/>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18763" w14:textId="77777777" w:rsidR="00805A10" w:rsidRDefault="00805A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5350292"/>
      <w:docPartObj>
        <w:docPartGallery w:val="Page Numbers (Bottom of Page)"/>
        <w:docPartUnique/>
      </w:docPartObj>
    </w:sdtPr>
    <w:sdtEndPr>
      <w:rPr>
        <w:color w:val="7F7F7F" w:themeColor="background1" w:themeShade="7F"/>
        <w:spacing w:val="60"/>
      </w:rPr>
    </w:sdtEndPr>
    <w:sdtContent>
      <w:p w14:paraId="1305E993" w14:textId="77777777" w:rsidR="008659B8" w:rsidRDefault="009B65F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r w:rsidRPr="00EC27AB">
          <w:t xml:space="preserve">| </w:t>
        </w:r>
        <w:r w:rsidRPr="00EC27AB">
          <w:rPr>
            <w:color w:val="7F7F7F" w:themeColor="background1" w:themeShade="7F"/>
            <w:spacing w:val="60"/>
          </w:rPr>
          <w:t>Page</w:t>
        </w:r>
      </w:p>
    </w:sdtContent>
  </w:sdt>
  <w:p w14:paraId="64DE6B57" w14:textId="77777777" w:rsidR="008659B8" w:rsidRDefault="008659B8" w:rsidP="005155F1">
    <w:pPr>
      <w:pBdr>
        <w:top w:val="nil"/>
        <w:left w:val="nil"/>
        <w:bottom w:val="nil"/>
        <w:right w:val="nil"/>
        <w:between w:val="nil"/>
      </w:pBdr>
      <w:tabs>
        <w:tab w:val="right" w:pos="9020"/>
      </w:tabs>
      <w:jc w:val="right"/>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56309" w14:textId="77777777" w:rsidR="00A072DD" w:rsidRDefault="00A072DD">
      <w:r>
        <w:separator/>
      </w:r>
    </w:p>
  </w:footnote>
  <w:footnote w:type="continuationSeparator" w:id="0">
    <w:p w14:paraId="034E2E0D" w14:textId="77777777" w:rsidR="00A072DD" w:rsidRDefault="00A07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5FA8" w14:textId="77777777" w:rsidR="00681532" w:rsidRDefault="00805A10">
    <w:pPr>
      <w:pStyle w:val="Header"/>
    </w:pPr>
    <w:r>
      <w:rPr>
        <w:noProof/>
      </w:rPr>
      <w:pict w14:anchorId="1EAFF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margin-left:0;margin-top:0;width:468pt;height:156pt;z-index:-251654144;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78A7A" w14:textId="248BD1F8" w:rsidR="00B12A46" w:rsidRDefault="00805A10">
    <w:pPr>
      <w:pBdr>
        <w:top w:val="nil"/>
        <w:left w:val="nil"/>
        <w:bottom w:val="nil"/>
        <w:right w:val="nil"/>
        <w:between w:val="nil"/>
      </w:pBdr>
      <w:tabs>
        <w:tab w:val="right" w:pos="9020"/>
      </w:tabs>
      <w:rPr>
        <w:rFonts w:ascii="Helvetica Neue" w:eastAsia="Helvetica Neue" w:hAnsi="Helvetica Neue" w:cs="Helvetica Neue"/>
        <w:color w:val="000000"/>
      </w:rPr>
    </w:pPr>
    <w:r>
      <w:rPr>
        <w:noProof/>
        <w:lang w:val="en-CA" w:eastAsia="en-CA"/>
      </w:rPr>
      <mc:AlternateContent>
        <mc:Choice Requires="wps">
          <w:drawing>
            <wp:anchor distT="0" distB="0" distL="114300" distR="114300" simplePos="0" relativeHeight="251675648" behindDoc="0" locked="0" layoutInCell="0" allowOverlap="1" wp14:anchorId="2302E1CD" wp14:editId="2657A521">
              <wp:simplePos x="0" y="0"/>
              <wp:positionH relativeFrom="page">
                <wp:posOffset>0</wp:posOffset>
              </wp:positionH>
              <wp:positionV relativeFrom="page">
                <wp:posOffset>190500</wp:posOffset>
              </wp:positionV>
              <wp:extent cx="7772400" cy="181610"/>
              <wp:effectExtent l="0" t="0" r="0" b="8890"/>
              <wp:wrapNone/>
              <wp:docPr id="42" name="MSIPCMb7b34c0ab1fe743b071b163e" descr="{&quot;HashCode&quot;:-1880398799,&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68C59D9C" w14:textId="344CE0B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2302E1CD" id="_x0000_t202" coordsize="21600,21600" o:spt="202" path="m,l,21600r21600,l21600,xe">
              <v:stroke joinstyle="miter"/>
              <v:path gradientshapeok="t" o:connecttype="rect"/>
            </v:shapetype>
            <v:shape id="MSIPCMb7b34c0ab1fe743b071b163e" o:spid="_x0000_s1038" type="#_x0000_t202" alt="{&quot;HashCode&quot;:-1880398799,&quot;Height&quot;:792.0,&quot;Width&quot;:612.0,&quot;Placement&quot;:&quot;Header&quot;,&quot;Index&quot;:&quot;Primary&quot;,&quot;Section&quot;:1,&quot;Top&quot;:0.0,&quot;Left&quot;:0.0}" style="position:absolute;margin-left:0;margin-top:15pt;width:612pt;height:14.3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" o:allowincell="f" filled="f" stroked="f" strokeweight=".5pt">
              <v:fill o:detectmouseclick="t"/>
              <v:textbox style="mso-fit-shape-to-text:t" inset="1.27mm,0,20pt,0">
                <w:txbxContent>
                  <w:p w14:paraId="68C59D9C" w14:textId="344CE0B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v:textbox>
              <w10:wrap anchorx="page" anchory="page"/>
            </v:shape>
          </w:pict>
        </mc:Fallback>
      </mc:AlternateContent>
    </w:r>
    <w:r w:rsidR="005A08BB">
      <w:rPr>
        <w:noProof/>
        <w:lang w:val="en-CA" w:eastAsia="en-CA"/>
      </w:rPr>
      <w:drawing>
        <wp:anchor distT="0" distB="0" distL="114300" distR="114300" simplePos="0" relativeHeight="251658240" behindDoc="1" locked="0" layoutInCell="1" allowOverlap="1" wp14:anchorId="10CFA9E4" wp14:editId="09B5427C">
          <wp:simplePos x="0" y="0"/>
          <wp:positionH relativeFrom="column">
            <wp:posOffset>-379095</wp:posOffset>
          </wp:positionH>
          <wp:positionV relativeFrom="paragraph">
            <wp:posOffset>-254000</wp:posOffset>
          </wp:positionV>
          <wp:extent cx="6680554" cy="897699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8358" name="REPORT-COVER-ENG2.jpg"/>
                  <pic:cNvPicPr/>
                </pic:nvPicPr>
                <pic:blipFill>
                  <a:blip r:embed="rId1">
                    <a:extLst>
                      <a:ext uri="{28A0092B-C50C-407E-A947-70E740481C1C}">
                        <a14:useLocalDpi xmlns:a14="http://schemas.microsoft.com/office/drawing/2010/main" val="0"/>
                      </a:ext>
                    </a:extLst>
                  </a:blip>
                  <a:stretch>
                    <a:fillRect/>
                  </a:stretch>
                </pic:blipFill>
                <pic:spPr>
                  <a:xfrm>
                    <a:off x="0" y="0"/>
                    <a:ext cx="6680554" cy="89769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FB1B1" w14:textId="762ACC61" w:rsidR="00681532" w:rsidRDefault="00805A10">
    <w:pPr>
      <w:pStyle w:val="Header"/>
    </w:pPr>
    <w:r>
      <w:rPr>
        <w:noProof/>
      </w:rPr>
      <mc:AlternateContent>
        <mc:Choice Requires="wps">
          <w:drawing>
            <wp:anchor distT="0" distB="0" distL="114300" distR="114300" simplePos="1" relativeHeight="251676672" behindDoc="0" locked="0" layoutInCell="0" allowOverlap="1" wp14:anchorId="62EFAC2F" wp14:editId="4D60821D">
              <wp:simplePos x="0" y="190500"/>
              <wp:positionH relativeFrom="page">
                <wp:posOffset>0</wp:posOffset>
              </wp:positionH>
              <wp:positionV relativeFrom="page">
                <wp:posOffset>190500</wp:posOffset>
              </wp:positionV>
              <wp:extent cx="7772400" cy="181610"/>
              <wp:effectExtent l="0" t="0" r="0" b="8890"/>
              <wp:wrapNone/>
              <wp:docPr id="43" name="MSIPCM90f04154838c37c99c905f21" descr="{&quot;HashCode&quot;:-1880398799,&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5A34F9A0" w14:textId="1EB93FF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62EFAC2F" id="_x0000_t202" coordsize="21600,21600" o:spt="202" path="m,l,21600r21600,l21600,xe">
              <v:stroke joinstyle="miter"/>
              <v:path gradientshapeok="t" o:connecttype="rect"/>
            </v:shapetype>
            <v:shape id="MSIPCM90f04154838c37c99c905f21" o:spid="_x0000_s1039" type="#_x0000_t202" alt="{&quot;HashCode&quot;:-1880398799,&quot;Height&quot;:792.0,&quot;Width&quot;:612.0,&quot;Placement&quot;:&quot;Header&quot;,&quot;Index&quot;:&quot;FirstPage&quot;,&quot;Section&quot;:1,&quot;Top&quot;:0.0,&quot;Left&quot;:0.0}" style="position:absolute;margin-left:0;margin-top:15pt;width:612pt;height:14.3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" o:allowincell="f" filled="f" stroked="f" strokeweight=".5pt">
              <v:fill o:detectmouseclick="t"/>
              <v:textbox style="mso-fit-shape-to-text:t" inset="1.27mm,0,20pt,0">
                <w:txbxContent>
                  <w:p w14:paraId="5A34F9A0" w14:textId="1EB93FF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v:textbox>
              <w10:wrap anchorx="page" anchory="page"/>
            </v:shape>
          </w:pict>
        </mc:Fallback>
      </mc:AlternateContent>
    </w:r>
    <w:r>
      <w:rPr>
        <w:noProof/>
      </w:rPr>
      <w:pict w14:anchorId="204F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3076" type="#_x0000_t136" style="position:absolute;margin-left:0;margin-top:0;width:468pt;height:156pt;z-index:-251655168;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103DA" w14:textId="77777777" w:rsidR="00681532" w:rsidRDefault="00805A10">
    <w:pPr>
      <w:pStyle w:val="Header"/>
    </w:pPr>
    <w:r>
      <w:rPr>
        <w:noProof/>
      </w:rPr>
      <w:pict w14:anchorId="133B6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margin-left:0;margin-top:0;width:468pt;height:156pt;z-index:-251653120;mso-wrap-edited:f;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FD2B" w14:textId="48100D7B" w:rsidR="005A08BB" w:rsidRPr="00EC27AB" w:rsidRDefault="00805A10" w:rsidP="002F6653">
    <w:pPr>
      <w:pBdr>
        <w:top w:val="nil"/>
        <w:left w:val="nil"/>
        <w:bottom w:val="nil"/>
        <w:right w:val="nil"/>
        <w:between w:val="nil"/>
      </w:pBdr>
      <w:tabs>
        <w:tab w:val="right" w:pos="9020"/>
      </w:tabs>
      <w:rPr>
        <w:rFonts w:eastAsia="Helvetica Neue" w:cs="Calibri"/>
        <w:color w:val="000000"/>
        <w:szCs w:val="22"/>
      </w:rPr>
    </w:pPr>
    <w:r>
      <w:rPr>
        <w:rFonts w:eastAsia="Helvetica Neue" w:cs="Calibri"/>
        <w:noProof/>
        <w:color w:val="808080" w:themeColor="background1" w:themeShade="80"/>
        <w:szCs w:val="22"/>
      </w:rPr>
      <mc:AlternateContent>
        <mc:Choice Requires="wps">
          <w:drawing>
            <wp:anchor distT="0" distB="0" distL="114300" distR="114300" simplePos="0" relativeHeight="251677696" behindDoc="0" locked="0" layoutInCell="0" allowOverlap="1" wp14:anchorId="2AE1F9F5" wp14:editId="224E5C69">
              <wp:simplePos x="0" y="0"/>
              <wp:positionH relativeFrom="page">
                <wp:posOffset>0</wp:posOffset>
              </wp:positionH>
              <wp:positionV relativeFrom="page">
                <wp:posOffset>190500</wp:posOffset>
              </wp:positionV>
              <wp:extent cx="7772400" cy="181610"/>
              <wp:effectExtent l="0" t="0" r="0" b="8890"/>
              <wp:wrapNone/>
              <wp:docPr id="44" name="MSIPCM209b4453a4ba5b80f948fb48" descr="{&quot;HashCode&quot;:-1880398799,&quot;Height&quot;:792.0,&quot;Width&quot;:612.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1DA50E98" w14:textId="30941F4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2AE1F9F5" id="_x0000_t202" coordsize="21600,21600" o:spt="202" path="m,l,21600r21600,l21600,xe">
              <v:stroke joinstyle="miter"/>
              <v:path gradientshapeok="t" o:connecttype="rect"/>
            </v:shapetype>
            <v:shape id="MSIPCM209b4453a4ba5b80f948fb48" o:spid="_x0000_s1040" type="#_x0000_t202" alt="{&quot;HashCode&quot;:-1880398799,&quot;Height&quot;:792.0,&quot;Width&quot;:612.0,&quot;Placement&quot;:&quot;Header&quot;,&quot;Index&quot;:&quot;Primary&quot;,&quot;Section&quot;:2,&quot;Top&quot;:0.0,&quot;Left&quot;:0.0}" style="position:absolute;margin-left:0;margin-top:15pt;width:612pt;height:14.3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" o:allowincell="f" filled="f" stroked="f" strokeweight=".5pt">
              <v:fill o:detectmouseclick="t"/>
              <v:textbox style="mso-fit-shape-to-text:t" inset="1.27mm,0,20pt,0">
                <w:txbxContent>
                  <w:p w14:paraId="1DA50E98" w14:textId="30941F40"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v:textbox>
              <w10:wrap anchorx="page" anchory="page"/>
            </v:shape>
          </w:pict>
        </mc:Fallback>
      </mc:AlternateContent>
    </w:r>
    <w:r w:rsidR="00C46D5A" w:rsidRPr="00EC27AB">
      <w:rPr>
        <w:rFonts w:eastAsia="Helvetica Neue" w:cs="Calibri"/>
        <w:color w:val="808080" w:themeColor="background1" w:themeShade="80"/>
        <w:szCs w:val="22"/>
      </w:rPr>
      <w:t>Modèles d'architecture axés sur l’IPA pour la PaaS du nuage public</w:t>
    </w:r>
    <w:r w:rsidR="00EB13AF" w:rsidRPr="00EC27AB">
      <w:rPr>
        <w:rFonts w:eastAsia="Helvetica Neue" w:cs="Calibri"/>
        <w:color w:val="808080" w:themeColor="background1" w:themeShade="80"/>
        <w:szCs w:val="22"/>
      </w:rPr>
      <w:t xml:space="preserve"> </w:t>
    </w:r>
  </w:p>
  <w:p w14:paraId="0DA31A63" w14:textId="77777777" w:rsidR="005A08BB" w:rsidRDefault="009B65F6">
    <w:pPr>
      <w:pBdr>
        <w:top w:val="nil"/>
        <w:left w:val="nil"/>
        <w:bottom w:val="nil"/>
        <w:right w:val="nil"/>
        <w:between w:val="nil"/>
      </w:pBdr>
      <w:tabs>
        <w:tab w:val="right" w:pos="9020"/>
      </w:tabs>
      <w:rPr>
        <w:rFonts w:ascii="Helvetica Neue" w:eastAsia="Helvetica Neue" w:hAnsi="Helvetica Neue" w:cs="Helvetica Neue"/>
        <w:color w:val="000000"/>
      </w:rPr>
    </w:pPr>
    <w:r>
      <w:rPr>
        <w:rFonts w:eastAsia="Helvetica Neue" w:cs="Calibri"/>
        <w:noProof/>
        <w:color w:val="000000"/>
        <w:sz w:val="18"/>
        <w:szCs w:val="18"/>
      </w:rPr>
      <mc:AlternateContent>
        <mc:Choice Requires="wps">
          <w:drawing>
            <wp:anchor distT="0" distB="0" distL="114300" distR="114300" simplePos="0" relativeHeight="251659264" behindDoc="0" locked="0" layoutInCell="1" allowOverlap="1" wp14:anchorId="00E756A8" wp14:editId="45F408B4">
              <wp:simplePos x="0" y="0"/>
              <wp:positionH relativeFrom="column">
                <wp:posOffset>-166370</wp:posOffset>
              </wp:positionH>
              <wp:positionV relativeFrom="paragraph">
                <wp:posOffset>51753</wp:posOffset>
              </wp:positionV>
              <wp:extent cx="642429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424295" cy="0"/>
                      </a:xfrm>
                      <a:prstGeom prst="line">
                        <a:avLst/>
                      </a:prstGeom>
                      <a:noFill/>
                      <a:ln w="9525">
                        <a:solidFill>
                          <a:schemeClr val="accent5">
                            <a:lumMod val="50000"/>
                          </a:schemeClr>
                        </a:solidFill>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xmlns:w16sdtdh="http://schemas.microsoft.com/office/word/2020/wordml/sdtdatahash">
          <w:pict>
            <v:line id="Straight Connector 18" o:spid="_x0000_s2055" style="mso-width-percent:0;mso-width-relative:margin;mso-wrap-distance-bottom:0;mso-wrap-distance-left:9pt;mso-wrap-distance-right:9pt;mso-wrap-distance-top:0;mso-wrap-style:square;position:absolute;visibility:visible;z-index:251660288" from="-13.1pt,4.1pt" to="492.75pt,4.1pt" strokecolor="#1f3763">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B3ACF" w14:textId="239B8E39" w:rsidR="00681532" w:rsidRDefault="00805A10">
    <w:pPr>
      <w:pStyle w:val="Header"/>
    </w:pPr>
    <w:r>
      <w:rPr>
        <w:noProof/>
      </w:rPr>
      <mc:AlternateContent>
        <mc:Choice Requires="wps">
          <w:drawing>
            <wp:anchor distT="0" distB="0" distL="114300" distR="114300" simplePos="0" relativeHeight="251678720" behindDoc="0" locked="0" layoutInCell="0" allowOverlap="1" wp14:anchorId="21ABDE27" wp14:editId="0643850F">
              <wp:simplePos x="0" y="0"/>
              <wp:positionH relativeFrom="page">
                <wp:posOffset>0</wp:posOffset>
              </wp:positionH>
              <wp:positionV relativeFrom="page">
                <wp:posOffset>190500</wp:posOffset>
              </wp:positionV>
              <wp:extent cx="7772400" cy="181610"/>
              <wp:effectExtent l="0" t="0" r="0" b="8890"/>
              <wp:wrapNone/>
              <wp:docPr id="45" name="MSIPCM339c4407963b2fb2f929bb04" descr="{&quot;HashCode&quot;:-1880398799,&quot;Height&quot;:792.0,&quot;Width&quot;:612.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18161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260ADC3C" w14:textId="3FB3CD56"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wps:txbx>
                    <wps:bodyPr rot="0" spcFirstLastPara="1" vertOverflow="overflow" horzOverflow="overflow" vert="horz" wrap="square" lIns="45719" tIns="0" rIns="254000" bIns="0" numCol="1" spcCol="38100" rtlCol="0" fromWordArt="0" anchor="t" anchorCtr="0" forceAA="0" compatLnSpc="1">
                      <a:prstTxWarp prst="textNoShape">
                        <a:avLst/>
                      </a:prstTxWarp>
                      <a:spAutoFit/>
                    </wps:bodyPr>
                  </wps:wsp>
                </a:graphicData>
              </a:graphic>
            </wp:anchor>
          </w:drawing>
        </mc:Choice>
        <mc:Fallback>
          <w:pict>
            <v:shapetype w14:anchorId="21ABDE27" id="_x0000_t202" coordsize="21600,21600" o:spt="202" path="m,l,21600r21600,l21600,xe">
              <v:stroke joinstyle="miter"/>
              <v:path gradientshapeok="t" o:connecttype="rect"/>
            </v:shapetype>
            <v:shape id="MSIPCM339c4407963b2fb2f929bb04" o:spid="_x0000_s1041" type="#_x0000_t202" alt="{&quot;HashCode&quot;:-1880398799,&quot;Height&quot;:792.0,&quot;Width&quot;:612.0,&quot;Placement&quot;:&quot;Header&quot;,&quot;Index&quot;:&quot;FirstPage&quot;,&quot;Section&quot;:2,&quot;Top&quot;:0.0,&quot;Left&quot;:0.0}" style="position:absolute;margin-left:0;margin-top:15pt;width:612pt;height:14.3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" o:allowincell="f" filled="f" stroked="f" strokeweight=".5pt">
              <v:fill o:detectmouseclick="t"/>
              <v:textbox style="mso-fit-shape-to-text:t" inset="1.27mm,0,20pt,0">
                <w:txbxContent>
                  <w:p w14:paraId="260ADC3C" w14:textId="3FB3CD56" w:rsidR="00805A10" w:rsidRPr="00805A10" w:rsidRDefault="00805A10" w:rsidP="00805A10">
                    <w:pPr>
                      <w:jc w:val="right"/>
                      <w:rPr>
                        <w:rFonts w:ascii="Arial" w:hAnsi="Arial" w:cs="Arial"/>
                        <w:color w:val="000000"/>
                        <w:sz w:val="24"/>
                      </w:rPr>
                    </w:pPr>
                    <w:r w:rsidRPr="00805A10">
                      <w:rPr>
                        <w:rFonts w:ascii="Arial" w:hAnsi="Arial" w:cs="Arial"/>
                        <w:color w:val="000000"/>
                        <w:sz w:val="24"/>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92AF8"/>
    <w:multiLevelType w:val="hybridMultilevel"/>
    <w:tmpl w:val="58A2BFC4"/>
    <w:lvl w:ilvl="0" w:tplc="BFAEEEB0">
      <w:start w:val="1"/>
      <w:numFmt w:val="decimal"/>
      <w:lvlText w:val="%1."/>
      <w:lvlJc w:val="left"/>
      <w:pPr>
        <w:ind w:left="720" w:hanging="360"/>
      </w:pPr>
    </w:lvl>
    <w:lvl w:ilvl="1" w:tplc="5A4C9260" w:tentative="1">
      <w:start w:val="1"/>
      <w:numFmt w:val="lowerLetter"/>
      <w:lvlText w:val="%2."/>
      <w:lvlJc w:val="left"/>
      <w:pPr>
        <w:ind w:left="1440" w:hanging="360"/>
      </w:pPr>
    </w:lvl>
    <w:lvl w:ilvl="2" w:tplc="EE082F50" w:tentative="1">
      <w:start w:val="1"/>
      <w:numFmt w:val="lowerRoman"/>
      <w:lvlText w:val="%3."/>
      <w:lvlJc w:val="right"/>
      <w:pPr>
        <w:ind w:left="2160" w:hanging="180"/>
      </w:pPr>
    </w:lvl>
    <w:lvl w:ilvl="3" w:tplc="6FEC1A12" w:tentative="1">
      <w:start w:val="1"/>
      <w:numFmt w:val="decimal"/>
      <w:lvlText w:val="%4."/>
      <w:lvlJc w:val="left"/>
      <w:pPr>
        <w:ind w:left="2880" w:hanging="360"/>
      </w:pPr>
    </w:lvl>
    <w:lvl w:ilvl="4" w:tplc="A886BED4" w:tentative="1">
      <w:start w:val="1"/>
      <w:numFmt w:val="lowerLetter"/>
      <w:lvlText w:val="%5."/>
      <w:lvlJc w:val="left"/>
      <w:pPr>
        <w:ind w:left="3600" w:hanging="360"/>
      </w:pPr>
    </w:lvl>
    <w:lvl w:ilvl="5" w:tplc="730875D2" w:tentative="1">
      <w:start w:val="1"/>
      <w:numFmt w:val="lowerRoman"/>
      <w:lvlText w:val="%6."/>
      <w:lvlJc w:val="right"/>
      <w:pPr>
        <w:ind w:left="4320" w:hanging="180"/>
      </w:pPr>
    </w:lvl>
    <w:lvl w:ilvl="6" w:tplc="6D1E8F98" w:tentative="1">
      <w:start w:val="1"/>
      <w:numFmt w:val="decimal"/>
      <w:lvlText w:val="%7."/>
      <w:lvlJc w:val="left"/>
      <w:pPr>
        <w:ind w:left="5040" w:hanging="360"/>
      </w:pPr>
    </w:lvl>
    <w:lvl w:ilvl="7" w:tplc="53EAAAC4" w:tentative="1">
      <w:start w:val="1"/>
      <w:numFmt w:val="lowerLetter"/>
      <w:lvlText w:val="%8."/>
      <w:lvlJc w:val="left"/>
      <w:pPr>
        <w:ind w:left="5760" w:hanging="360"/>
      </w:pPr>
    </w:lvl>
    <w:lvl w:ilvl="8" w:tplc="B7F6FC9C" w:tentative="1">
      <w:start w:val="1"/>
      <w:numFmt w:val="lowerRoman"/>
      <w:lvlText w:val="%9."/>
      <w:lvlJc w:val="right"/>
      <w:pPr>
        <w:ind w:left="6480" w:hanging="180"/>
      </w:pPr>
    </w:lvl>
  </w:abstractNum>
  <w:abstractNum w:abstractNumId="1" w15:restartNumberingAfterBreak="0">
    <w:nsid w:val="0FA14706"/>
    <w:multiLevelType w:val="hybridMultilevel"/>
    <w:tmpl w:val="CF7C6E42"/>
    <w:lvl w:ilvl="0" w:tplc="0DB2C3A4">
      <w:start w:val="1"/>
      <w:numFmt w:val="decimal"/>
      <w:lvlText w:val="%1."/>
      <w:lvlJc w:val="left"/>
      <w:pPr>
        <w:ind w:left="720" w:hanging="360"/>
      </w:pPr>
    </w:lvl>
    <w:lvl w:ilvl="1" w:tplc="019C29A6" w:tentative="1">
      <w:start w:val="1"/>
      <w:numFmt w:val="lowerLetter"/>
      <w:lvlText w:val="%2."/>
      <w:lvlJc w:val="left"/>
      <w:pPr>
        <w:ind w:left="1440" w:hanging="360"/>
      </w:pPr>
    </w:lvl>
    <w:lvl w:ilvl="2" w:tplc="166819CC" w:tentative="1">
      <w:start w:val="1"/>
      <w:numFmt w:val="lowerRoman"/>
      <w:lvlText w:val="%3."/>
      <w:lvlJc w:val="right"/>
      <w:pPr>
        <w:ind w:left="2160" w:hanging="180"/>
      </w:pPr>
    </w:lvl>
    <w:lvl w:ilvl="3" w:tplc="25BAA098" w:tentative="1">
      <w:start w:val="1"/>
      <w:numFmt w:val="decimal"/>
      <w:lvlText w:val="%4."/>
      <w:lvlJc w:val="left"/>
      <w:pPr>
        <w:ind w:left="2880" w:hanging="360"/>
      </w:pPr>
    </w:lvl>
    <w:lvl w:ilvl="4" w:tplc="7F6857B4" w:tentative="1">
      <w:start w:val="1"/>
      <w:numFmt w:val="lowerLetter"/>
      <w:lvlText w:val="%5."/>
      <w:lvlJc w:val="left"/>
      <w:pPr>
        <w:ind w:left="3600" w:hanging="360"/>
      </w:pPr>
    </w:lvl>
    <w:lvl w:ilvl="5" w:tplc="F64A23B0" w:tentative="1">
      <w:start w:val="1"/>
      <w:numFmt w:val="lowerRoman"/>
      <w:lvlText w:val="%6."/>
      <w:lvlJc w:val="right"/>
      <w:pPr>
        <w:ind w:left="4320" w:hanging="180"/>
      </w:pPr>
    </w:lvl>
    <w:lvl w:ilvl="6" w:tplc="841A6594" w:tentative="1">
      <w:start w:val="1"/>
      <w:numFmt w:val="decimal"/>
      <w:lvlText w:val="%7."/>
      <w:lvlJc w:val="left"/>
      <w:pPr>
        <w:ind w:left="5040" w:hanging="360"/>
      </w:pPr>
    </w:lvl>
    <w:lvl w:ilvl="7" w:tplc="7D64D320" w:tentative="1">
      <w:start w:val="1"/>
      <w:numFmt w:val="lowerLetter"/>
      <w:lvlText w:val="%8."/>
      <w:lvlJc w:val="left"/>
      <w:pPr>
        <w:ind w:left="5760" w:hanging="360"/>
      </w:pPr>
    </w:lvl>
    <w:lvl w:ilvl="8" w:tplc="1D3A8314" w:tentative="1">
      <w:start w:val="1"/>
      <w:numFmt w:val="lowerRoman"/>
      <w:lvlText w:val="%9."/>
      <w:lvlJc w:val="right"/>
      <w:pPr>
        <w:ind w:left="6480" w:hanging="180"/>
      </w:pPr>
    </w:lvl>
  </w:abstractNum>
  <w:abstractNum w:abstractNumId="2" w15:restartNumberingAfterBreak="0">
    <w:nsid w:val="292C2D45"/>
    <w:multiLevelType w:val="hybridMultilevel"/>
    <w:tmpl w:val="B9F685BA"/>
    <w:lvl w:ilvl="0" w:tplc="393AD616">
      <w:start w:val="1"/>
      <w:numFmt w:val="decimal"/>
      <w:lvlText w:val="%1."/>
      <w:lvlJc w:val="left"/>
      <w:pPr>
        <w:ind w:left="720" w:hanging="360"/>
      </w:pPr>
      <w:rPr>
        <w:rFonts w:hint="default"/>
      </w:rPr>
    </w:lvl>
    <w:lvl w:ilvl="1" w:tplc="84B24180" w:tentative="1">
      <w:start w:val="1"/>
      <w:numFmt w:val="bullet"/>
      <w:lvlText w:val="o"/>
      <w:lvlJc w:val="left"/>
      <w:pPr>
        <w:ind w:left="1440" w:hanging="360"/>
      </w:pPr>
      <w:rPr>
        <w:rFonts w:ascii="Courier New" w:hAnsi="Courier New" w:cs="Courier New" w:hint="default"/>
      </w:rPr>
    </w:lvl>
    <w:lvl w:ilvl="2" w:tplc="27BE2386" w:tentative="1">
      <w:start w:val="1"/>
      <w:numFmt w:val="bullet"/>
      <w:lvlText w:val=""/>
      <w:lvlJc w:val="left"/>
      <w:pPr>
        <w:ind w:left="2160" w:hanging="360"/>
      </w:pPr>
      <w:rPr>
        <w:rFonts w:ascii="Wingdings" w:hAnsi="Wingdings" w:hint="default"/>
      </w:rPr>
    </w:lvl>
    <w:lvl w:ilvl="3" w:tplc="509CD5D6" w:tentative="1">
      <w:start w:val="1"/>
      <w:numFmt w:val="bullet"/>
      <w:lvlText w:val=""/>
      <w:lvlJc w:val="left"/>
      <w:pPr>
        <w:ind w:left="2880" w:hanging="360"/>
      </w:pPr>
      <w:rPr>
        <w:rFonts w:ascii="Symbol" w:hAnsi="Symbol" w:hint="default"/>
      </w:rPr>
    </w:lvl>
    <w:lvl w:ilvl="4" w:tplc="1332EDB2" w:tentative="1">
      <w:start w:val="1"/>
      <w:numFmt w:val="bullet"/>
      <w:lvlText w:val="o"/>
      <w:lvlJc w:val="left"/>
      <w:pPr>
        <w:ind w:left="3600" w:hanging="360"/>
      </w:pPr>
      <w:rPr>
        <w:rFonts w:ascii="Courier New" w:hAnsi="Courier New" w:cs="Courier New" w:hint="default"/>
      </w:rPr>
    </w:lvl>
    <w:lvl w:ilvl="5" w:tplc="7B0E397A" w:tentative="1">
      <w:start w:val="1"/>
      <w:numFmt w:val="bullet"/>
      <w:lvlText w:val=""/>
      <w:lvlJc w:val="left"/>
      <w:pPr>
        <w:ind w:left="4320" w:hanging="360"/>
      </w:pPr>
      <w:rPr>
        <w:rFonts w:ascii="Wingdings" w:hAnsi="Wingdings" w:hint="default"/>
      </w:rPr>
    </w:lvl>
    <w:lvl w:ilvl="6" w:tplc="47981B38" w:tentative="1">
      <w:start w:val="1"/>
      <w:numFmt w:val="bullet"/>
      <w:lvlText w:val=""/>
      <w:lvlJc w:val="left"/>
      <w:pPr>
        <w:ind w:left="5040" w:hanging="360"/>
      </w:pPr>
      <w:rPr>
        <w:rFonts w:ascii="Symbol" w:hAnsi="Symbol" w:hint="default"/>
      </w:rPr>
    </w:lvl>
    <w:lvl w:ilvl="7" w:tplc="8488C286" w:tentative="1">
      <w:start w:val="1"/>
      <w:numFmt w:val="bullet"/>
      <w:lvlText w:val="o"/>
      <w:lvlJc w:val="left"/>
      <w:pPr>
        <w:ind w:left="5760" w:hanging="360"/>
      </w:pPr>
      <w:rPr>
        <w:rFonts w:ascii="Courier New" w:hAnsi="Courier New" w:cs="Courier New" w:hint="default"/>
      </w:rPr>
    </w:lvl>
    <w:lvl w:ilvl="8" w:tplc="22B62610" w:tentative="1">
      <w:start w:val="1"/>
      <w:numFmt w:val="bullet"/>
      <w:lvlText w:val=""/>
      <w:lvlJc w:val="left"/>
      <w:pPr>
        <w:ind w:left="6480" w:hanging="360"/>
      </w:pPr>
      <w:rPr>
        <w:rFonts w:ascii="Wingdings" w:hAnsi="Wingdings" w:hint="default"/>
      </w:rPr>
    </w:lvl>
  </w:abstractNum>
  <w:abstractNum w:abstractNumId="3" w15:restartNumberingAfterBreak="0">
    <w:nsid w:val="316242CF"/>
    <w:multiLevelType w:val="hybridMultilevel"/>
    <w:tmpl w:val="72FA5C80"/>
    <w:lvl w:ilvl="0" w:tplc="579A03AE">
      <w:numFmt w:val="bullet"/>
      <w:lvlText w:val="-"/>
      <w:lvlJc w:val="left"/>
      <w:pPr>
        <w:ind w:left="720" w:hanging="360"/>
      </w:pPr>
      <w:rPr>
        <w:rFonts w:ascii="Calibri" w:eastAsia="Calibri" w:hAnsi="Calibri" w:cs="Calibri" w:hint="default"/>
      </w:rPr>
    </w:lvl>
    <w:lvl w:ilvl="1" w:tplc="6F5EE406" w:tentative="1">
      <w:start w:val="1"/>
      <w:numFmt w:val="bullet"/>
      <w:lvlText w:val="o"/>
      <w:lvlJc w:val="left"/>
      <w:pPr>
        <w:ind w:left="1440" w:hanging="360"/>
      </w:pPr>
      <w:rPr>
        <w:rFonts w:ascii="Courier New" w:hAnsi="Courier New" w:cs="Courier New" w:hint="default"/>
      </w:rPr>
    </w:lvl>
    <w:lvl w:ilvl="2" w:tplc="38FCA85E" w:tentative="1">
      <w:start w:val="1"/>
      <w:numFmt w:val="bullet"/>
      <w:lvlText w:val=""/>
      <w:lvlJc w:val="left"/>
      <w:pPr>
        <w:ind w:left="2160" w:hanging="360"/>
      </w:pPr>
      <w:rPr>
        <w:rFonts w:ascii="Wingdings" w:hAnsi="Wingdings" w:hint="default"/>
      </w:rPr>
    </w:lvl>
    <w:lvl w:ilvl="3" w:tplc="919CB1D0" w:tentative="1">
      <w:start w:val="1"/>
      <w:numFmt w:val="bullet"/>
      <w:lvlText w:val=""/>
      <w:lvlJc w:val="left"/>
      <w:pPr>
        <w:ind w:left="2880" w:hanging="360"/>
      </w:pPr>
      <w:rPr>
        <w:rFonts w:ascii="Symbol" w:hAnsi="Symbol" w:hint="default"/>
      </w:rPr>
    </w:lvl>
    <w:lvl w:ilvl="4" w:tplc="2534AF88" w:tentative="1">
      <w:start w:val="1"/>
      <w:numFmt w:val="bullet"/>
      <w:lvlText w:val="o"/>
      <w:lvlJc w:val="left"/>
      <w:pPr>
        <w:ind w:left="3600" w:hanging="360"/>
      </w:pPr>
      <w:rPr>
        <w:rFonts w:ascii="Courier New" w:hAnsi="Courier New" w:cs="Courier New" w:hint="default"/>
      </w:rPr>
    </w:lvl>
    <w:lvl w:ilvl="5" w:tplc="69EAA748" w:tentative="1">
      <w:start w:val="1"/>
      <w:numFmt w:val="bullet"/>
      <w:lvlText w:val=""/>
      <w:lvlJc w:val="left"/>
      <w:pPr>
        <w:ind w:left="4320" w:hanging="360"/>
      </w:pPr>
      <w:rPr>
        <w:rFonts w:ascii="Wingdings" w:hAnsi="Wingdings" w:hint="default"/>
      </w:rPr>
    </w:lvl>
    <w:lvl w:ilvl="6" w:tplc="F656D61C" w:tentative="1">
      <w:start w:val="1"/>
      <w:numFmt w:val="bullet"/>
      <w:lvlText w:val=""/>
      <w:lvlJc w:val="left"/>
      <w:pPr>
        <w:ind w:left="5040" w:hanging="360"/>
      </w:pPr>
      <w:rPr>
        <w:rFonts w:ascii="Symbol" w:hAnsi="Symbol" w:hint="default"/>
      </w:rPr>
    </w:lvl>
    <w:lvl w:ilvl="7" w:tplc="89503674" w:tentative="1">
      <w:start w:val="1"/>
      <w:numFmt w:val="bullet"/>
      <w:lvlText w:val="o"/>
      <w:lvlJc w:val="left"/>
      <w:pPr>
        <w:ind w:left="5760" w:hanging="360"/>
      </w:pPr>
      <w:rPr>
        <w:rFonts w:ascii="Courier New" w:hAnsi="Courier New" w:cs="Courier New" w:hint="default"/>
      </w:rPr>
    </w:lvl>
    <w:lvl w:ilvl="8" w:tplc="846E0572" w:tentative="1">
      <w:start w:val="1"/>
      <w:numFmt w:val="bullet"/>
      <w:lvlText w:val=""/>
      <w:lvlJc w:val="left"/>
      <w:pPr>
        <w:ind w:left="6480" w:hanging="360"/>
      </w:pPr>
      <w:rPr>
        <w:rFonts w:ascii="Wingdings" w:hAnsi="Wingdings" w:hint="default"/>
      </w:rPr>
    </w:lvl>
  </w:abstractNum>
  <w:abstractNum w:abstractNumId="4" w15:restartNumberingAfterBreak="0">
    <w:nsid w:val="42434C57"/>
    <w:multiLevelType w:val="hybridMultilevel"/>
    <w:tmpl w:val="D15AEF20"/>
    <w:lvl w:ilvl="0" w:tplc="75A83EBE">
      <w:start w:val="1"/>
      <w:numFmt w:val="bullet"/>
      <w:lvlText w:val=""/>
      <w:lvlJc w:val="left"/>
      <w:pPr>
        <w:ind w:left="720" w:hanging="360"/>
      </w:pPr>
      <w:rPr>
        <w:rFonts w:ascii="Symbol" w:hAnsi="Symbol" w:hint="default"/>
      </w:rPr>
    </w:lvl>
    <w:lvl w:ilvl="1" w:tplc="7A9E886A" w:tentative="1">
      <w:start w:val="1"/>
      <w:numFmt w:val="bullet"/>
      <w:lvlText w:val="o"/>
      <w:lvlJc w:val="left"/>
      <w:pPr>
        <w:ind w:left="1440" w:hanging="360"/>
      </w:pPr>
      <w:rPr>
        <w:rFonts w:ascii="Courier New" w:hAnsi="Courier New" w:cs="Courier New" w:hint="default"/>
      </w:rPr>
    </w:lvl>
    <w:lvl w:ilvl="2" w:tplc="E1FACE5A" w:tentative="1">
      <w:start w:val="1"/>
      <w:numFmt w:val="bullet"/>
      <w:lvlText w:val=""/>
      <w:lvlJc w:val="left"/>
      <w:pPr>
        <w:ind w:left="2160" w:hanging="360"/>
      </w:pPr>
      <w:rPr>
        <w:rFonts w:ascii="Wingdings" w:hAnsi="Wingdings" w:hint="default"/>
      </w:rPr>
    </w:lvl>
    <w:lvl w:ilvl="3" w:tplc="EA86B5E4" w:tentative="1">
      <w:start w:val="1"/>
      <w:numFmt w:val="bullet"/>
      <w:lvlText w:val=""/>
      <w:lvlJc w:val="left"/>
      <w:pPr>
        <w:ind w:left="2880" w:hanging="360"/>
      </w:pPr>
      <w:rPr>
        <w:rFonts w:ascii="Symbol" w:hAnsi="Symbol" w:hint="default"/>
      </w:rPr>
    </w:lvl>
    <w:lvl w:ilvl="4" w:tplc="839447A4" w:tentative="1">
      <w:start w:val="1"/>
      <w:numFmt w:val="bullet"/>
      <w:lvlText w:val="o"/>
      <w:lvlJc w:val="left"/>
      <w:pPr>
        <w:ind w:left="3600" w:hanging="360"/>
      </w:pPr>
      <w:rPr>
        <w:rFonts w:ascii="Courier New" w:hAnsi="Courier New" w:cs="Courier New" w:hint="default"/>
      </w:rPr>
    </w:lvl>
    <w:lvl w:ilvl="5" w:tplc="C818FB2A" w:tentative="1">
      <w:start w:val="1"/>
      <w:numFmt w:val="bullet"/>
      <w:lvlText w:val=""/>
      <w:lvlJc w:val="left"/>
      <w:pPr>
        <w:ind w:left="4320" w:hanging="360"/>
      </w:pPr>
      <w:rPr>
        <w:rFonts w:ascii="Wingdings" w:hAnsi="Wingdings" w:hint="default"/>
      </w:rPr>
    </w:lvl>
    <w:lvl w:ilvl="6" w:tplc="2BE8DA6C" w:tentative="1">
      <w:start w:val="1"/>
      <w:numFmt w:val="bullet"/>
      <w:lvlText w:val=""/>
      <w:lvlJc w:val="left"/>
      <w:pPr>
        <w:ind w:left="5040" w:hanging="360"/>
      </w:pPr>
      <w:rPr>
        <w:rFonts w:ascii="Symbol" w:hAnsi="Symbol" w:hint="default"/>
      </w:rPr>
    </w:lvl>
    <w:lvl w:ilvl="7" w:tplc="1E5C187E" w:tentative="1">
      <w:start w:val="1"/>
      <w:numFmt w:val="bullet"/>
      <w:lvlText w:val="o"/>
      <w:lvlJc w:val="left"/>
      <w:pPr>
        <w:ind w:left="5760" w:hanging="360"/>
      </w:pPr>
      <w:rPr>
        <w:rFonts w:ascii="Courier New" w:hAnsi="Courier New" w:cs="Courier New" w:hint="default"/>
      </w:rPr>
    </w:lvl>
    <w:lvl w:ilvl="8" w:tplc="06B6CF7C" w:tentative="1">
      <w:start w:val="1"/>
      <w:numFmt w:val="bullet"/>
      <w:lvlText w:val=""/>
      <w:lvlJc w:val="left"/>
      <w:pPr>
        <w:ind w:left="6480" w:hanging="360"/>
      </w:pPr>
      <w:rPr>
        <w:rFonts w:ascii="Wingdings" w:hAnsi="Wingdings" w:hint="default"/>
      </w:rPr>
    </w:lvl>
  </w:abstractNum>
  <w:abstractNum w:abstractNumId="5" w15:restartNumberingAfterBreak="0">
    <w:nsid w:val="464B5FA5"/>
    <w:multiLevelType w:val="multilevel"/>
    <w:tmpl w:val="EA1E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BA1BD8"/>
    <w:multiLevelType w:val="hybridMultilevel"/>
    <w:tmpl w:val="B39E65E2"/>
    <w:lvl w:ilvl="0" w:tplc="DE96CA94">
      <w:start w:val="1"/>
      <w:numFmt w:val="bullet"/>
      <w:lvlText w:val=""/>
      <w:lvlJc w:val="left"/>
      <w:pPr>
        <w:ind w:left="720" w:hanging="360"/>
      </w:pPr>
      <w:rPr>
        <w:rFonts w:ascii="Symbol" w:hAnsi="Symbol" w:hint="default"/>
      </w:rPr>
    </w:lvl>
    <w:lvl w:ilvl="1" w:tplc="14263D38" w:tentative="1">
      <w:start w:val="1"/>
      <w:numFmt w:val="bullet"/>
      <w:lvlText w:val="o"/>
      <w:lvlJc w:val="left"/>
      <w:pPr>
        <w:ind w:left="1440" w:hanging="360"/>
      </w:pPr>
      <w:rPr>
        <w:rFonts w:ascii="Courier New" w:hAnsi="Courier New" w:cs="Courier New" w:hint="default"/>
      </w:rPr>
    </w:lvl>
    <w:lvl w:ilvl="2" w:tplc="FD00765C" w:tentative="1">
      <w:start w:val="1"/>
      <w:numFmt w:val="bullet"/>
      <w:lvlText w:val=""/>
      <w:lvlJc w:val="left"/>
      <w:pPr>
        <w:ind w:left="2160" w:hanging="360"/>
      </w:pPr>
      <w:rPr>
        <w:rFonts w:ascii="Wingdings" w:hAnsi="Wingdings" w:hint="default"/>
      </w:rPr>
    </w:lvl>
    <w:lvl w:ilvl="3" w:tplc="29A878BA" w:tentative="1">
      <w:start w:val="1"/>
      <w:numFmt w:val="bullet"/>
      <w:lvlText w:val=""/>
      <w:lvlJc w:val="left"/>
      <w:pPr>
        <w:ind w:left="2880" w:hanging="360"/>
      </w:pPr>
      <w:rPr>
        <w:rFonts w:ascii="Symbol" w:hAnsi="Symbol" w:hint="default"/>
      </w:rPr>
    </w:lvl>
    <w:lvl w:ilvl="4" w:tplc="095EDCC0" w:tentative="1">
      <w:start w:val="1"/>
      <w:numFmt w:val="bullet"/>
      <w:lvlText w:val="o"/>
      <w:lvlJc w:val="left"/>
      <w:pPr>
        <w:ind w:left="3600" w:hanging="360"/>
      </w:pPr>
      <w:rPr>
        <w:rFonts w:ascii="Courier New" w:hAnsi="Courier New" w:cs="Courier New" w:hint="default"/>
      </w:rPr>
    </w:lvl>
    <w:lvl w:ilvl="5" w:tplc="40A42DDE" w:tentative="1">
      <w:start w:val="1"/>
      <w:numFmt w:val="bullet"/>
      <w:lvlText w:val=""/>
      <w:lvlJc w:val="left"/>
      <w:pPr>
        <w:ind w:left="4320" w:hanging="360"/>
      </w:pPr>
      <w:rPr>
        <w:rFonts w:ascii="Wingdings" w:hAnsi="Wingdings" w:hint="default"/>
      </w:rPr>
    </w:lvl>
    <w:lvl w:ilvl="6" w:tplc="15E68D22" w:tentative="1">
      <w:start w:val="1"/>
      <w:numFmt w:val="bullet"/>
      <w:lvlText w:val=""/>
      <w:lvlJc w:val="left"/>
      <w:pPr>
        <w:ind w:left="5040" w:hanging="360"/>
      </w:pPr>
      <w:rPr>
        <w:rFonts w:ascii="Symbol" w:hAnsi="Symbol" w:hint="default"/>
      </w:rPr>
    </w:lvl>
    <w:lvl w:ilvl="7" w:tplc="ED7A2038" w:tentative="1">
      <w:start w:val="1"/>
      <w:numFmt w:val="bullet"/>
      <w:lvlText w:val="o"/>
      <w:lvlJc w:val="left"/>
      <w:pPr>
        <w:ind w:left="5760" w:hanging="360"/>
      </w:pPr>
      <w:rPr>
        <w:rFonts w:ascii="Courier New" w:hAnsi="Courier New" w:cs="Courier New" w:hint="default"/>
      </w:rPr>
    </w:lvl>
    <w:lvl w:ilvl="8" w:tplc="6B5C44EC" w:tentative="1">
      <w:start w:val="1"/>
      <w:numFmt w:val="bullet"/>
      <w:lvlText w:val=""/>
      <w:lvlJc w:val="left"/>
      <w:pPr>
        <w:ind w:left="6480" w:hanging="360"/>
      </w:pPr>
      <w:rPr>
        <w:rFonts w:ascii="Wingdings" w:hAnsi="Wingdings" w:hint="default"/>
      </w:rPr>
    </w:lvl>
  </w:abstractNum>
  <w:abstractNum w:abstractNumId="7" w15:restartNumberingAfterBreak="0">
    <w:nsid w:val="485F1C06"/>
    <w:multiLevelType w:val="hybridMultilevel"/>
    <w:tmpl w:val="214A7B8C"/>
    <w:lvl w:ilvl="0" w:tplc="B93E1F4A">
      <w:numFmt w:val="bullet"/>
      <w:lvlText w:val="-"/>
      <w:lvlJc w:val="left"/>
      <w:pPr>
        <w:ind w:left="720" w:hanging="360"/>
      </w:pPr>
      <w:rPr>
        <w:rFonts w:ascii="Times New Roman" w:eastAsia="Times New Roman" w:hAnsi="Times New Roman" w:cs="Times New Roman" w:hint="default"/>
      </w:rPr>
    </w:lvl>
    <w:lvl w:ilvl="1" w:tplc="DAAA52B8" w:tentative="1">
      <w:start w:val="1"/>
      <w:numFmt w:val="bullet"/>
      <w:lvlText w:val="o"/>
      <w:lvlJc w:val="left"/>
      <w:pPr>
        <w:ind w:left="1440" w:hanging="360"/>
      </w:pPr>
      <w:rPr>
        <w:rFonts w:ascii="Courier New" w:hAnsi="Courier New" w:cs="Courier New" w:hint="default"/>
      </w:rPr>
    </w:lvl>
    <w:lvl w:ilvl="2" w:tplc="E2520AF6" w:tentative="1">
      <w:start w:val="1"/>
      <w:numFmt w:val="bullet"/>
      <w:lvlText w:val=""/>
      <w:lvlJc w:val="left"/>
      <w:pPr>
        <w:ind w:left="2160" w:hanging="360"/>
      </w:pPr>
      <w:rPr>
        <w:rFonts w:ascii="Wingdings" w:hAnsi="Wingdings" w:hint="default"/>
      </w:rPr>
    </w:lvl>
    <w:lvl w:ilvl="3" w:tplc="D882A59A" w:tentative="1">
      <w:start w:val="1"/>
      <w:numFmt w:val="bullet"/>
      <w:lvlText w:val=""/>
      <w:lvlJc w:val="left"/>
      <w:pPr>
        <w:ind w:left="2880" w:hanging="360"/>
      </w:pPr>
      <w:rPr>
        <w:rFonts w:ascii="Symbol" w:hAnsi="Symbol" w:hint="default"/>
      </w:rPr>
    </w:lvl>
    <w:lvl w:ilvl="4" w:tplc="72EADD26" w:tentative="1">
      <w:start w:val="1"/>
      <w:numFmt w:val="bullet"/>
      <w:lvlText w:val="o"/>
      <w:lvlJc w:val="left"/>
      <w:pPr>
        <w:ind w:left="3600" w:hanging="360"/>
      </w:pPr>
      <w:rPr>
        <w:rFonts w:ascii="Courier New" w:hAnsi="Courier New" w:cs="Courier New" w:hint="default"/>
      </w:rPr>
    </w:lvl>
    <w:lvl w:ilvl="5" w:tplc="A6404E2C" w:tentative="1">
      <w:start w:val="1"/>
      <w:numFmt w:val="bullet"/>
      <w:lvlText w:val=""/>
      <w:lvlJc w:val="left"/>
      <w:pPr>
        <w:ind w:left="4320" w:hanging="360"/>
      </w:pPr>
      <w:rPr>
        <w:rFonts w:ascii="Wingdings" w:hAnsi="Wingdings" w:hint="default"/>
      </w:rPr>
    </w:lvl>
    <w:lvl w:ilvl="6" w:tplc="85881454" w:tentative="1">
      <w:start w:val="1"/>
      <w:numFmt w:val="bullet"/>
      <w:lvlText w:val=""/>
      <w:lvlJc w:val="left"/>
      <w:pPr>
        <w:ind w:left="5040" w:hanging="360"/>
      </w:pPr>
      <w:rPr>
        <w:rFonts w:ascii="Symbol" w:hAnsi="Symbol" w:hint="default"/>
      </w:rPr>
    </w:lvl>
    <w:lvl w:ilvl="7" w:tplc="437097E8" w:tentative="1">
      <w:start w:val="1"/>
      <w:numFmt w:val="bullet"/>
      <w:lvlText w:val="o"/>
      <w:lvlJc w:val="left"/>
      <w:pPr>
        <w:ind w:left="5760" w:hanging="360"/>
      </w:pPr>
      <w:rPr>
        <w:rFonts w:ascii="Courier New" w:hAnsi="Courier New" w:cs="Courier New" w:hint="default"/>
      </w:rPr>
    </w:lvl>
    <w:lvl w:ilvl="8" w:tplc="07523C12" w:tentative="1">
      <w:start w:val="1"/>
      <w:numFmt w:val="bullet"/>
      <w:lvlText w:val=""/>
      <w:lvlJc w:val="left"/>
      <w:pPr>
        <w:ind w:left="6480" w:hanging="360"/>
      </w:pPr>
      <w:rPr>
        <w:rFonts w:ascii="Wingdings" w:hAnsi="Wingdings" w:hint="default"/>
      </w:rPr>
    </w:lvl>
  </w:abstractNum>
  <w:abstractNum w:abstractNumId="8" w15:restartNumberingAfterBreak="0">
    <w:nsid w:val="4DBF6614"/>
    <w:multiLevelType w:val="hybridMultilevel"/>
    <w:tmpl w:val="B30EA008"/>
    <w:lvl w:ilvl="0" w:tplc="0B900144">
      <w:start w:val="1"/>
      <w:numFmt w:val="decimal"/>
      <w:lvlText w:val="%1."/>
      <w:lvlJc w:val="left"/>
      <w:pPr>
        <w:ind w:left="720" w:hanging="360"/>
      </w:pPr>
    </w:lvl>
    <w:lvl w:ilvl="1" w:tplc="F4AE4372">
      <w:start w:val="1"/>
      <w:numFmt w:val="lowerLetter"/>
      <w:lvlText w:val="%2."/>
      <w:lvlJc w:val="left"/>
      <w:pPr>
        <w:ind w:left="1440" w:hanging="360"/>
      </w:pPr>
    </w:lvl>
    <w:lvl w:ilvl="2" w:tplc="0060E1BA">
      <w:start w:val="1"/>
      <w:numFmt w:val="lowerRoman"/>
      <w:lvlText w:val="%3."/>
      <w:lvlJc w:val="right"/>
      <w:pPr>
        <w:ind w:left="2160" w:hanging="180"/>
      </w:pPr>
    </w:lvl>
    <w:lvl w:ilvl="3" w:tplc="4ED6D58E">
      <w:start w:val="1"/>
      <w:numFmt w:val="decimal"/>
      <w:lvlText w:val="%4."/>
      <w:lvlJc w:val="left"/>
      <w:pPr>
        <w:ind w:left="2880" w:hanging="360"/>
      </w:pPr>
    </w:lvl>
    <w:lvl w:ilvl="4" w:tplc="5EFE9E8A">
      <w:start w:val="1"/>
      <w:numFmt w:val="lowerLetter"/>
      <w:lvlText w:val="%5."/>
      <w:lvlJc w:val="left"/>
      <w:pPr>
        <w:ind w:left="3600" w:hanging="360"/>
      </w:pPr>
    </w:lvl>
    <w:lvl w:ilvl="5" w:tplc="9DC4CDB2">
      <w:start w:val="1"/>
      <w:numFmt w:val="lowerRoman"/>
      <w:lvlText w:val="%6."/>
      <w:lvlJc w:val="right"/>
      <w:pPr>
        <w:ind w:left="4320" w:hanging="180"/>
      </w:pPr>
    </w:lvl>
    <w:lvl w:ilvl="6" w:tplc="C1C67FF2">
      <w:start w:val="1"/>
      <w:numFmt w:val="decimal"/>
      <w:lvlText w:val="%7."/>
      <w:lvlJc w:val="left"/>
      <w:pPr>
        <w:ind w:left="5040" w:hanging="360"/>
      </w:pPr>
    </w:lvl>
    <w:lvl w:ilvl="7" w:tplc="FE34CF5E">
      <w:start w:val="1"/>
      <w:numFmt w:val="lowerLetter"/>
      <w:lvlText w:val="%8."/>
      <w:lvlJc w:val="left"/>
      <w:pPr>
        <w:ind w:left="5760" w:hanging="360"/>
      </w:pPr>
    </w:lvl>
    <w:lvl w:ilvl="8" w:tplc="0870FE02">
      <w:start w:val="1"/>
      <w:numFmt w:val="lowerRoman"/>
      <w:lvlText w:val="%9."/>
      <w:lvlJc w:val="right"/>
      <w:pPr>
        <w:ind w:left="6480" w:hanging="180"/>
      </w:pPr>
    </w:lvl>
  </w:abstractNum>
  <w:abstractNum w:abstractNumId="9" w15:restartNumberingAfterBreak="0">
    <w:nsid w:val="643813AA"/>
    <w:multiLevelType w:val="hybridMultilevel"/>
    <w:tmpl w:val="033A496E"/>
    <w:lvl w:ilvl="0" w:tplc="9A38C4CE">
      <w:start w:val="1"/>
      <w:numFmt w:val="decimal"/>
      <w:lvlText w:val="%1)"/>
      <w:lvlJc w:val="left"/>
      <w:pPr>
        <w:ind w:left="720" w:hanging="360"/>
      </w:pPr>
      <w:rPr>
        <w:rFonts w:eastAsia="Times New Roman" w:cs="Times New Roman" w:hint="default"/>
        <w:b w:val="0"/>
        <w:color w:val="auto"/>
        <w:sz w:val="22"/>
      </w:rPr>
    </w:lvl>
    <w:lvl w:ilvl="1" w:tplc="9154ABCC" w:tentative="1">
      <w:start w:val="1"/>
      <w:numFmt w:val="lowerLetter"/>
      <w:lvlText w:val="%2."/>
      <w:lvlJc w:val="left"/>
      <w:pPr>
        <w:ind w:left="1440" w:hanging="360"/>
      </w:pPr>
    </w:lvl>
    <w:lvl w:ilvl="2" w:tplc="36B88DCA" w:tentative="1">
      <w:start w:val="1"/>
      <w:numFmt w:val="lowerRoman"/>
      <w:lvlText w:val="%3."/>
      <w:lvlJc w:val="right"/>
      <w:pPr>
        <w:ind w:left="2160" w:hanging="180"/>
      </w:pPr>
    </w:lvl>
    <w:lvl w:ilvl="3" w:tplc="E716D2CC" w:tentative="1">
      <w:start w:val="1"/>
      <w:numFmt w:val="decimal"/>
      <w:lvlText w:val="%4."/>
      <w:lvlJc w:val="left"/>
      <w:pPr>
        <w:ind w:left="2880" w:hanging="360"/>
      </w:pPr>
    </w:lvl>
    <w:lvl w:ilvl="4" w:tplc="6C9AC528" w:tentative="1">
      <w:start w:val="1"/>
      <w:numFmt w:val="lowerLetter"/>
      <w:lvlText w:val="%5."/>
      <w:lvlJc w:val="left"/>
      <w:pPr>
        <w:ind w:left="3600" w:hanging="360"/>
      </w:pPr>
    </w:lvl>
    <w:lvl w:ilvl="5" w:tplc="1FF425D0" w:tentative="1">
      <w:start w:val="1"/>
      <w:numFmt w:val="lowerRoman"/>
      <w:lvlText w:val="%6."/>
      <w:lvlJc w:val="right"/>
      <w:pPr>
        <w:ind w:left="4320" w:hanging="180"/>
      </w:pPr>
    </w:lvl>
    <w:lvl w:ilvl="6" w:tplc="E5CC83C6" w:tentative="1">
      <w:start w:val="1"/>
      <w:numFmt w:val="decimal"/>
      <w:lvlText w:val="%7."/>
      <w:lvlJc w:val="left"/>
      <w:pPr>
        <w:ind w:left="5040" w:hanging="360"/>
      </w:pPr>
    </w:lvl>
    <w:lvl w:ilvl="7" w:tplc="B51EB9C0" w:tentative="1">
      <w:start w:val="1"/>
      <w:numFmt w:val="lowerLetter"/>
      <w:lvlText w:val="%8."/>
      <w:lvlJc w:val="left"/>
      <w:pPr>
        <w:ind w:left="5760" w:hanging="360"/>
      </w:pPr>
    </w:lvl>
    <w:lvl w:ilvl="8" w:tplc="A0C2ACC6" w:tentative="1">
      <w:start w:val="1"/>
      <w:numFmt w:val="lowerRoman"/>
      <w:lvlText w:val="%9."/>
      <w:lvlJc w:val="right"/>
      <w:pPr>
        <w:ind w:left="6480" w:hanging="180"/>
      </w:pPr>
    </w:lvl>
  </w:abstractNum>
  <w:abstractNum w:abstractNumId="10" w15:restartNumberingAfterBreak="0">
    <w:nsid w:val="69EB3C82"/>
    <w:multiLevelType w:val="multilevel"/>
    <w:tmpl w:val="24B0D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A2C7B1D"/>
    <w:multiLevelType w:val="multilevel"/>
    <w:tmpl w:val="A99AFB9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694E13"/>
    <w:multiLevelType w:val="hybridMultilevel"/>
    <w:tmpl w:val="CEEE2CFC"/>
    <w:lvl w:ilvl="0" w:tplc="ED3E0A70">
      <w:start w:val="1"/>
      <w:numFmt w:val="bullet"/>
      <w:lvlText w:val=""/>
      <w:lvlJc w:val="left"/>
      <w:pPr>
        <w:ind w:left="720" w:hanging="360"/>
      </w:pPr>
      <w:rPr>
        <w:rFonts w:ascii="Symbol" w:hAnsi="Symbol" w:hint="default"/>
      </w:rPr>
    </w:lvl>
    <w:lvl w:ilvl="1" w:tplc="E7CE4E06" w:tentative="1">
      <w:start w:val="1"/>
      <w:numFmt w:val="bullet"/>
      <w:lvlText w:val="o"/>
      <w:lvlJc w:val="left"/>
      <w:pPr>
        <w:ind w:left="1440" w:hanging="360"/>
      </w:pPr>
      <w:rPr>
        <w:rFonts w:ascii="Courier New" w:hAnsi="Courier New" w:cs="Courier New" w:hint="default"/>
      </w:rPr>
    </w:lvl>
    <w:lvl w:ilvl="2" w:tplc="C380B56E" w:tentative="1">
      <w:start w:val="1"/>
      <w:numFmt w:val="bullet"/>
      <w:lvlText w:val=""/>
      <w:lvlJc w:val="left"/>
      <w:pPr>
        <w:ind w:left="2160" w:hanging="360"/>
      </w:pPr>
      <w:rPr>
        <w:rFonts w:ascii="Wingdings" w:hAnsi="Wingdings" w:hint="default"/>
      </w:rPr>
    </w:lvl>
    <w:lvl w:ilvl="3" w:tplc="E05E279C" w:tentative="1">
      <w:start w:val="1"/>
      <w:numFmt w:val="bullet"/>
      <w:lvlText w:val=""/>
      <w:lvlJc w:val="left"/>
      <w:pPr>
        <w:ind w:left="2880" w:hanging="360"/>
      </w:pPr>
      <w:rPr>
        <w:rFonts w:ascii="Symbol" w:hAnsi="Symbol" w:hint="default"/>
      </w:rPr>
    </w:lvl>
    <w:lvl w:ilvl="4" w:tplc="D0248720" w:tentative="1">
      <w:start w:val="1"/>
      <w:numFmt w:val="bullet"/>
      <w:lvlText w:val="o"/>
      <w:lvlJc w:val="left"/>
      <w:pPr>
        <w:ind w:left="3600" w:hanging="360"/>
      </w:pPr>
      <w:rPr>
        <w:rFonts w:ascii="Courier New" w:hAnsi="Courier New" w:cs="Courier New" w:hint="default"/>
      </w:rPr>
    </w:lvl>
    <w:lvl w:ilvl="5" w:tplc="54C45CB0" w:tentative="1">
      <w:start w:val="1"/>
      <w:numFmt w:val="bullet"/>
      <w:lvlText w:val=""/>
      <w:lvlJc w:val="left"/>
      <w:pPr>
        <w:ind w:left="4320" w:hanging="360"/>
      </w:pPr>
      <w:rPr>
        <w:rFonts w:ascii="Wingdings" w:hAnsi="Wingdings" w:hint="default"/>
      </w:rPr>
    </w:lvl>
    <w:lvl w:ilvl="6" w:tplc="4A786BD4" w:tentative="1">
      <w:start w:val="1"/>
      <w:numFmt w:val="bullet"/>
      <w:lvlText w:val=""/>
      <w:lvlJc w:val="left"/>
      <w:pPr>
        <w:ind w:left="5040" w:hanging="360"/>
      </w:pPr>
      <w:rPr>
        <w:rFonts w:ascii="Symbol" w:hAnsi="Symbol" w:hint="default"/>
      </w:rPr>
    </w:lvl>
    <w:lvl w:ilvl="7" w:tplc="214831B6" w:tentative="1">
      <w:start w:val="1"/>
      <w:numFmt w:val="bullet"/>
      <w:lvlText w:val="o"/>
      <w:lvlJc w:val="left"/>
      <w:pPr>
        <w:ind w:left="5760" w:hanging="360"/>
      </w:pPr>
      <w:rPr>
        <w:rFonts w:ascii="Courier New" w:hAnsi="Courier New" w:cs="Courier New" w:hint="default"/>
      </w:rPr>
    </w:lvl>
    <w:lvl w:ilvl="8" w:tplc="9CF4ADEE" w:tentative="1">
      <w:start w:val="1"/>
      <w:numFmt w:val="bullet"/>
      <w:lvlText w:val=""/>
      <w:lvlJc w:val="left"/>
      <w:pPr>
        <w:ind w:left="6480" w:hanging="360"/>
      </w:pPr>
      <w:rPr>
        <w:rFonts w:ascii="Wingdings" w:hAnsi="Wingdings" w:hint="default"/>
      </w:rPr>
    </w:lvl>
  </w:abstractNum>
  <w:abstractNum w:abstractNumId="13" w15:restartNumberingAfterBreak="0">
    <w:nsid w:val="6DB45FBC"/>
    <w:multiLevelType w:val="hybridMultilevel"/>
    <w:tmpl w:val="2A6A8506"/>
    <w:lvl w:ilvl="0" w:tplc="C57E1B7C">
      <w:start w:val="1"/>
      <w:numFmt w:val="decimal"/>
      <w:lvlText w:val="%1."/>
      <w:lvlJc w:val="left"/>
      <w:pPr>
        <w:ind w:left="720" w:hanging="360"/>
      </w:pPr>
    </w:lvl>
    <w:lvl w:ilvl="1" w:tplc="C31209BE" w:tentative="1">
      <w:start w:val="1"/>
      <w:numFmt w:val="lowerLetter"/>
      <w:lvlText w:val="%2."/>
      <w:lvlJc w:val="left"/>
      <w:pPr>
        <w:ind w:left="1440" w:hanging="360"/>
      </w:pPr>
    </w:lvl>
    <w:lvl w:ilvl="2" w:tplc="3BA8EA26" w:tentative="1">
      <w:start w:val="1"/>
      <w:numFmt w:val="lowerRoman"/>
      <w:lvlText w:val="%3."/>
      <w:lvlJc w:val="right"/>
      <w:pPr>
        <w:ind w:left="2160" w:hanging="180"/>
      </w:pPr>
    </w:lvl>
    <w:lvl w:ilvl="3" w:tplc="5232B298" w:tentative="1">
      <w:start w:val="1"/>
      <w:numFmt w:val="decimal"/>
      <w:lvlText w:val="%4."/>
      <w:lvlJc w:val="left"/>
      <w:pPr>
        <w:ind w:left="2880" w:hanging="360"/>
      </w:pPr>
    </w:lvl>
    <w:lvl w:ilvl="4" w:tplc="10C47A56" w:tentative="1">
      <w:start w:val="1"/>
      <w:numFmt w:val="lowerLetter"/>
      <w:lvlText w:val="%5."/>
      <w:lvlJc w:val="left"/>
      <w:pPr>
        <w:ind w:left="3600" w:hanging="360"/>
      </w:pPr>
    </w:lvl>
    <w:lvl w:ilvl="5" w:tplc="A5542B3E" w:tentative="1">
      <w:start w:val="1"/>
      <w:numFmt w:val="lowerRoman"/>
      <w:lvlText w:val="%6."/>
      <w:lvlJc w:val="right"/>
      <w:pPr>
        <w:ind w:left="4320" w:hanging="180"/>
      </w:pPr>
    </w:lvl>
    <w:lvl w:ilvl="6" w:tplc="6750F14E" w:tentative="1">
      <w:start w:val="1"/>
      <w:numFmt w:val="decimal"/>
      <w:lvlText w:val="%7."/>
      <w:lvlJc w:val="left"/>
      <w:pPr>
        <w:ind w:left="5040" w:hanging="360"/>
      </w:pPr>
    </w:lvl>
    <w:lvl w:ilvl="7" w:tplc="04020F44" w:tentative="1">
      <w:start w:val="1"/>
      <w:numFmt w:val="lowerLetter"/>
      <w:lvlText w:val="%8."/>
      <w:lvlJc w:val="left"/>
      <w:pPr>
        <w:ind w:left="5760" w:hanging="360"/>
      </w:pPr>
    </w:lvl>
    <w:lvl w:ilvl="8" w:tplc="E4F4E384" w:tentative="1">
      <w:start w:val="1"/>
      <w:numFmt w:val="lowerRoman"/>
      <w:lvlText w:val="%9."/>
      <w:lvlJc w:val="right"/>
      <w:pPr>
        <w:ind w:left="6480" w:hanging="180"/>
      </w:pPr>
    </w:lvl>
  </w:abstractNum>
  <w:abstractNum w:abstractNumId="14" w15:restartNumberingAfterBreak="0">
    <w:nsid w:val="708A38D8"/>
    <w:multiLevelType w:val="multilevel"/>
    <w:tmpl w:val="C96EF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F460DF"/>
    <w:multiLevelType w:val="hybridMultilevel"/>
    <w:tmpl w:val="00FE703E"/>
    <w:lvl w:ilvl="0" w:tplc="7ACEC742">
      <w:start w:val="1"/>
      <w:numFmt w:val="bullet"/>
      <w:lvlText w:val=""/>
      <w:lvlJc w:val="left"/>
      <w:pPr>
        <w:ind w:left="360" w:hanging="360"/>
      </w:pPr>
      <w:rPr>
        <w:rFonts w:ascii="Symbol" w:hAnsi="Symbol" w:hint="default"/>
      </w:rPr>
    </w:lvl>
    <w:lvl w:ilvl="1" w:tplc="A7B2060E" w:tentative="1">
      <w:start w:val="1"/>
      <w:numFmt w:val="bullet"/>
      <w:lvlText w:val="o"/>
      <w:lvlJc w:val="left"/>
      <w:pPr>
        <w:ind w:left="1080" w:hanging="360"/>
      </w:pPr>
      <w:rPr>
        <w:rFonts w:ascii="Courier New" w:hAnsi="Courier New" w:cs="Courier New" w:hint="default"/>
      </w:rPr>
    </w:lvl>
    <w:lvl w:ilvl="2" w:tplc="8E0CEB96" w:tentative="1">
      <w:start w:val="1"/>
      <w:numFmt w:val="bullet"/>
      <w:lvlText w:val=""/>
      <w:lvlJc w:val="left"/>
      <w:pPr>
        <w:ind w:left="1800" w:hanging="360"/>
      </w:pPr>
      <w:rPr>
        <w:rFonts w:ascii="Wingdings" w:hAnsi="Wingdings" w:hint="default"/>
      </w:rPr>
    </w:lvl>
    <w:lvl w:ilvl="3" w:tplc="8FB46DB8" w:tentative="1">
      <w:start w:val="1"/>
      <w:numFmt w:val="bullet"/>
      <w:lvlText w:val=""/>
      <w:lvlJc w:val="left"/>
      <w:pPr>
        <w:ind w:left="2520" w:hanging="360"/>
      </w:pPr>
      <w:rPr>
        <w:rFonts w:ascii="Symbol" w:hAnsi="Symbol" w:hint="default"/>
      </w:rPr>
    </w:lvl>
    <w:lvl w:ilvl="4" w:tplc="B27610D2" w:tentative="1">
      <w:start w:val="1"/>
      <w:numFmt w:val="bullet"/>
      <w:lvlText w:val="o"/>
      <w:lvlJc w:val="left"/>
      <w:pPr>
        <w:ind w:left="3240" w:hanging="360"/>
      </w:pPr>
      <w:rPr>
        <w:rFonts w:ascii="Courier New" w:hAnsi="Courier New" w:cs="Courier New" w:hint="default"/>
      </w:rPr>
    </w:lvl>
    <w:lvl w:ilvl="5" w:tplc="B4C8D594" w:tentative="1">
      <w:start w:val="1"/>
      <w:numFmt w:val="bullet"/>
      <w:lvlText w:val=""/>
      <w:lvlJc w:val="left"/>
      <w:pPr>
        <w:ind w:left="3960" w:hanging="360"/>
      </w:pPr>
      <w:rPr>
        <w:rFonts w:ascii="Wingdings" w:hAnsi="Wingdings" w:hint="default"/>
      </w:rPr>
    </w:lvl>
    <w:lvl w:ilvl="6" w:tplc="40042E98" w:tentative="1">
      <w:start w:val="1"/>
      <w:numFmt w:val="bullet"/>
      <w:lvlText w:val=""/>
      <w:lvlJc w:val="left"/>
      <w:pPr>
        <w:ind w:left="4680" w:hanging="360"/>
      </w:pPr>
      <w:rPr>
        <w:rFonts w:ascii="Symbol" w:hAnsi="Symbol" w:hint="default"/>
      </w:rPr>
    </w:lvl>
    <w:lvl w:ilvl="7" w:tplc="E72C314C" w:tentative="1">
      <w:start w:val="1"/>
      <w:numFmt w:val="bullet"/>
      <w:lvlText w:val="o"/>
      <w:lvlJc w:val="left"/>
      <w:pPr>
        <w:ind w:left="5400" w:hanging="360"/>
      </w:pPr>
      <w:rPr>
        <w:rFonts w:ascii="Courier New" w:hAnsi="Courier New" w:cs="Courier New" w:hint="default"/>
      </w:rPr>
    </w:lvl>
    <w:lvl w:ilvl="8" w:tplc="94F28598" w:tentative="1">
      <w:start w:val="1"/>
      <w:numFmt w:val="bullet"/>
      <w:lvlText w:val=""/>
      <w:lvlJc w:val="left"/>
      <w:pPr>
        <w:ind w:left="6120" w:hanging="360"/>
      </w:pPr>
      <w:rPr>
        <w:rFonts w:ascii="Wingdings" w:hAnsi="Wingdings" w:hint="default"/>
      </w:rPr>
    </w:lvl>
  </w:abstractNum>
  <w:abstractNum w:abstractNumId="16" w15:restartNumberingAfterBreak="0">
    <w:nsid w:val="792126CA"/>
    <w:multiLevelType w:val="hybridMultilevel"/>
    <w:tmpl w:val="77CC64CA"/>
    <w:lvl w:ilvl="0" w:tplc="6AEC6C4C">
      <w:start w:val="1"/>
      <w:numFmt w:val="bullet"/>
      <w:lvlText w:val=""/>
      <w:lvlJc w:val="left"/>
      <w:pPr>
        <w:ind w:left="720" w:hanging="360"/>
      </w:pPr>
      <w:rPr>
        <w:rFonts w:ascii="Symbol" w:hAnsi="Symbol" w:hint="default"/>
      </w:rPr>
    </w:lvl>
    <w:lvl w:ilvl="1" w:tplc="265C20A4" w:tentative="1">
      <w:start w:val="1"/>
      <w:numFmt w:val="bullet"/>
      <w:lvlText w:val="o"/>
      <w:lvlJc w:val="left"/>
      <w:pPr>
        <w:ind w:left="1440" w:hanging="360"/>
      </w:pPr>
      <w:rPr>
        <w:rFonts w:ascii="Courier New" w:hAnsi="Courier New" w:cs="Courier New" w:hint="default"/>
      </w:rPr>
    </w:lvl>
    <w:lvl w:ilvl="2" w:tplc="80302A14" w:tentative="1">
      <w:start w:val="1"/>
      <w:numFmt w:val="bullet"/>
      <w:lvlText w:val=""/>
      <w:lvlJc w:val="left"/>
      <w:pPr>
        <w:ind w:left="2160" w:hanging="360"/>
      </w:pPr>
      <w:rPr>
        <w:rFonts w:ascii="Wingdings" w:hAnsi="Wingdings" w:hint="default"/>
      </w:rPr>
    </w:lvl>
    <w:lvl w:ilvl="3" w:tplc="8C589F30" w:tentative="1">
      <w:start w:val="1"/>
      <w:numFmt w:val="bullet"/>
      <w:lvlText w:val=""/>
      <w:lvlJc w:val="left"/>
      <w:pPr>
        <w:ind w:left="2880" w:hanging="360"/>
      </w:pPr>
      <w:rPr>
        <w:rFonts w:ascii="Symbol" w:hAnsi="Symbol" w:hint="default"/>
      </w:rPr>
    </w:lvl>
    <w:lvl w:ilvl="4" w:tplc="61D2536C" w:tentative="1">
      <w:start w:val="1"/>
      <w:numFmt w:val="bullet"/>
      <w:lvlText w:val="o"/>
      <w:lvlJc w:val="left"/>
      <w:pPr>
        <w:ind w:left="3600" w:hanging="360"/>
      </w:pPr>
      <w:rPr>
        <w:rFonts w:ascii="Courier New" w:hAnsi="Courier New" w:cs="Courier New" w:hint="default"/>
      </w:rPr>
    </w:lvl>
    <w:lvl w:ilvl="5" w:tplc="A976BB6C" w:tentative="1">
      <w:start w:val="1"/>
      <w:numFmt w:val="bullet"/>
      <w:lvlText w:val=""/>
      <w:lvlJc w:val="left"/>
      <w:pPr>
        <w:ind w:left="4320" w:hanging="360"/>
      </w:pPr>
      <w:rPr>
        <w:rFonts w:ascii="Wingdings" w:hAnsi="Wingdings" w:hint="default"/>
      </w:rPr>
    </w:lvl>
    <w:lvl w:ilvl="6" w:tplc="CB3EBEE4" w:tentative="1">
      <w:start w:val="1"/>
      <w:numFmt w:val="bullet"/>
      <w:lvlText w:val=""/>
      <w:lvlJc w:val="left"/>
      <w:pPr>
        <w:ind w:left="5040" w:hanging="360"/>
      </w:pPr>
      <w:rPr>
        <w:rFonts w:ascii="Symbol" w:hAnsi="Symbol" w:hint="default"/>
      </w:rPr>
    </w:lvl>
    <w:lvl w:ilvl="7" w:tplc="A83A4020" w:tentative="1">
      <w:start w:val="1"/>
      <w:numFmt w:val="bullet"/>
      <w:lvlText w:val="o"/>
      <w:lvlJc w:val="left"/>
      <w:pPr>
        <w:ind w:left="5760" w:hanging="360"/>
      </w:pPr>
      <w:rPr>
        <w:rFonts w:ascii="Courier New" w:hAnsi="Courier New" w:cs="Courier New" w:hint="default"/>
      </w:rPr>
    </w:lvl>
    <w:lvl w:ilvl="8" w:tplc="622A7AD6" w:tentative="1">
      <w:start w:val="1"/>
      <w:numFmt w:val="bullet"/>
      <w:lvlText w:val=""/>
      <w:lvlJc w:val="left"/>
      <w:pPr>
        <w:ind w:left="6480" w:hanging="360"/>
      </w:pPr>
      <w:rPr>
        <w:rFonts w:ascii="Wingdings" w:hAnsi="Wingdings" w:hint="default"/>
      </w:rPr>
    </w:lvl>
  </w:abstractNum>
  <w:abstractNum w:abstractNumId="17" w15:restartNumberingAfterBreak="0">
    <w:nsid w:val="7E75224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1C1666"/>
    <w:multiLevelType w:val="hybridMultilevel"/>
    <w:tmpl w:val="18B8D23E"/>
    <w:lvl w:ilvl="0" w:tplc="1458DBD4">
      <w:start w:val="1"/>
      <w:numFmt w:val="decimal"/>
      <w:lvlText w:val="%1."/>
      <w:lvlJc w:val="left"/>
      <w:pPr>
        <w:ind w:left="1080" w:hanging="360"/>
      </w:pPr>
    </w:lvl>
    <w:lvl w:ilvl="1" w:tplc="0EC4E5F6" w:tentative="1">
      <w:start w:val="1"/>
      <w:numFmt w:val="lowerLetter"/>
      <w:lvlText w:val="%2."/>
      <w:lvlJc w:val="left"/>
      <w:pPr>
        <w:ind w:left="1800" w:hanging="360"/>
      </w:pPr>
    </w:lvl>
    <w:lvl w:ilvl="2" w:tplc="A3EE730C" w:tentative="1">
      <w:start w:val="1"/>
      <w:numFmt w:val="lowerRoman"/>
      <w:lvlText w:val="%3."/>
      <w:lvlJc w:val="right"/>
      <w:pPr>
        <w:ind w:left="2520" w:hanging="180"/>
      </w:pPr>
    </w:lvl>
    <w:lvl w:ilvl="3" w:tplc="0282B23C" w:tentative="1">
      <w:start w:val="1"/>
      <w:numFmt w:val="decimal"/>
      <w:lvlText w:val="%4."/>
      <w:lvlJc w:val="left"/>
      <w:pPr>
        <w:ind w:left="3240" w:hanging="360"/>
      </w:pPr>
    </w:lvl>
    <w:lvl w:ilvl="4" w:tplc="4B36C7CE" w:tentative="1">
      <w:start w:val="1"/>
      <w:numFmt w:val="lowerLetter"/>
      <w:lvlText w:val="%5."/>
      <w:lvlJc w:val="left"/>
      <w:pPr>
        <w:ind w:left="3960" w:hanging="360"/>
      </w:pPr>
    </w:lvl>
    <w:lvl w:ilvl="5" w:tplc="D8E8EA5C" w:tentative="1">
      <w:start w:val="1"/>
      <w:numFmt w:val="lowerRoman"/>
      <w:lvlText w:val="%6."/>
      <w:lvlJc w:val="right"/>
      <w:pPr>
        <w:ind w:left="4680" w:hanging="180"/>
      </w:pPr>
    </w:lvl>
    <w:lvl w:ilvl="6" w:tplc="56184482" w:tentative="1">
      <w:start w:val="1"/>
      <w:numFmt w:val="decimal"/>
      <w:lvlText w:val="%7."/>
      <w:lvlJc w:val="left"/>
      <w:pPr>
        <w:ind w:left="5400" w:hanging="360"/>
      </w:pPr>
    </w:lvl>
    <w:lvl w:ilvl="7" w:tplc="88B2B7E4" w:tentative="1">
      <w:start w:val="1"/>
      <w:numFmt w:val="lowerLetter"/>
      <w:lvlText w:val="%8."/>
      <w:lvlJc w:val="left"/>
      <w:pPr>
        <w:ind w:left="6120" w:hanging="360"/>
      </w:pPr>
    </w:lvl>
    <w:lvl w:ilvl="8" w:tplc="5E823522" w:tentative="1">
      <w:start w:val="1"/>
      <w:numFmt w:val="lowerRoman"/>
      <w:lvlText w:val="%9."/>
      <w:lvlJc w:val="right"/>
      <w:pPr>
        <w:ind w:left="6840" w:hanging="180"/>
      </w:pPr>
    </w:lvl>
  </w:abstractNum>
  <w:num w:numId="1">
    <w:abstractNumId w:val="11"/>
  </w:num>
  <w:num w:numId="2">
    <w:abstractNumId w:val="10"/>
  </w:num>
  <w:num w:numId="3">
    <w:abstractNumId w:val="4"/>
  </w:num>
  <w:num w:numId="4">
    <w:abstractNumId w:val="15"/>
  </w:num>
  <w:num w:numId="5">
    <w:abstractNumId w:val="16"/>
  </w:num>
  <w:num w:numId="6">
    <w:abstractNumId w:val="14"/>
  </w:num>
  <w:num w:numId="7">
    <w:abstractNumId w:val="18"/>
  </w:num>
  <w:num w:numId="8">
    <w:abstractNumId w:val="1"/>
  </w:num>
  <w:num w:numId="9">
    <w:abstractNumId w:val="17"/>
  </w:num>
  <w:num w:numId="10">
    <w:abstractNumId w:val="3"/>
  </w:num>
  <w:num w:numId="11">
    <w:abstractNumId w:val="2"/>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5"/>
  </w:num>
  <w:num w:numId="16">
    <w:abstractNumId w:val="6"/>
  </w:num>
  <w:num w:numId="17">
    <w:abstractNumId w:val="7"/>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3078"/>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46"/>
    <w:rsid w:val="00001063"/>
    <w:rsid w:val="00002C8F"/>
    <w:rsid w:val="0002030A"/>
    <w:rsid w:val="00021515"/>
    <w:rsid w:val="00027848"/>
    <w:rsid w:val="000364BC"/>
    <w:rsid w:val="000651DB"/>
    <w:rsid w:val="000919DB"/>
    <w:rsid w:val="00092F1B"/>
    <w:rsid w:val="00096721"/>
    <w:rsid w:val="000B3577"/>
    <w:rsid w:val="000B35F5"/>
    <w:rsid w:val="000C48C4"/>
    <w:rsid w:val="000C704C"/>
    <w:rsid w:val="000D4BF8"/>
    <w:rsid w:val="000D5DCD"/>
    <w:rsid w:val="000E2D21"/>
    <w:rsid w:val="000F0665"/>
    <w:rsid w:val="000F23EF"/>
    <w:rsid w:val="000F6C95"/>
    <w:rsid w:val="001037B9"/>
    <w:rsid w:val="00104D34"/>
    <w:rsid w:val="0010534B"/>
    <w:rsid w:val="00106FD6"/>
    <w:rsid w:val="00121660"/>
    <w:rsid w:val="00134917"/>
    <w:rsid w:val="00143F36"/>
    <w:rsid w:val="00144EA0"/>
    <w:rsid w:val="00146795"/>
    <w:rsid w:val="0014795C"/>
    <w:rsid w:val="00154099"/>
    <w:rsid w:val="001577E6"/>
    <w:rsid w:val="001662F9"/>
    <w:rsid w:val="001734A8"/>
    <w:rsid w:val="00175034"/>
    <w:rsid w:val="0019693E"/>
    <w:rsid w:val="00197806"/>
    <w:rsid w:val="001A0C95"/>
    <w:rsid w:val="001B1223"/>
    <w:rsid w:val="001B153D"/>
    <w:rsid w:val="001B2DD5"/>
    <w:rsid w:val="001C3F80"/>
    <w:rsid w:val="001D393D"/>
    <w:rsid w:val="001D6BA8"/>
    <w:rsid w:val="001E3360"/>
    <w:rsid w:val="001F25CC"/>
    <w:rsid w:val="001F551F"/>
    <w:rsid w:val="00210D75"/>
    <w:rsid w:val="002133E2"/>
    <w:rsid w:val="00215BFB"/>
    <w:rsid w:val="00216F48"/>
    <w:rsid w:val="002170DB"/>
    <w:rsid w:val="0022476F"/>
    <w:rsid w:val="00245EB5"/>
    <w:rsid w:val="002536F8"/>
    <w:rsid w:val="00254D47"/>
    <w:rsid w:val="00256EF8"/>
    <w:rsid w:val="00262C6B"/>
    <w:rsid w:val="00271628"/>
    <w:rsid w:val="002748F1"/>
    <w:rsid w:val="002815C5"/>
    <w:rsid w:val="0028382A"/>
    <w:rsid w:val="0028537D"/>
    <w:rsid w:val="002929C1"/>
    <w:rsid w:val="00296374"/>
    <w:rsid w:val="002977F1"/>
    <w:rsid w:val="002A5EE5"/>
    <w:rsid w:val="002A7171"/>
    <w:rsid w:val="002B4BEC"/>
    <w:rsid w:val="002C35CA"/>
    <w:rsid w:val="002C64E7"/>
    <w:rsid w:val="002D6E20"/>
    <w:rsid w:val="002D767D"/>
    <w:rsid w:val="002E7BFD"/>
    <w:rsid w:val="002F01B4"/>
    <w:rsid w:val="002F6653"/>
    <w:rsid w:val="003005D5"/>
    <w:rsid w:val="00300B17"/>
    <w:rsid w:val="00310EB7"/>
    <w:rsid w:val="00322B4C"/>
    <w:rsid w:val="0033325E"/>
    <w:rsid w:val="003359C9"/>
    <w:rsid w:val="003419EE"/>
    <w:rsid w:val="00346D9D"/>
    <w:rsid w:val="00351739"/>
    <w:rsid w:val="00351D9A"/>
    <w:rsid w:val="00355313"/>
    <w:rsid w:val="003600CF"/>
    <w:rsid w:val="0037776A"/>
    <w:rsid w:val="0038355E"/>
    <w:rsid w:val="00392005"/>
    <w:rsid w:val="003922CF"/>
    <w:rsid w:val="003A4EEE"/>
    <w:rsid w:val="003A4F43"/>
    <w:rsid w:val="003A6BD0"/>
    <w:rsid w:val="003B406F"/>
    <w:rsid w:val="003D0B97"/>
    <w:rsid w:val="003E72A7"/>
    <w:rsid w:val="003E7654"/>
    <w:rsid w:val="003F0D3D"/>
    <w:rsid w:val="003F2FBB"/>
    <w:rsid w:val="003F7B9A"/>
    <w:rsid w:val="00414013"/>
    <w:rsid w:val="0041666C"/>
    <w:rsid w:val="0043758A"/>
    <w:rsid w:val="00442096"/>
    <w:rsid w:val="00454295"/>
    <w:rsid w:val="00454C14"/>
    <w:rsid w:val="0046639D"/>
    <w:rsid w:val="004754E2"/>
    <w:rsid w:val="004769BF"/>
    <w:rsid w:val="00477F5B"/>
    <w:rsid w:val="00483FFA"/>
    <w:rsid w:val="004843AE"/>
    <w:rsid w:val="004863D5"/>
    <w:rsid w:val="00486CAB"/>
    <w:rsid w:val="0049217A"/>
    <w:rsid w:val="004A6998"/>
    <w:rsid w:val="004B0C10"/>
    <w:rsid w:val="004B4B4F"/>
    <w:rsid w:val="004B55CF"/>
    <w:rsid w:val="004C0633"/>
    <w:rsid w:val="004C2DB4"/>
    <w:rsid w:val="004D14A6"/>
    <w:rsid w:val="004D359D"/>
    <w:rsid w:val="004D45E5"/>
    <w:rsid w:val="004E5BA7"/>
    <w:rsid w:val="004F5284"/>
    <w:rsid w:val="004F764A"/>
    <w:rsid w:val="005008FB"/>
    <w:rsid w:val="005014DD"/>
    <w:rsid w:val="00504937"/>
    <w:rsid w:val="005155F1"/>
    <w:rsid w:val="00517195"/>
    <w:rsid w:val="00525AEC"/>
    <w:rsid w:val="00526365"/>
    <w:rsid w:val="005310CA"/>
    <w:rsid w:val="00543E1D"/>
    <w:rsid w:val="005511BB"/>
    <w:rsid w:val="005605CD"/>
    <w:rsid w:val="00561FFD"/>
    <w:rsid w:val="005717C8"/>
    <w:rsid w:val="005847D5"/>
    <w:rsid w:val="005856A2"/>
    <w:rsid w:val="00586381"/>
    <w:rsid w:val="00592262"/>
    <w:rsid w:val="005A08BB"/>
    <w:rsid w:val="005B6698"/>
    <w:rsid w:val="005D6909"/>
    <w:rsid w:val="005E602A"/>
    <w:rsid w:val="005F4EC6"/>
    <w:rsid w:val="005F7CDB"/>
    <w:rsid w:val="00600E86"/>
    <w:rsid w:val="00601BCE"/>
    <w:rsid w:val="00610B87"/>
    <w:rsid w:val="00613183"/>
    <w:rsid w:val="0061340D"/>
    <w:rsid w:val="00616655"/>
    <w:rsid w:val="0063022C"/>
    <w:rsid w:val="00632364"/>
    <w:rsid w:val="00643BC7"/>
    <w:rsid w:val="00645293"/>
    <w:rsid w:val="00654A42"/>
    <w:rsid w:val="00656708"/>
    <w:rsid w:val="00657D23"/>
    <w:rsid w:val="0066325F"/>
    <w:rsid w:val="00667424"/>
    <w:rsid w:val="00681532"/>
    <w:rsid w:val="006818D5"/>
    <w:rsid w:val="00686411"/>
    <w:rsid w:val="00686FD3"/>
    <w:rsid w:val="006917C1"/>
    <w:rsid w:val="00696822"/>
    <w:rsid w:val="00697524"/>
    <w:rsid w:val="006A19C4"/>
    <w:rsid w:val="006A453E"/>
    <w:rsid w:val="006A57A9"/>
    <w:rsid w:val="006A7BEF"/>
    <w:rsid w:val="006B7221"/>
    <w:rsid w:val="006C56B4"/>
    <w:rsid w:val="006C5E53"/>
    <w:rsid w:val="006C7002"/>
    <w:rsid w:val="006D1036"/>
    <w:rsid w:val="006D4F01"/>
    <w:rsid w:val="006E269D"/>
    <w:rsid w:val="006E28D9"/>
    <w:rsid w:val="006E3B4F"/>
    <w:rsid w:val="006E7D4D"/>
    <w:rsid w:val="006F07E3"/>
    <w:rsid w:val="006F25AE"/>
    <w:rsid w:val="006F58A4"/>
    <w:rsid w:val="007026FF"/>
    <w:rsid w:val="00702D5F"/>
    <w:rsid w:val="00715EF0"/>
    <w:rsid w:val="00731151"/>
    <w:rsid w:val="007453F9"/>
    <w:rsid w:val="00747EF3"/>
    <w:rsid w:val="0075164E"/>
    <w:rsid w:val="007541B1"/>
    <w:rsid w:val="00764588"/>
    <w:rsid w:val="0076575E"/>
    <w:rsid w:val="00767BA2"/>
    <w:rsid w:val="00770660"/>
    <w:rsid w:val="00773173"/>
    <w:rsid w:val="00774287"/>
    <w:rsid w:val="00775C68"/>
    <w:rsid w:val="007762DF"/>
    <w:rsid w:val="00787780"/>
    <w:rsid w:val="00796DD4"/>
    <w:rsid w:val="00797747"/>
    <w:rsid w:val="007A1289"/>
    <w:rsid w:val="007A17B9"/>
    <w:rsid w:val="007B0F2D"/>
    <w:rsid w:val="007B5580"/>
    <w:rsid w:val="007B5592"/>
    <w:rsid w:val="007B5DD7"/>
    <w:rsid w:val="007C6890"/>
    <w:rsid w:val="007E1D8E"/>
    <w:rsid w:val="007E4580"/>
    <w:rsid w:val="007F0EC6"/>
    <w:rsid w:val="00805A10"/>
    <w:rsid w:val="008133D0"/>
    <w:rsid w:val="00814063"/>
    <w:rsid w:val="008141D7"/>
    <w:rsid w:val="0083620E"/>
    <w:rsid w:val="008373FC"/>
    <w:rsid w:val="00844FE1"/>
    <w:rsid w:val="0084682E"/>
    <w:rsid w:val="0086224A"/>
    <w:rsid w:val="00862786"/>
    <w:rsid w:val="00862EB5"/>
    <w:rsid w:val="008659B8"/>
    <w:rsid w:val="00896345"/>
    <w:rsid w:val="008A68CA"/>
    <w:rsid w:val="008B3543"/>
    <w:rsid w:val="008B67C2"/>
    <w:rsid w:val="008B703F"/>
    <w:rsid w:val="008B7F63"/>
    <w:rsid w:val="008C4236"/>
    <w:rsid w:val="008D52C9"/>
    <w:rsid w:val="008D7A90"/>
    <w:rsid w:val="008E0200"/>
    <w:rsid w:val="008E4E3E"/>
    <w:rsid w:val="0091024E"/>
    <w:rsid w:val="009175F4"/>
    <w:rsid w:val="00931EF3"/>
    <w:rsid w:val="00932CA2"/>
    <w:rsid w:val="0093332E"/>
    <w:rsid w:val="00933CB9"/>
    <w:rsid w:val="0094111D"/>
    <w:rsid w:val="00944FB4"/>
    <w:rsid w:val="00945EAC"/>
    <w:rsid w:val="009477EF"/>
    <w:rsid w:val="009553B1"/>
    <w:rsid w:val="00963001"/>
    <w:rsid w:val="0097025E"/>
    <w:rsid w:val="009724DA"/>
    <w:rsid w:val="00974D91"/>
    <w:rsid w:val="00985A48"/>
    <w:rsid w:val="00995B31"/>
    <w:rsid w:val="009A10A7"/>
    <w:rsid w:val="009A2C25"/>
    <w:rsid w:val="009A3ABC"/>
    <w:rsid w:val="009B0D6D"/>
    <w:rsid w:val="009B3A36"/>
    <w:rsid w:val="009B65F6"/>
    <w:rsid w:val="009C026E"/>
    <w:rsid w:val="009C2A15"/>
    <w:rsid w:val="009C46F4"/>
    <w:rsid w:val="009C6964"/>
    <w:rsid w:val="009D0AAE"/>
    <w:rsid w:val="009E52B1"/>
    <w:rsid w:val="009F0041"/>
    <w:rsid w:val="009F35E2"/>
    <w:rsid w:val="00A002AE"/>
    <w:rsid w:val="00A03D28"/>
    <w:rsid w:val="00A04761"/>
    <w:rsid w:val="00A072DD"/>
    <w:rsid w:val="00A174FA"/>
    <w:rsid w:val="00A22CD8"/>
    <w:rsid w:val="00A33C07"/>
    <w:rsid w:val="00A35DD1"/>
    <w:rsid w:val="00A567D8"/>
    <w:rsid w:val="00A61AE3"/>
    <w:rsid w:val="00A65CD8"/>
    <w:rsid w:val="00A72CF3"/>
    <w:rsid w:val="00A73E85"/>
    <w:rsid w:val="00A7609E"/>
    <w:rsid w:val="00A83DB4"/>
    <w:rsid w:val="00A877AA"/>
    <w:rsid w:val="00A91D21"/>
    <w:rsid w:val="00AA0F08"/>
    <w:rsid w:val="00AA78C2"/>
    <w:rsid w:val="00AB586E"/>
    <w:rsid w:val="00AB6810"/>
    <w:rsid w:val="00AB6BEC"/>
    <w:rsid w:val="00AB760D"/>
    <w:rsid w:val="00AD6B4B"/>
    <w:rsid w:val="00AE5B46"/>
    <w:rsid w:val="00AE772E"/>
    <w:rsid w:val="00AF6DF2"/>
    <w:rsid w:val="00B072C4"/>
    <w:rsid w:val="00B12A46"/>
    <w:rsid w:val="00B171A0"/>
    <w:rsid w:val="00B2226A"/>
    <w:rsid w:val="00B22788"/>
    <w:rsid w:val="00B42E4C"/>
    <w:rsid w:val="00B5497D"/>
    <w:rsid w:val="00B66F84"/>
    <w:rsid w:val="00B674E0"/>
    <w:rsid w:val="00B7145C"/>
    <w:rsid w:val="00B7606C"/>
    <w:rsid w:val="00B81D68"/>
    <w:rsid w:val="00B90C07"/>
    <w:rsid w:val="00BA53C5"/>
    <w:rsid w:val="00BB106F"/>
    <w:rsid w:val="00BB6E91"/>
    <w:rsid w:val="00BC03C7"/>
    <w:rsid w:val="00BC178B"/>
    <w:rsid w:val="00BC1AF3"/>
    <w:rsid w:val="00BC536C"/>
    <w:rsid w:val="00BC6E15"/>
    <w:rsid w:val="00BD301A"/>
    <w:rsid w:val="00BD7043"/>
    <w:rsid w:val="00BD7C0F"/>
    <w:rsid w:val="00BF4814"/>
    <w:rsid w:val="00C075E6"/>
    <w:rsid w:val="00C11C1B"/>
    <w:rsid w:val="00C11F28"/>
    <w:rsid w:val="00C1608F"/>
    <w:rsid w:val="00C23122"/>
    <w:rsid w:val="00C25C94"/>
    <w:rsid w:val="00C443BC"/>
    <w:rsid w:val="00C46D5A"/>
    <w:rsid w:val="00C53BA7"/>
    <w:rsid w:val="00C54C43"/>
    <w:rsid w:val="00C74643"/>
    <w:rsid w:val="00C939E5"/>
    <w:rsid w:val="00C9422D"/>
    <w:rsid w:val="00C95818"/>
    <w:rsid w:val="00C978EB"/>
    <w:rsid w:val="00CA5F85"/>
    <w:rsid w:val="00CC4CF1"/>
    <w:rsid w:val="00CD2DC0"/>
    <w:rsid w:val="00CD2FE2"/>
    <w:rsid w:val="00CD35DE"/>
    <w:rsid w:val="00CE1DFB"/>
    <w:rsid w:val="00CF5C57"/>
    <w:rsid w:val="00CF69FA"/>
    <w:rsid w:val="00D00834"/>
    <w:rsid w:val="00D00A0A"/>
    <w:rsid w:val="00D049F4"/>
    <w:rsid w:val="00D13B00"/>
    <w:rsid w:val="00D24B17"/>
    <w:rsid w:val="00D24E02"/>
    <w:rsid w:val="00D37B22"/>
    <w:rsid w:val="00D42D18"/>
    <w:rsid w:val="00D43BD3"/>
    <w:rsid w:val="00D44D20"/>
    <w:rsid w:val="00D47FA2"/>
    <w:rsid w:val="00D52209"/>
    <w:rsid w:val="00D6062E"/>
    <w:rsid w:val="00D67F6A"/>
    <w:rsid w:val="00D70DC8"/>
    <w:rsid w:val="00D72D92"/>
    <w:rsid w:val="00D82705"/>
    <w:rsid w:val="00D832CB"/>
    <w:rsid w:val="00D9087E"/>
    <w:rsid w:val="00DB4A58"/>
    <w:rsid w:val="00DC52F8"/>
    <w:rsid w:val="00DF1BF9"/>
    <w:rsid w:val="00DF2E28"/>
    <w:rsid w:val="00E01CE7"/>
    <w:rsid w:val="00E12977"/>
    <w:rsid w:val="00E141A0"/>
    <w:rsid w:val="00E234A1"/>
    <w:rsid w:val="00E32251"/>
    <w:rsid w:val="00E33C13"/>
    <w:rsid w:val="00E40FFB"/>
    <w:rsid w:val="00E42AC4"/>
    <w:rsid w:val="00E63C65"/>
    <w:rsid w:val="00E7203D"/>
    <w:rsid w:val="00E82D9A"/>
    <w:rsid w:val="00E832A8"/>
    <w:rsid w:val="00E85749"/>
    <w:rsid w:val="00E86FB0"/>
    <w:rsid w:val="00E9029F"/>
    <w:rsid w:val="00E90BB8"/>
    <w:rsid w:val="00E95FED"/>
    <w:rsid w:val="00EA34FA"/>
    <w:rsid w:val="00EA4C0F"/>
    <w:rsid w:val="00EB1071"/>
    <w:rsid w:val="00EB13AF"/>
    <w:rsid w:val="00EB5FBB"/>
    <w:rsid w:val="00EB6D0E"/>
    <w:rsid w:val="00EC0599"/>
    <w:rsid w:val="00EC27AB"/>
    <w:rsid w:val="00EC5607"/>
    <w:rsid w:val="00EC57DC"/>
    <w:rsid w:val="00ED56EF"/>
    <w:rsid w:val="00EF27A8"/>
    <w:rsid w:val="00F06E62"/>
    <w:rsid w:val="00F10172"/>
    <w:rsid w:val="00F12D56"/>
    <w:rsid w:val="00F21171"/>
    <w:rsid w:val="00F41931"/>
    <w:rsid w:val="00F54417"/>
    <w:rsid w:val="00F570D2"/>
    <w:rsid w:val="00F6152D"/>
    <w:rsid w:val="00F618F3"/>
    <w:rsid w:val="00F7376F"/>
    <w:rsid w:val="00F7415B"/>
    <w:rsid w:val="00FB22C4"/>
    <w:rsid w:val="00FC7972"/>
    <w:rsid w:val="00FD0970"/>
    <w:rsid w:val="00FD5893"/>
    <w:rsid w:val="00FD7DD5"/>
    <w:rsid w:val="00FE185B"/>
    <w:rsid w:val="00FF4C58"/>
    <w:rsid w:val="00FF51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4:docId w14:val="1584EFDF"/>
  <w15:docId w15:val="{1923E46A-4061-4608-BD21-5A4C88ED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909"/>
    <w:rPr>
      <w:rFonts w:ascii="Calibri" w:hAnsi="Calibri"/>
      <w:sz w:val="22"/>
      <w:lang w:val="fr-CA" w:eastAsia="en-US"/>
    </w:rPr>
  </w:style>
  <w:style w:type="paragraph" w:styleId="Heading1">
    <w:name w:val="heading 1"/>
    <w:basedOn w:val="Normal"/>
    <w:next w:val="Normal"/>
    <w:uiPriority w:val="9"/>
    <w:qFormat/>
    <w:rsid w:val="00814063"/>
    <w:pPr>
      <w:widowControl w:val="0"/>
      <w:pBdr>
        <w:top w:val="nil"/>
        <w:left w:val="nil"/>
        <w:bottom w:val="nil"/>
        <w:right w:val="nil"/>
        <w:between w:val="nil"/>
      </w:pBdr>
      <w:spacing w:after="160"/>
      <w:outlineLvl w:val="0"/>
    </w:pPr>
    <w:rPr>
      <w:rFonts w:eastAsia="Calibri" w:cs="Calibri"/>
      <w:b/>
      <w:bCs/>
      <w:color w:val="1F4E79"/>
      <w:sz w:val="32"/>
      <w:szCs w:val="22"/>
    </w:rPr>
  </w:style>
  <w:style w:type="paragraph" w:styleId="Heading2">
    <w:name w:val="heading 2"/>
    <w:basedOn w:val="Normal"/>
    <w:next w:val="Normal"/>
    <w:uiPriority w:val="9"/>
    <w:unhideWhenUsed/>
    <w:qFormat/>
    <w:rsid w:val="00696822"/>
    <w:pPr>
      <w:widowControl w:val="0"/>
      <w:shd w:val="clear" w:color="auto" w:fill="2E74B5" w:themeFill="accent1" w:themeFillShade="BF"/>
      <w:spacing w:after="160"/>
      <w:outlineLvl w:val="1"/>
    </w:pPr>
    <w:rPr>
      <w:rFonts w:eastAsia="Calibri" w:cs="Calibri"/>
      <w:b/>
      <w:color w:val="FFFFFF" w:themeColor="background1"/>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lang w:val="en-US"/>
    </w:rPr>
  </w:style>
  <w:style w:type="numbering" w:customStyle="1" w:styleId="Bullets">
    <w:name w:val="Bullets"/>
  </w:style>
  <w:style w:type="numbering" w:customStyle="1" w:styleId="Numbered">
    <w:name w:val="Numbered"/>
  </w:style>
  <w:style w:type="character" w:styleId="Strong">
    <w:name w:val="Strong"/>
    <w:basedOn w:val="DefaultParagraphFont"/>
    <w:uiPriority w:val="22"/>
    <w:qFormat/>
    <w:rsid w:val="00374F1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291CD0"/>
    <w:rPr>
      <w:sz w:val="16"/>
      <w:szCs w:val="16"/>
    </w:rPr>
  </w:style>
  <w:style w:type="paragraph" w:styleId="CommentText">
    <w:name w:val="annotation text"/>
    <w:basedOn w:val="Normal"/>
    <w:link w:val="CommentTextChar"/>
    <w:uiPriority w:val="99"/>
    <w:semiHidden/>
    <w:unhideWhenUsed/>
    <w:rsid w:val="00291CD0"/>
    <w:rPr>
      <w:sz w:val="20"/>
      <w:szCs w:val="20"/>
    </w:rPr>
  </w:style>
  <w:style w:type="character" w:customStyle="1" w:styleId="CommentTextChar">
    <w:name w:val="Comment Text Char"/>
    <w:basedOn w:val="DefaultParagraphFont"/>
    <w:link w:val="CommentText"/>
    <w:uiPriority w:val="99"/>
    <w:semiHidden/>
    <w:rsid w:val="00291CD0"/>
    <w:rPr>
      <w:sz w:val="20"/>
      <w:szCs w:val="20"/>
      <w:lang w:eastAsia="en-US"/>
    </w:rPr>
  </w:style>
  <w:style w:type="paragraph" w:styleId="CommentSubject">
    <w:name w:val="annotation subject"/>
    <w:basedOn w:val="CommentText"/>
    <w:next w:val="CommentText"/>
    <w:link w:val="CommentSubjectChar"/>
    <w:uiPriority w:val="99"/>
    <w:semiHidden/>
    <w:unhideWhenUsed/>
    <w:rsid w:val="00291CD0"/>
    <w:rPr>
      <w:b/>
      <w:bCs/>
    </w:rPr>
  </w:style>
  <w:style w:type="character" w:customStyle="1" w:styleId="CommentSubjectChar">
    <w:name w:val="Comment Subject Char"/>
    <w:basedOn w:val="CommentTextChar"/>
    <w:link w:val="CommentSubject"/>
    <w:uiPriority w:val="99"/>
    <w:semiHidden/>
    <w:rsid w:val="00291CD0"/>
    <w:rPr>
      <w:b/>
      <w:bCs/>
      <w:sz w:val="20"/>
      <w:szCs w:val="20"/>
      <w:lang w:eastAsia="en-US"/>
    </w:rPr>
  </w:style>
  <w:style w:type="paragraph" w:styleId="BalloonText">
    <w:name w:val="Balloon Text"/>
    <w:basedOn w:val="Normal"/>
    <w:link w:val="BalloonTextChar"/>
    <w:uiPriority w:val="99"/>
    <w:semiHidden/>
    <w:unhideWhenUsed/>
    <w:rsid w:val="00291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D0"/>
    <w:rPr>
      <w:rFonts w:ascii="Segoe UI" w:hAnsi="Segoe UI" w:cs="Segoe UI"/>
      <w:sz w:val="18"/>
      <w:szCs w:val="18"/>
      <w:lang w:eastAsia="en-US"/>
    </w:rPr>
  </w:style>
  <w:style w:type="paragraph" w:styleId="Revision">
    <w:name w:val="Revision"/>
    <w:hidden/>
    <w:uiPriority w:val="99"/>
    <w:semiHidden/>
    <w:rsid w:val="00AE772E"/>
    <w:rPr>
      <w:lang w:eastAsia="en-US"/>
    </w:rPr>
  </w:style>
  <w:style w:type="character" w:customStyle="1" w:styleId="UnresolvedMention1">
    <w:name w:val="Unresolved Mention1"/>
    <w:basedOn w:val="DefaultParagraphFont"/>
    <w:uiPriority w:val="99"/>
    <w:semiHidden/>
    <w:unhideWhenUsed/>
    <w:rsid w:val="00351739"/>
    <w:rPr>
      <w:color w:val="605E5C"/>
      <w:shd w:val="clear" w:color="auto" w:fill="E1DFDD"/>
    </w:rPr>
  </w:style>
  <w:style w:type="character" w:styleId="FollowedHyperlink">
    <w:name w:val="FollowedHyperlink"/>
    <w:basedOn w:val="DefaultParagraphFont"/>
    <w:uiPriority w:val="99"/>
    <w:semiHidden/>
    <w:unhideWhenUsed/>
    <w:rsid w:val="00351739"/>
    <w:rPr>
      <w:color w:val="FF00FF" w:themeColor="followedHyperlink"/>
      <w:u w:val="single"/>
    </w:rPr>
  </w:style>
  <w:style w:type="paragraph" w:styleId="Caption">
    <w:name w:val="caption"/>
    <w:basedOn w:val="Normal"/>
    <w:next w:val="Normal"/>
    <w:uiPriority w:val="35"/>
    <w:unhideWhenUsed/>
    <w:qFormat/>
    <w:rsid w:val="00FF51C2"/>
    <w:pPr>
      <w:spacing w:after="200"/>
    </w:pPr>
    <w:rPr>
      <w:i/>
      <w:iCs/>
      <w:color w:val="A7A7A7" w:themeColor="text2"/>
      <w:sz w:val="18"/>
      <w:szCs w:val="18"/>
    </w:rPr>
  </w:style>
  <w:style w:type="paragraph" w:styleId="Header">
    <w:name w:val="header"/>
    <w:basedOn w:val="Normal"/>
    <w:link w:val="HeaderChar"/>
    <w:uiPriority w:val="99"/>
    <w:unhideWhenUsed/>
    <w:rsid w:val="005A08BB"/>
    <w:pPr>
      <w:tabs>
        <w:tab w:val="center" w:pos="4680"/>
        <w:tab w:val="right" w:pos="9360"/>
      </w:tabs>
    </w:pPr>
  </w:style>
  <w:style w:type="character" w:customStyle="1" w:styleId="HeaderChar">
    <w:name w:val="Header Char"/>
    <w:basedOn w:val="DefaultParagraphFont"/>
    <w:link w:val="Header"/>
    <w:uiPriority w:val="99"/>
    <w:rsid w:val="005A08BB"/>
    <w:rPr>
      <w:lang w:eastAsia="en-US"/>
    </w:rPr>
  </w:style>
  <w:style w:type="paragraph" w:styleId="Footer">
    <w:name w:val="footer"/>
    <w:basedOn w:val="Normal"/>
    <w:link w:val="FooterChar"/>
    <w:uiPriority w:val="99"/>
    <w:unhideWhenUsed/>
    <w:rsid w:val="005A08BB"/>
    <w:pPr>
      <w:tabs>
        <w:tab w:val="center" w:pos="4680"/>
        <w:tab w:val="right" w:pos="9360"/>
      </w:tabs>
    </w:pPr>
  </w:style>
  <w:style w:type="character" w:customStyle="1" w:styleId="FooterChar">
    <w:name w:val="Footer Char"/>
    <w:basedOn w:val="DefaultParagraphFont"/>
    <w:link w:val="Footer"/>
    <w:uiPriority w:val="99"/>
    <w:rsid w:val="005A08BB"/>
    <w:rPr>
      <w:lang w:eastAsia="en-US"/>
    </w:rPr>
  </w:style>
  <w:style w:type="paragraph" w:styleId="NoSpacing">
    <w:name w:val="No Spacing"/>
    <w:uiPriority w:val="1"/>
    <w:qFormat/>
    <w:rsid w:val="00BF4814"/>
    <w:rPr>
      <w:lang w:eastAsia="en-US"/>
    </w:rPr>
  </w:style>
  <w:style w:type="table" w:styleId="TableGrid">
    <w:name w:val="Table Grid"/>
    <w:basedOn w:val="TableNormal"/>
    <w:uiPriority w:val="39"/>
    <w:rsid w:val="003A4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l-cla-id">
    <w:name w:val="pol-cla-id"/>
    <w:basedOn w:val="DefaultParagraphFont"/>
    <w:rsid w:val="00E40FFB"/>
  </w:style>
  <w:style w:type="character" w:customStyle="1" w:styleId="UnresolvedMention2">
    <w:name w:val="Unresolved Mention2"/>
    <w:basedOn w:val="DefaultParagraphFont"/>
    <w:uiPriority w:val="99"/>
    <w:semiHidden/>
    <w:unhideWhenUsed/>
    <w:rsid w:val="00CF69FA"/>
    <w:rPr>
      <w:color w:val="605E5C"/>
      <w:shd w:val="clear" w:color="auto" w:fill="E1DFDD"/>
    </w:rPr>
  </w:style>
  <w:style w:type="paragraph" w:customStyle="1" w:styleId="Default">
    <w:name w:val="Default"/>
    <w:rsid w:val="00F7376F"/>
    <w:pPr>
      <w:autoSpaceDE w:val="0"/>
      <w:autoSpaceDN w:val="0"/>
      <w:adjustRightInd w:val="0"/>
    </w:pPr>
    <w:rPr>
      <w:rFonts w:ascii="Calibri" w:hAnsi="Calibri" w:cs="Calibri"/>
      <w:color w:val="000000"/>
      <w:lang w:val="en-CA"/>
    </w:rPr>
  </w:style>
  <w:style w:type="paragraph" w:styleId="TOCHeading">
    <w:name w:val="TOC Heading"/>
    <w:basedOn w:val="Heading1"/>
    <w:next w:val="Normal"/>
    <w:uiPriority w:val="39"/>
    <w:unhideWhenUsed/>
    <w:qFormat/>
    <w:rsid w:val="00610B87"/>
    <w:pPr>
      <w:keepNext/>
      <w:keepLines/>
      <w:widowControl/>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szCs w:val="32"/>
    </w:rPr>
  </w:style>
  <w:style w:type="paragraph" w:styleId="TOC1">
    <w:name w:val="toc 1"/>
    <w:basedOn w:val="Normal"/>
    <w:next w:val="Normal"/>
    <w:autoRedefine/>
    <w:uiPriority w:val="39"/>
    <w:unhideWhenUsed/>
    <w:rsid w:val="00610B87"/>
    <w:pPr>
      <w:spacing w:after="100"/>
    </w:pPr>
  </w:style>
  <w:style w:type="paragraph" w:styleId="TOC2">
    <w:name w:val="toc 2"/>
    <w:basedOn w:val="Normal"/>
    <w:next w:val="Normal"/>
    <w:autoRedefine/>
    <w:uiPriority w:val="39"/>
    <w:unhideWhenUsed/>
    <w:rsid w:val="00610B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d1.awsstatic.com/whitepapers/AWS_Serverless_Multi-Tier_Architectures.pdf" TargetMode="External"/><Relationship Id="rId47" Type="http://schemas.openxmlformats.org/officeDocument/2006/relationships/hyperlink" Target="https://056gc-my.sharepoint.com/personal/slevac_tbs-sct_gc_ca/Documents/Oracle%20Cloud%20Infrastructure%20Serverless%20Multi-Tier%20Architectures" TargetMode="External"/><Relationship Id="rId50" Type="http://schemas.openxmlformats.org/officeDocument/2006/relationships/hyperlink" Target="https://manningbooks.medium.com/the-api-gateway-pattern-cd8af792084" TargetMode="External"/><Relationship Id="rId55" Type="http://schemas.openxmlformats.org/officeDocument/2006/relationships/hyperlink" Target="https://wiki.gccollab.ca/images/b/bc/01_Building_Modern_Applications_Using_Platform_Services_EN.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domain.com/cart" TargetMode="External"/><Relationship Id="rId37" Type="http://schemas.openxmlformats.org/officeDocument/2006/relationships/image" Target="media/image14.emf"/><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www.gcpedia.gc.ca/gcwiki/images/f/f4/GC_ESA_Security_Design_Patterns_for_SaaS-based_Solutions.pdf" TargetMode="External"/><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yperlink" Target="https://www.tbs-sct.gc.ca/pol/doc-fra.aspx?id=32604" TargetMode="Externa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hyperlink" Target="https://owasp.org/www-project-top-ten/"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tbs-sct.gc.ca/pol/doc-eng.aspx?id=15249&amp;section=procedure&amp;p=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ithub.com/canada-ca/platform-security_securite-de-plateforme/blob/master/en/5_Microservice_Security.md" TargetMode="External"/><Relationship Id="rId33" Type="http://schemas.openxmlformats.org/officeDocument/2006/relationships/image" Target="media/image11.png"/><Relationship Id="rId38" Type="http://schemas.openxmlformats.org/officeDocument/2006/relationships/hyperlink" Target="https://www.gcpedia.gc.ca/gcwiki/images/e/e7/GC_Secure_Cloud_Connectivity_Requirements.pdf" TargetMode="External"/><Relationship Id="rId46" Type="http://schemas.openxmlformats.org/officeDocument/2006/relationships/image" Target="media/image21.png"/><Relationship Id="rId59"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github.com/canada-ca/platform-security_securite-de-plateforme/blob/master/en/5_Microservice_Security.m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cpedia.gc.ca/gcwiki/images/f/f4/GC_ESA_Security_Design_Patterns_for_SaaS-based_Solutions.pdf" TargetMode="External"/><Relationship Id="rId28" Type="http://schemas.openxmlformats.org/officeDocument/2006/relationships/hyperlink" Target="https://www.tbs-sct.gc.ca/pol/doc-eng.aspx?id=32604" TargetMode="External"/><Relationship Id="rId36" Type="http://schemas.openxmlformats.org/officeDocument/2006/relationships/image" Target="media/image13.emf"/><Relationship Id="rId49" Type="http://schemas.openxmlformats.org/officeDocument/2006/relationships/image" Target="cid:image001.png@01D6AB74.563F66C0"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hyperlink" Target="https://domain.com/payment" TargetMode="External"/><Relationship Id="rId44" Type="http://schemas.openxmlformats.org/officeDocument/2006/relationships/image" Target="media/image19.png"/><Relationship Id="rId52" Type="http://schemas.openxmlformats.org/officeDocument/2006/relationships/hyperlink" Target="https://www.gcpedia.gc.ca/gcwiki/images/e/e7/GC_Secure_Cloud_Connectivity_Requirements.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2reYelr+iRMYCHZmWc3OHi3q2A==">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BBF4D8C0CF284CBFF9615B9786D194" ma:contentTypeVersion="13" ma:contentTypeDescription="Create a new document." ma:contentTypeScope="" ma:versionID="8fccb36afdba79d0c3f7cf2b75453af4">
  <xsd:schema xmlns:xsd="http://www.w3.org/2001/XMLSchema" xmlns:xs="http://www.w3.org/2001/XMLSchema" xmlns:p="http://schemas.microsoft.com/office/2006/metadata/properties" xmlns:ns3="72885422-bab1-4497-8311-f2b264d2b15d" xmlns:ns4="3f6505e1-0dad-49fb-9f7e-df08c22c2d51" targetNamespace="http://schemas.microsoft.com/office/2006/metadata/properties" ma:root="true" ma:fieldsID="8df6700eedd85e97c952b7c72c8ff149" ns3:_="" ns4:_="">
    <xsd:import namespace="72885422-bab1-4497-8311-f2b264d2b15d"/>
    <xsd:import namespace="3f6505e1-0dad-49fb-9f7e-df08c22c2d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85422-bab1-4497-8311-f2b264d2b1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6505e1-0dad-49fb-9f7e-df08c22c2d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89CF2C-FA95-4F04-B18C-45BB2EABDF23}">
  <ds:schemaRefs>
    <ds:schemaRef ds:uri="http://schemas.microsoft.com/sharepoint/v3/contenttype/forms"/>
  </ds:schemaRefs>
</ds:datastoreItem>
</file>

<file path=customXml/itemProps3.xml><?xml version="1.0" encoding="utf-8"?>
<ds:datastoreItem xmlns:ds="http://schemas.openxmlformats.org/officeDocument/2006/customXml" ds:itemID="{C7424C26-A2C5-4A16-9A30-C0FABB9B19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F6B21C-0AF6-4B1C-B921-4F8E2D7F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85422-bab1-4497-8311-f2b264d2b15d"/>
    <ds:schemaRef ds:uri="3f6505e1-0dad-49fb-9f7e-df08c22c2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14D5D2-185A-44FC-98BA-A2181069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5661</Words>
  <Characters>32269</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Levac, Scott</dc:creator>
  <cp:lastModifiedBy>Levac, Scott</cp:lastModifiedBy>
  <cp:revision>2</cp:revision>
  <cp:lastPrinted>2020-05-20T19:20:00Z</cp:lastPrinted>
  <dcterms:created xsi:type="dcterms:W3CDTF">2021-08-10T12:58:00Z</dcterms:created>
  <dcterms:modified xsi:type="dcterms:W3CDTF">2021-08-10T12:58:00Z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0x0101002BBBF4D8C0CF284CBFF9615B9786D194</vt:lpwstr>
  </property>
  <property fmtid="{D5CDD505-2E9C-101B-9397-08002B2CF9AE}" pid="3" name="MSIP_Label_3d0ca00b-3f0e-465a-aac7-1a6a22fcea40_Enabled">
    <vt:lpwstr>true</vt:lpwstr>
  </property>
  <property fmtid="{D5CDD505-2E9C-101B-9397-08002B2CF9AE}" pid="4" name="MSIP_Label_3d0ca00b-3f0e-465a-aac7-1a6a22fcea40_SetDate">
    <vt:lpwstr>2021-08-10T12:58:10Z</vt:lpwstr>
  </property>
  <property fmtid="{D5CDD505-2E9C-101B-9397-08002B2CF9AE}" pid="5" name="MSIP_Label_3d0ca00b-3f0e-465a-aac7-1a6a22fcea40_Method">
    <vt:lpwstr>Privileged</vt:lpwstr>
  </property>
  <property fmtid="{D5CDD505-2E9C-101B-9397-08002B2CF9AE}" pid="6" name="MSIP_Label_3d0ca00b-3f0e-465a-aac7-1a6a22fcea40_Name">
    <vt:lpwstr>3d0ca00b-3f0e-465a-aac7-1a6a22fcea40</vt:lpwstr>
  </property>
  <property fmtid="{D5CDD505-2E9C-101B-9397-08002B2CF9AE}" pid="7" name="MSIP_Label_3d0ca00b-3f0e-465a-aac7-1a6a22fcea40_SiteId">
    <vt:lpwstr>6397df10-4595-4047-9c4f-03311282152b</vt:lpwstr>
  </property>
  <property fmtid="{D5CDD505-2E9C-101B-9397-08002B2CF9AE}" pid="8" name="MSIP_Label_3d0ca00b-3f0e-465a-aac7-1a6a22fcea40_ActionId">
    <vt:lpwstr>d3d4f7a2-3bf9-4769-859e-02fd45ee96ad</vt:lpwstr>
  </property>
  <property fmtid="{D5CDD505-2E9C-101B-9397-08002B2CF9AE}" pid="9" name="MSIP_Label_3d0ca00b-3f0e-465a-aac7-1a6a22fcea40_ContentBits">
    <vt:lpwstr>1</vt:lpwstr>
  </property>
</Properties>
</file>