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D0AE" w14:textId="77777777" w:rsidR="009220C3" w:rsidRPr="00265F2A" w:rsidRDefault="009220C3" w:rsidP="009220C3">
      <w:pPr>
        <w:rPr>
          <w:b/>
          <w:u w:val="single"/>
        </w:rPr>
      </w:pPr>
      <w:r>
        <w:rPr>
          <w:b/>
          <w:u w:val="single"/>
        </w:rPr>
        <w:t xml:space="preserve">DEMANDE DE PROPOSITIONS (DP) </w:t>
      </w:r>
    </w:p>
    <w:p w14:paraId="49DF53EA" w14:textId="77777777" w:rsidR="009220C3" w:rsidRPr="00265F2A" w:rsidRDefault="009220C3" w:rsidP="009220C3">
      <w:pPr>
        <w:pStyle w:val="TemplateHeading1"/>
      </w:pPr>
      <w:r>
        <w:t xml:space="preserve">PARTIE 1 – RENSEIGNEMENTS GÉNÉRAUX  </w:t>
      </w:r>
    </w:p>
    <w:p w14:paraId="17A31466" w14:textId="03E17F26" w:rsidR="009220C3" w:rsidRPr="00265F2A" w:rsidRDefault="009220C3" w:rsidP="009220C3">
      <w:pPr>
        <w:pStyle w:val="TemplateHeading1"/>
      </w:pPr>
      <w:r>
        <w:t>PARTIE 2 – INSTRUCTIONS À L</w:t>
      </w:r>
      <w:r w:rsidR="00445FFF">
        <w:t>’</w:t>
      </w:r>
      <w:r>
        <w:t xml:space="preserve">INTENTION DES SOUMISSIONNAIRES </w:t>
      </w:r>
    </w:p>
    <w:p w14:paraId="66523F1B" w14:textId="77777777" w:rsidR="009220C3" w:rsidRPr="00265F2A" w:rsidRDefault="009220C3" w:rsidP="009220C3">
      <w:pPr>
        <w:pStyle w:val="TemplateHeading1"/>
      </w:pPr>
      <w:r>
        <w:t xml:space="preserve">PARTIE 3 – INSTRUCTIONS POUR LA PRÉPARATION DES SOUMISSIONS </w:t>
      </w:r>
    </w:p>
    <w:p w14:paraId="7C4BD588" w14:textId="75E9E8ED" w:rsidR="000D37B3" w:rsidRPr="00265F2A" w:rsidRDefault="000D37B3" w:rsidP="000D37B3">
      <w:pPr>
        <w:pStyle w:val="TemplateHeading1"/>
      </w:pPr>
      <w:r>
        <w:t>PARTIE 4 – PROCÉDURES D</w:t>
      </w:r>
      <w:r w:rsidR="00445FFF">
        <w:t>’</w:t>
      </w:r>
      <w:r>
        <w:t>ÉVALUATION ET MÉTHODE DE SÉLECTION</w:t>
      </w:r>
    </w:p>
    <w:p w14:paraId="044BC3BD" w14:textId="77777777" w:rsidR="000D37B3" w:rsidRPr="00265F2A" w:rsidRDefault="000D37B3" w:rsidP="000D37B3"/>
    <w:p w14:paraId="69A0CA8D" w14:textId="0A3A0F00" w:rsidR="000D37B3" w:rsidRPr="00265F2A" w:rsidRDefault="000D37B3" w:rsidP="000D37B3">
      <w:pPr>
        <w:pStyle w:val="TemplateHeading2"/>
        <w:spacing w:before="0" w:after="0"/>
        <w:rPr>
          <w:rFonts w:cs="Arial"/>
          <w:szCs w:val="20"/>
        </w:rPr>
      </w:pPr>
      <w:r>
        <w:t>4.1</w:t>
      </w:r>
      <w:r>
        <w:tab/>
        <w:t>Procédures d</w:t>
      </w:r>
      <w:r w:rsidR="00445FFF">
        <w:t>’</w:t>
      </w:r>
      <w:r>
        <w:t>évaluation</w:t>
      </w:r>
    </w:p>
    <w:p w14:paraId="58877975" w14:textId="77777777" w:rsidR="000D37B3" w:rsidRPr="00983BBE" w:rsidRDefault="000D37B3" w:rsidP="000D37B3">
      <w:pPr>
        <w:pStyle w:val="DefaultText"/>
        <w:rPr>
          <w:rFonts w:cs="Arial"/>
          <w:szCs w:val="20"/>
        </w:rPr>
      </w:pPr>
    </w:p>
    <w:p w14:paraId="604B6F78" w14:textId="5AD9505E" w:rsidR="000D37B3" w:rsidRPr="00265F2A" w:rsidRDefault="000D37B3" w:rsidP="000D37B3">
      <w:pPr>
        <w:autoSpaceDE w:val="0"/>
        <w:autoSpaceDN w:val="0"/>
        <w:adjustRightInd w:val="0"/>
        <w:ind w:left="720" w:hanging="720"/>
        <w:rPr>
          <w:rFonts w:ascii="Arial" w:hAnsi="Arial" w:cs="Arial"/>
          <w:sz w:val="20"/>
          <w:szCs w:val="20"/>
        </w:rPr>
      </w:pPr>
      <w:r>
        <w:rPr>
          <w:rFonts w:ascii="Arial" w:hAnsi="Arial"/>
          <w:sz w:val="20"/>
          <w:szCs w:val="20"/>
        </w:rPr>
        <w:t>a)</w:t>
      </w:r>
      <w:r>
        <w:rPr>
          <w:rFonts w:ascii="Arial" w:hAnsi="Arial"/>
          <w:sz w:val="20"/>
          <w:szCs w:val="20"/>
        </w:rPr>
        <w:tab/>
        <w:t>Les soumissions seront évaluées par rapport à l</w:t>
      </w:r>
      <w:r w:rsidR="00445FFF">
        <w:rPr>
          <w:rFonts w:ascii="Arial" w:hAnsi="Arial"/>
          <w:sz w:val="20"/>
          <w:szCs w:val="20"/>
        </w:rPr>
        <w:t>’</w:t>
      </w:r>
      <w:r>
        <w:rPr>
          <w:rFonts w:ascii="Arial" w:hAnsi="Arial"/>
          <w:sz w:val="20"/>
          <w:szCs w:val="20"/>
        </w:rPr>
        <w:t>ensemble des exigences de la demande de soumissions, y compris les critères d</w:t>
      </w:r>
      <w:r w:rsidR="00445FFF">
        <w:rPr>
          <w:rFonts w:ascii="Arial" w:hAnsi="Arial"/>
          <w:sz w:val="20"/>
          <w:szCs w:val="20"/>
        </w:rPr>
        <w:t>’</w:t>
      </w:r>
      <w:r>
        <w:rPr>
          <w:rFonts w:ascii="Arial" w:hAnsi="Arial"/>
          <w:sz w:val="20"/>
          <w:szCs w:val="20"/>
        </w:rPr>
        <w:t>évaluation techniques et financiers.</w:t>
      </w:r>
    </w:p>
    <w:p w14:paraId="490032FF" w14:textId="6C752CEB" w:rsidR="000D37B3" w:rsidRPr="00265F2A" w:rsidRDefault="000D37B3" w:rsidP="000D37B3">
      <w:pPr>
        <w:autoSpaceDE w:val="0"/>
        <w:autoSpaceDN w:val="0"/>
        <w:adjustRightInd w:val="0"/>
        <w:rPr>
          <w:rFonts w:ascii="Arial" w:hAnsi="Arial" w:cs="Arial"/>
          <w:sz w:val="20"/>
          <w:szCs w:val="20"/>
        </w:rPr>
      </w:pPr>
      <w:r>
        <w:rPr>
          <w:rFonts w:ascii="Arial" w:hAnsi="Arial"/>
          <w:sz w:val="20"/>
          <w:szCs w:val="20"/>
        </w:rPr>
        <w:t>b)</w:t>
      </w:r>
      <w:r>
        <w:rPr>
          <w:rFonts w:ascii="Arial" w:hAnsi="Arial"/>
          <w:sz w:val="20"/>
          <w:szCs w:val="20"/>
        </w:rPr>
        <w:tab/>
        <w:t>Une équipe d</w:t>
      </w:r>
      <w:r w:rsidR="00445FFF">
        <w:rPr>
          <w:rFonts w:ascii="Arial" w:hAnsi="Arial"/>
          <w:sz w:val="20"/>
          <w:szCs w:val="20"/>
        </w:rPr>
        <w:t>’</w:t>
      </w:r>
      <w:r>
        <w:rPr>
          <w:rFonts w:ascii="Arial" w:hAnsi="Arial"/>
          <w:sz w:val="20"/>
          <w:szCs w:val="20"/>
        </w:rPr>
        <w:t>évaluation formée de représentants du Canada évaluera les soumissions.</w:t>
      </w:r>
    </w:p>
    <w:p w14:paraId="27B149C3" w14:textId="77777777" w:rsidR="00310F97" w:rsidRPr="00265F2A" w:rsidRDefault="00310F97" w:rsidP="000D37B3">
      <w:pPr>
        <w:autoSpaceDE w:val="0"/>
        <w:autoSpaceDN w:val="0"/>
        <w:adjustRightInd w:val="0"/>
        <w:rPr>
          <w:rFonts w:ascii="Arial" w:hAnsi="Arial" w:cs="Arial"/>
          <w:sz w:val="20"/>
          <w:szCs w:val="20"/>
        </w:rPr>
      </w:pPr>
    </w:p>
    <w:p w14:paraId="5767919C" w14:textId="77777777" w:rsidR="00310F97" w:rsidRPr="00265F2A" w:rsidRDefault="00310F97" w:rsidP="00310F97">
      <w:pPr>
        <w:pStyle w:val="TemplateHeading2"/>
        <w:spacing w:before="0" w:after="0"/>
        <w:rPr>
          <w:rFonts w:cs="Arial"/>
          <w:szCs w:val="20"/>
        </w:rPr>
      </w:pPr>
      <w:r>
        <w:t>4.1.1</w:t>
      </w:r>
      <w:r>
        <w:tab/>
        <w:t>Évaluation technique</w:t>
      </w:r>
    </w:p>
    <w:p w14:paraId="3B49EA5C" w14:textId="77777777" w:rsidR="00310F97" w:rsidRPr="00265F2A" w:rsidRDefault="00310F97" w:rsidP="00310F97">
      <w:pPr>
        <w:ind w:left="1440" w:hanging="720"/>
        <w:rPr>
          <w:b/>
        </w:rPr>
      </w:pPr>
    </w:p>
    <w:p w14:paraId="1DB0995A" w14:textId="77777777" w:rsidR="00310F97" w:rsidRPr="00265F2A" w:rsidRDefault="00310F97" w:rsidP="00310F97">
      <w:pPr>
        <w:ind w:left="1440" w:hanging="720"/>
        <w:rPr>
          <w:b/>
        </w:rPr>
      </w:pPr>
      <w:r>
        <w:rPr>
          <w:b/>
        </w:rPr>
        <w:t>4.1.1.1</w:t>
      </w:r>
      <w:r>
        <w:rPr>
          <w:b/>
        </w:rPr>
        <w:tab/>
        <w:t>Critères techniques obligatoires</w:t>
      </w:r>
    </w:p>
    <w:p w14:paraId="1AF7C194" w14:textId="1FCB317B" w:rsidR="00310F97" w:rsidRPr="00265F2A" w:rsidRDefault="00310F97" w:rsidP="00310F97">
      <w:pPr>
        <w:ind w:left="1440" w:hanging="720"/>
      </w:pPr>
      <w:r>
        <w:t>Voir l</w:t>
      </w:r>
      <w:r w:rsidR="00445FFF">
        <w:t>’</w:t>
      </w:r>
      <w:r>
        <w:t xml:space="preserve">annexe C. </w:t>
      </w:r>
    </w:p>
    <w:p w14:paraId="2DCA00DE" w14:textId="77777777" w:rsidR="00310F97" w:rsidRPr="00265F2A" w:rsidRDefault="00310F97" w:rsidP="00310F97">
      <w:pPr>
        <w:ind w:firstLine="720"/>
        <w:rPr>
          <w:b/>
        </w:rPr>
      </w:pPr>
      <w:r>
        <w:rPr>
          <w:b/>
        </w:rPr>
        <w:t>4.1.1.2</w:t>
      </w:r>
      <w:r>
        <w:rPr>
          <w:b/>
        </w:rPr>
        <w:tab/>
        <w:t>Critères techniques cotés</w:t>
      </w:r>
    </w:p>
    <w:p w14:paraId="398FFDAB" w14:textId="20638432" w:rsidR="000D37B3" w:rsidRPr="00265F2A" w:rsidRDefault="00310F97" w:rsidP="00310F97">
      <w:pPr>
        <w:ind w:firstLine="720"/>
      </w:pPr>
      <w:r>
        <w:t>Voir l</w:t>
      </w:r>
      <w:r w:rsidR="00445FFF">
        <w:t>’</w:t>
      </w:r>
      <w:r>
        <w:t xml:space="preserve">annexe C. </w:t>
      </w:r>
    </w:p>
    <w:p w14:paraId="64036BBA" w14:textId="77777777" w:rsidR="00310F97" w:rsidRPr="00265F2A" w:rsidRDefault="00310F97" w:rsidP="00310F97">
      <w:pPr>
        <w:ind w:firstLine="720"/>
      </w:pPr>
    </w:p>
    <w:p w14:paraId="724899E8" w14:textId="77777777" w:rsidR="000D37B3" w:rsidRPr="00265F2A" w:rsidRDefault="000D37B3" w:rsidP="000D37B3">
      <w:pPr>
        <w:pStyle w:val="TemplateHeading2"/>
        <w:spacing w:before="0" w:after="0"/>
        <w:rPr>
          <w:rFonts w:cs="Arial"/>
          <w:szCs w:val="20"/>
        </w:rPr>
      </w:pPr>
      <w:r>
        <w:t>4.2</w:t>
      </w:r>
      <w:r>
        <w:tab/>
        <w:t>Méthode de sélection</w:t>
      </w:r>
    </w:p>
    <w:p w14:paraId="6645433A" w14:textId="77777777" w:rsidR="000D37B3" w:rsidRPr="00983BBE" w:rsidRDefault="000D37B3" w:rsidP="000D37B3">
      <w:pPr>
        <w:pStyle w:val="DefaultText"/>
        <w:rPr>
          <w:rFonts w:cs="Arial"/>
          <w:szCs w:val="20"/>
        </w:rPr>
      </w:pPr>
    </w:p>
    <w:p w14:paraId="0A310248" w14:textId="77777777" w:rsidR="000D37B3" w:rsidRPr="00265F2A" w:rsidRDefault="000D37B3" w:rsidP="000D37B3">
      <w:pPr>
        <w:pStyle w:val="DefaultText"/>
        <w:ind w:left="720" w:hanging="720"/>
        <w:rPr>
          <w:rFonts w:cs="Arial"/>
          <w:szCs w:val="20"/>
        </w:rPr>
      </w:pPr>
      <w:r>
        <w:rPr>
          <w:b/>
          <w:bCs/>
          <w:szCs w:val="20"/>
        </w:rPr>
        <w:t>4.2.1</w:t>
      </w:r>
      <w:r>
        <w:rPr>
          <w:b/>
          <w:bCs/>
          <w:szCs w:val="20"/>
        </w:rPr>
        <w:tab/>
      </w:r>
      <w:r>
        <w:rPr>
          <w:b/>
          <w:szCs w:val="20"/>
        </w:rPr>
        <w:t xml:space="preserve">Méthode de sélection – Prix par point le plus bas </w:t>
      </w:r>
      <w:r>
        <w:rPr>
          <w:b/>
          <w:i/>
          <w:iCs/>
          <w:color w:val="0000FF"/>
          <w:szCs w:val="20"/>
          <w:shd w:val="clear" w:color="auto" w:fill="D9D9D9"/>
        </w:rPr>
        <w:t xml:space="preserve"> </w:t>
      </w:r>
    </w:p>
    <w:p w14:paraId="15314173" w14:textId="77777777" w:rsidR="000D37B3" w:rsidRPr="00265F2A" w:rsidRDefault="000D37B3" w:rsidP="000D37B3">
      <w:pPr>
        <w:numPr>
          <w:ilvl w:val="0"/>
          <w:numId w:val="3"/>
        </w:numPr>
        <w:spacing w:before="100" w:beforeAutospacing="1" w:after="100" w:afterAutospacing="1" w:line="240" w:lineRule="auto"/>
        <w:rPr>
          <w:rFonts w:ascii="Arial" w:eastAsia="Times New Roman" w:hAnsi="Arial" w:cs="Arial"/>
          <w:sz w:val="20"/>
          <w:szCs w:val="20"/>
        </w:rPr>
      </w:pPr>
      <w:r>
        <w:rPr>
          <w:rFonts w:ascii="Arial" w:hAnsi="Arial"/>
          <w:sz w:val="20"/>
          <w:szCs w:val="20"/>
        </w:rPr>
        <w:t xml:space="preserve">Pour être jugée recevable, une soumission doit : </w:t>
      </w:r>
    </w:p>
    <w:p w14:paraId="1DA8A296" w14:textId="77777777" w:rsidR="000D37B3" w:rsidRPr="00265F2A" w:rsidRDefault="000D37B3" w:rsidP="000D37B3">
      <w:pPr>
        <w:numPr>
          <w:ilvl w:val="1"/>
          <w:numId w:val="4"/>
        </w:numPr>
        <w:spacing w:before="100" w:beforeAutospacing="1" w:after="100" w:afterAutospacing="1" w:line="240" w:lineRule="auto"/>
        <w:rPr>
          <w:rFonts w:ascii="Arial" w:eastAsia="Times New Roman" w:hAnsi="Arial" w:cs="Arial"/>
          <w:sz w:val="20"/>
          <w:szCs w:val="20"/>
        </w:rPr>
      </w:pPr>
      <w:r>
        <w:rPr>
          <w:rFonts w:ascii="Arial" w:hAnsi="Arial"/>
          <w:sz w:val="20"/>
          <w:szCs w:val="20"/>
        </w:rPr>
        <w:t>répondre à toutes les exigences de la demande de soumissions;</w:t>
      </w:r>
    </w:p>
    <w:p w14:paraId="697204BE" w14:textId="53047A00" w:rsidR="000D37B3" w:rsidRPr="00265F2A" w:rsidRDefault="000D37B3" w:rsidP="000D37B3">
      <w:pPr>
        <w:numPr>
          <w:ilvl w:val="1"/>
          <w:numId w:val="5"/>
        </w:numPr>
        <w:spacing w:before="100" w:beforeAutospacing="1" w:after="100" w:afterAutospacing="1" w:line="240" w:lineRule="auto"/>
        <w:rPr>
          <w:rFonts w:ascii="Arial" w:eastAsia="Times New Roman" w:hAnsi="Arial" w:cs="Arial"/>
          <w:sz w:val="20"/>
          <w:szCs w:val="20"/>
        </w:rPr>
      </w:pPr>
      <w:r>
        <w:rPr>
          <w:rFonts w:ascii="Arial" w:hAnsi="Arial"/>
          <w:sz w:val="20"/>
          <w:szCs w:val="20"/>
        </w:rPr>
        <w:t>respecter tous les critères d</w:t>
      </w:r>
      <w:r w:rsidR="00445FFF">
        <w:rPr>
          <w:rFonts w:ascii="Arial" w:hAnsi="Arial"/>
          <w:sz w:val="20"/>
          <w:szCs w:val="20"/>
        </w:rPr>
        <w:t>’</w:t>
      </w:r>
      <w:r>
        <w:rPr>
          <w:rFonts w:ascii="Arial" w:hAnsi="Arial"/>
          <w:sz w:val="20"/>
          <w:szCs w:val="20"/>
        </w:rPr>
        <w:t>évaluation techniques obligatoires;</w:t>
      </w:r>
    </w:p>
    <w:p w14:paraId="562CEC53" w14:textId="2DE67342" w:rsidR="000D37B3" w:rsidRPr="00265F2A" w:rsidRDefault="000D37B3" w:rsidP="000D37B3">
      <w:pPr>
        <w:numPr>
          <w:ilvl w:val="1"/>
          <w:numId w:val="6"/>
        </w:numPr>
        <w:spacing w:before="100" w:beforeAutospacing="1" w:after="100" w:afterAutospacing="1" w:line="240" w:lineRule="auto"/>
        <w:rPr>
          <w:rFonts w:ascii="Arial" w:eastAsia="Times New Roman" w:hAnsi="Arial" w:cs="Arial"/>
          <w:sz w:val="20"/>
          <w:szCs w:val="20"/>
        </w:rPr>
      </w:pPr>
      <w:r>
        <w:rPr>
          <w:rFonts w:ascii="Arial" w:hAnsi="Arial"/>
          <w:sz w:val="20"/>
          <w:szCs w:val="20"/>
        </w:rPr>
        <w:t>obtenir la note minimale requise pour les critères d</w:t>
      </w:r>
      <w:r w:rsidR="00445FFF">
        <w:rPr>
          <w:rFonts w:ascii="Arial" w:hAnsi="Arial"/>
          <w:sz w:val="20"/>
          <w:szCs w:val="20"/>
        </w:rPr>
        <w:t>’</w:t>
      </w:r>
      <w:r>
        <w:rPr>
          <w:rFonts w:ascii="Arial" w:hAnsi="Arial"/>
          <w:sz w:val="20"/>
          <w:szCs w:val="20"/>
        </w:rPr>
        <w:t>évaluation technique</w:t>
      </w:r>
      <w:r w:rsidR="00E76E0C">
        <w:rPr>
          <w:rFonts w:ascii="Arial" w:hAnsi="Arial"/>
          <w:sz w:val="20"/>
          <w:szCs w:val="20"/>
        </w:rPr>
        <w:t>s</w:t>
      </w:r>
      <w:r>
        <w:rPr>
          <w:rFonts w:ascii="Arial" w:hAnsi="Arial"/>
          <w:sz w:val="20"/>
          <w:szCs w:val="20"/>
        </w:rPr>
        <w:t xml:space="preserve"> assujettis à une cotation numérique. </w:t>
      </w:r>
    </w:p>
    <w:p w14:paraId="14731D4C" w14:textId="45F80AE0" w:rsidR="000D37B3" w:rsidRPr="00265F2A" w:rsidRDefault="000D37B3" w:rsidP="000D37B3">
      <w:pPr>
        <w:numPr>
          <w:ilvl w:val="0"/>
          <w:numId w:val="7"/>
        </w:numPr>
        <w:spacing w:before="100" w:beforeAutospacing="1" w:after="100" w:afterAutospacing="1" w:line="240" w:lineRule="auto"/>
        <w:rPr>
          <w:rFonts w:ascii="Arial" w:eastAsia="Times New Roman" w:hAnsi="Arial" w:cs="Arial"/>
          <w:sz w:val="20"/>
          <w:szCs w:val="20"/>
        </w:rPr>
      </w:pPr>
      <w:r>
        <w:rPr>
          <w:rFonts w:ascii="Arial" w:hAnsi="Arial"/>
          <w:sz w:val="20"/>
          <w:szCs w:val="20"/>
        </w:rPr>
        <w:t>Les soumissions ne répondant pas aux exigences a), b) ou c) seront déclarées non recevables. La soumission recevable ayant obtenu le plus grand nombre de points ou celle qui offre le prix le plus bas ne sera pas nécessairement acceptée. La soumission recevable dont le prix évalué par point est le plus bas sera recommandée pour l</w:t>
      </w:r>
      <w:r w:rsidR="00445FFF">
        <w:rPr>
          <w:rFonts w:ascii="Arial" w:hAnsi="Arial"/>
          <w:sz w:val="20"/>
          <w:szCs w:val="20"/>
        </w:rPr>
        <w:t>’</w:t>
      </w:r>
      <w:r>
        <w:rPr>
          <w:rFonts w:ascii="Arial" w:hAnsi="Arial"/>
          <w:sz w:val="20"/>
          <w:szCs w:val="20"/>
        </w:rPr>
        <w:t>attribution d</w:t>
      </w:r>
      <w:r w:rsidR="00445FFF">
        <w:rPr>
          <w:rFonts w:ascii="Arial" w:hAnsi="Arial"/>
          <w:sz w:val="20"/>
          <w:szCs w:val="20"/>
        </w:rPr>
        <w:t>’</w:t>
      </w:r>
      <w:r>
        <w:rPr>
          <w:rFonts w:ascii="Arial" w:hAnsi="Arial"/>
          <w:sz w:val="20"/>
          <w:szCs w:val="20"/>
        </w:rPr>
        <w:t>un contrat.</w:t>
      </w:r>
    </w:p>
    <w:p w14:paraId="1F37AABA" w14:textId="49A1BD19" w:rsidR="00C31FCB" w:rsidRPr="00265F2A" w:rsidRDefault="00C31FCB" w:rsidP="00C31FCB">
      <w:pPr>
        <w:spacing w:before="100" w:beforeAutospacing="1" w:after="100" w:afterAutospacing="1" w:line="240" w:lineRule="auto"/>
        <w:ind w:left="720"/>
        <w:rPr>
          <w:rFonts w:ascii="Arial" w:eastAsia="Times New Roman" w:hAnsi="Arial" w:cs="Arial"/>
          <w:i/>
          <w:sz w:val="20"/>
          <w:szCs w:val="20"/>
        </w:rPr>
      </w:pPr>
      <w:r>
        <w:rPr>
          <w:rFonts w:ascii="Arial" w:hAnsi="Arial"/>
          <w:i/>
          <w:sz w:val="20"/>
          <w:szCs w:val="20"/>
        </w:rPr>
        <w:t>Formule</w:t>
      </w:r>
      <w:r w:rsidR="00B932C1">
        <w:rPr>
          <w:rFonts w:ascii="Arial" w:hAnsi="Arial"/>
          <w:i/>
          <w:sz w:val="20"/>
          <w:szCs w:val="20"/>
        </w:rPr>
        <w:t> </w:t>
      </w:r>
      <w:r w:rsidR="0010719A">
        <w:rPr>
          <w:rFonts w:ascii="Arial" w:hAnsi="Arial"/>
          <w:i/>
          <w:sz w:val="20"/>
          <w:szCs w:val="20"/>
        </w:rPr>
        <w:t xml:space="preserve">: </w:t>
      </w:r>
    </w:p>
    <w:p w14:paraId="359D6B4D" w14:textId="3B61F8CA" w:rsidR="00C31FCB" w:rsidRPr="00265F2A" w:rsidRDefault="00C31FCB" w:rsidP="00C31FCB">
      <w:pPr>
        <w:spacing w:before="100" w:beforeAutospacing="1" w:after="100" w:afterAutospacing="1" w:line="240" w:lineRule="auto"/>
        <w:ind w:left="720" w:firstLine="720"/>
        <w:rPr>
          <w:rFonts w:ascii="Arial" w:eastAsia="Times New Roman" w:hAnsi="Arial" w:cs="Arial"/>
          <w:sz w:val="20"/>
          <w:szCs w:val="20"/>
        </w:rPr>
      </w:pPr>
      <w:r>
        <w:rPr>
          <w:rFonts w:ascii="Arial" w:hAnsi="Arial"/>
          <w:sz w:val="20"/>
          <w:szCs w:val="20"/>
        </w:rPr>
        <w:t>Coût total</w:t>
      </w:r>
      <w:r w:rsidR="006D3DB3">
        <w:rPr>
          <w:rFonts w:ascii="Arial" w:hAnsi="Arial"/>
          <w:sz w:val="20"/>
          <w:szCs w:val="20"/>
        </w:rPr>
        <w:t xml:space="preserve"> </w:t>
      </w:r>
      <w:r>
        <w:rPr>
          <w:rFonts w:ascii="Arial" w:hAnsi="Arial"/>
          <w:sz w:val="20"/>
          <w:szCs w:val="20"/>
        </w:rPr>
        <w:t xml:space="preserve">/ </w:t>
      </w:r>
      <w:r w:rsidR="006D3DB3">
        <w:rPr>
          <w:rFonts w:ascii="Arial" w:hAnsi="Arial"/>
          <w:sz w:val="20"/>
          <w:szCs w:val="20"/>
        </w:rPr>
        <w:t>note</w:t>
      </w:r>
      <w:r>
        <w:rPr>
          <w:rFonts w:ascii="Arial" w:hAnsi="Arial"/>
          <w:sz w:val="20"/>
          <w:szCs w:val="20"/>
        </w:rPr>
        <w:t xml:space="preserve"> technique total</w:t>
      </w:r>
      <w:r w:rsidR="006D3DB3">
        <w:rPr>
          <w:rFonts w:ascii="Arial" w:hAnsi="Arial"/>
          <w:sz w:val="20"/>
          <w:szCs w:val="20"/>
        </w:rPr>
        <w:t>e</w:t>
      </w:r>
      <w:r>
        <w:rPr>
          <w:rFonts w:ascii="Arial" w:hAnsi="Arial"/>
          <w:sz w:val="20"/>
          <w:szCs w:val="20"/>
        </w:rPr>
        <w:t xml:space="preserve"> = Coût par point </w:t>
      </w:r>
    </w:p>
    <w:p w14:paraId="732A389E" w14:textId="77777777" w:rsidR="000D37B3" w:rsidRPr="00265F2A" w:rsidRDefault="009220C3">
      <w:pPr>
        <w:rPr>
          <w:rFonts w:ascii="Arial" w:hAnsi="Arial" w:cs="Arial"/>
          <w:b/>
          <w:sz w:val="20"/>
          <w:szCs w:val="20"/>
        </w:rPr>
      </w:pPr>
      <w:r>
        <w:rPr>
          <w:rFonts w:ascii="Arial" w:hAnsi="Arial"/>
          <w:b/>
          <w:sz w:val="20"/>
          <w:szCs w:val="20"/>
        </w:rPr>
        <w:lastRenderedPageBreak/>
        <w:t xml:space="preserve">PARTIE 5 – ATTESTATIONS ET RENSEIGNEMENTS SUPPLÉMENTAIRES </w:t>
      </w:r>
    </w:p>
    <w:p w14:paraId="35CB08D3" w14:textId="77777777" w:rsidR="009220C3" w:rsidRPr="00265F2A" w:rsidRDefault="009220C3">
      <w:pPr>
        <w:rPr>
          <w:rFonts w:ascii="Arial" w:hAnsi="Arial" w:cs="Arial"/>
          <w:b/>
          <w:sz w:val="20"/>
          <w:szCs w:val="20"/>
        </w:rPr>
      </w:pPr>
      <w:r>
        <w:rPr>
          <w:rFonts w:ascii="Arial" w:hAnsi="Arial"/>
          <w:b/>
          <w:sz w:val="20"/>
          <w:szCs w:val="20"/>
        </w:rPr>
        <w:t xml:space="preserve">PARTIE 6 – CLAUSES DU CONTRAT SUBSÉQUENT </w:t>
      </w:r>
    </w:p>
    <w:p w14:paraId="491E5135" w14:textId="77777777" w:rsidR="002C033C" w:rsidRPr="00265F2A" w:rsidRDefault="002C033C">
      <w:pPr>
        <w:rPr>
          <w:rFonts w:ascii="Arial" w:hAnsi="Arial" w:cs="Arial"/>
          <w:b/>
          <w:sz w:val="20"/>
          <w:szCs w:val="20"/>
        </w:rPr>
      </w:pPr>
      <w:r>
        <w:rPr>
          <w:rFonts w:ascii="Arial" w:hAnsi="Arial"/>
          <w:b/>
          <w:sz w:val="20"/>
          <w:szCs w:val="20"/>
        </w:rPr>
        <w:t>ANNEXE A – ÉNONCÉ DES TRAVAUX</w:t>
      </w:r>
    </w:p>
    <w:p w14:paraId="2B1E2DD4" w14:textId="77777777" w:rsidR="002C033C" w:rsidRPr="00265F2A" w:rsidRDefault="002C033C">
      <w:pPr>
        <w:rPr>
          <w:rFonts w:ascii="Arial" w:hAnsi="Arial" w:cs="Arial"/>
          <w:b/>
          <w:sz w:val="20"/>
          <w:szCs w:val="20"/>
        </w:rPr>
      </w:pPr>
      <w:r>
        <w:rPr>
          <w:rFonts w:ascii="Arial" w:hAnsi="Arial"/>
          <w:b/>
          <w:sz w:val="20"/>
          <w:szCs w:val="20"/>
        </w:rPr>
        <w:t xml:space="preserve">ANNEXE B – BASE DE PAIEMENT </w:t>
      </w:r>
    </w:p>
    <w:p w14:paraId="3FD0F41C" w14:textId="1D1D2EE0" w:rsidR="002C033C" w:rsidRPr="00265F2A" w:rsidRDefault="002C033C">
      <w:pPr>
        <w:rPr>
          <w:rFonts w:ascii="Arial" w:hAnsi="Arial" w:cs="Arial"/>
          <w:b/>
          <w:sz w:val="20"/>
          <w:szCs w:val="20"/>
        </w:rPr>
      </w:pPr>
      <w:r>
        <w:rPr>
          <w:rFonts w:ascii="Arial" w:hAnsi="Arial"/>
          <w:b/>
          <w:sz w:val="20"/>
          <w:szCs w:val="20"/>
        </w:rPr>
        <w:t>ANNEXE C – CRITÈRES D</w:t>
      </w:r>
      <w:r w:rsidR="00445FFF">
        <w:rPr>
          <w:rFonts w:ascii="Arial" w:hAnsi="Arial"/>
          <w:b/>
          <w:sz w:val="20"/>
          <w:szCs w:val="20"/>
        </w:rPr>
        <w:t>’</w:t>
      </w:r>
      <w:r>
        <w:rPr>
          <w:rFonts w:ascii="Arial" w:hAnsi="Arial"/>
          <w:b/>
          <w:sz w:val="20"/>
          <w:szCs w:val="20"/>
        </w:rPr>
        <w:t xml:space="preserve">ÉVALUATION </w:t>
      </w:r>
    </w:p>
    <w:p w14:paraId="4E31A4B2" w14:textId="77777777" w:rsidR="009220C3" w:rsidRPr="00983BBE" w:rsidRDefault="009220C3">
      <w:pPr>
        <w:rPr>
          <w:b/>
        </w:rPr>
      </w:pPr>
    </w:p>
    <w:p w14:paraId="6188284A" w14:textId="77777777" w:rsidR="000D37B3" w:rsidRPr="00983BBE" w:rsidRDefault="000D37B3">
      <w:pPr>
        <w:rPr>
          <w:b/>
        </w:rPr>
      </w:pPr>
    </w:p>
    <w:p w14:paraId="3F7E80BD" w14:textId="77777777" w:rsidR="000D37B3" w:rsidRPr="00983BBE" w:rsidRDefault="000D37B3">
      <w:pPr>
        <w:rPr>
          <w:b/>
        </w:rPr>
      </w:pPr>
    </w:p>
    <w:p w14:paraId="731DB50A" w14:textId="77777777" w:rsidR="002C033C" w:rsidRPr="00983BBE" w:rsidRDefault="002C033C">
      <w:pPr>
        <w:rPr>
          <w:b/>
        </w:rPr>
      </w:pPr>
    </w:p>
    <w:p w14:paraId="55B72D6D" w14:textId="77777777" w:rsidR="00A15F05" w:rsidRPr="00983BBE" w:rsidRDefault="00A15F05">
      <w:pPr>
        <w:rPr>
          <w:b/>
        </w:rPr>
      </w:pPr>
    </w:p>
    <w:p w14:paraId="6F56A4E8" w14:textId="77777777" w:rsidR="00A15F05" w:rsidRPr="00983BBE" w:rsidRDefault="00A15F05">
      <w:pPr>
        <w:rPr>
          <w:b/>
        </w:rPr>
      </w:pPr>
    </w:p>
    <w:p w14:paraId="6A015137" w14:textId="77777777" w:rsidR="00A15F05" w:rsidRPr="00983BBE" w:rsidRDefault="00A15F05">
      <w:pPr>
        <w:rPr>
          <w:b/>
        </w:rPr>
      </w:pPr>
    </w:p>
    <w:p w14:paraId="4F958B6A" w14:textId="77777777" w:rsidR="00A15F05" w:rsidRPr="00983BBE" w:rsidRDefault="00A15F05">
      <w:pPr>
        <w:rPr>
          <w:b/>
        </w:rPr>
      </w:pPr>
    </w:p>
    <w:p w14:paraId="37123295" w14:textId="77777777" w:rsidR="00A15F05" w:rsidRPr="00983BBE" w:rsidRDefault="00A15F05">
      <w:pPr>
        <w:rPr>
          <w:b/>
        </w:rPr>
      </w:pPr>
    </w:p>
    <w:p w14:paraId="502B4622" w14:textId="77777777" w:rsidR="00A15F05" w:rsidRPr="00983BBE" w:rsidRDefault="00A15F05">
      <w:pPr>
        <w:rPr>
          <w:b/>
        </w:rPr>
      </w:pPr>
    </w:p>
    <w:p w14:paraId="272E758C" w14:textId="77777777" w:rsidR="00A15F05" w:rsidRPr="00983BBE" w:rsidRDefault="00A15F05">
      <w:pPr>
        <w:rPr>
          <w:b/>
        </w:rPr>
      </w:pPr>
    </w:p>
    <w:p w14:paraId="3C60449E" w14:textId="77777777" w:rsidR="00A15F05" w:rsidRPr="00983BBE" w:rsidRDefault="00A15F05">
      <w:pPr>
        <w:rPr>
          <w:b/>
        </w:rPr>
      </w:pPr>
    </w:p>
    <w:p w14:paraId="5435232F" w14:textId="77777777" w:rsidR="00A15F05" w:rsidRPr="00983BBE" w:rsidRDefault="00A15F05">
      <w:pPr>
        <w:rPr>
          <w:b/>
        </w:rPr>
      </w:pPr>
    </w:p>
    <w:p w14:paraId="1593AE59" w14:textId="77777777" w:rsidR="00A15F05" w:rsidRPr="00983BBE" w:rsidRDefault="00A15F05">
      <w:pPr>
        <w:rPr>
          <w:b/>
        </w:rPr>
      </w:pPr>
    </w:p>
    <w:p w14:paraId="5D9451DD" w14:textId="77777777" w:rsidR="00A15F05" w:rsidRPr="00983BBE" w:rsidRDefault="00A15F05">
      <w:pPr>
        <w:rPr>
          <w:b/>
        </w:rPr>
      </w:pPr>
    </w:p>
    <w:p w14:paraId="1E157AB5" w14:textId="77777777" w:rsidR="00A15F05" w:rsidRPr="00983BBE" w:rsidRDefault="00A15F05">
      <w:pPr>
        <w:rPr>
          <w:b/>
        </w:rPr>
      </w:pPr>
    </w:p>
    <w:p w14:paraId="3911290D" w14:textId="77777777" w:rsidR="00A15F05" w:rsidRPr="00983BBE" w:rsidRDefault="00A15F05">
      <w:pPr>
        <w:rPr>
          <w:b/>
        </w:rPr>
      </w:pPr>
    </w:p>
    <w:p w14:paraId="6260B382" w14:textId="77777777" w:rsidR="00A15F05" w:rsidRPr="00983BBE" w:rsidRDefault="00A15F05">
      <w:pPr>
        <w:rPr>
          <w:b/>
        </w:rPr>
      </w:pPr>
    </w:p>
    <w:p w14:paraId="32D36F9F" w14:textId="77777777" w:rsidR="00A15F05" w:rsidRPr="00983BBE" w:rsidRDefault="00A15F05">
      <w:pPr>
        <w:rPr>
          <w:b/>
        </w:rPr>
      </w:pPr>
    </w:p>
    <w:p w14:paraId="746E0817" w14:textId="77777777" w:rsidR="00A15F05" w:rsidRPr="00983BBE" w:rsidRDefault="00A15F05">
      <w:pPr>
        <w:rPr>
          <w:b/>
        </w:rPr>
      </w:pPr>
    </w:p>
    <w:p w14:paraId="3C3958AF" w14:textId="77777777" w:rsidR="00A15F05" w:rsidRPr="00983BBE" w:rsidRDefault="00A15F05">
      <w:pPr>
        <w:rPr>
          <w:b/>
        </w:rPr>
      </w:pPr>
    </w:p>
    <w:p w14:paraId="7F0C1500" w14:textId="77777777" w:rsidR="00A15F05" w:rsidRPr="00983BBE" w:rsidRDefault="00A15F05">
      <w:pPr>
        <w:rPr>
          <w:b/>
        </w:rPr>
      </w:pPr>
    </w:p>
    <w:p w14:paraId="0D8EA2A1" w14:textId="77777777" w:rsidR="00723217" w:rsidRPr="00983BBE" w:rsidRDefault="00723217">
      <w:pPr>
        <w:rPr>
          <w:b/>
        </w:rPr>
      </w:pPr>
    </w:p>
    <w:p w14:paraId="3401B742" w14:textId="77777777" w:rsidR="00723217" w:rsidRPr="00983BBE" w:rsidRDefault="00723217">
      <w:pPr>
        <w:rPr>
          <w:b/>
        </w:rPr>
      </w:pPr>
    </w:p>
    <w:p w14:paraId="40E01E5E" w14:textId="77777777" w:rsidR="00873596" w:rsidRPr="00265F2A" w:rsidRDefault="002C033C">
      <w:pPr>
        <w:rPr>
          <w:b/>
        </w:rPr>
      </w:pPr>
      <w:r>
        <w:rPr>
          <w:b/>
        </w:rPr>
        <w:lastRenderedPageBreak/>
        <w:t xml:space="preserve">ANNEXE A </w:t>
      </w:r>
    </w:p>
    <w:p w14:paraId="70F9C93F" w14:textId="77777777" w:rsidR="004C005B" w:rsidRPr="00265F2A" w:rsidRDefault="004C005B">
      <w:pPr>
        <w:rPr>
          <w:b/>
        </w:rPr>
      </w:pPr>
      <w:r>
        <w:rPr>
          <w:b/>
        </w:rPr>
        <w:t>Énoncé des travaux</w:t>
      </w:r>
    </w:p>
    <w:p w14:paraId="39AA7291" w14:textId="77777777" w:rsidR="004C005B" w:rsidRPr="00265F2A" w:rsidRDefault="004C005B">
      <w:pPr>
        <w:rPr>
          <w:b/>
        </w:rPr>
      </w:pPr>
      <w:r>
        <w:rPr>
          <w:b/>
        </w:rPr>
        <w:t xml:space="preserve">1. Titre </w:t>
      </w:r>
    </w:p>
    <w:p w14:paraId="5AFA081B" w14:textId="6EE09B24" w:rsidR="004C005B" w:rsidRPr="00265F2A" w:rsidRDefault="00CC520C">
      <w:r>
        <w:t xml:space="preserve">Chiens </w:t>
      </w:r>
      <w:r w:rsidR="00F553DF">
        <w:t xml:space="preserve">de travail </w:t>
      </w:r>
    </w:p>
    <w:p w14:paraId="4515CF12" w14:textId="77777777" w:rsidR="004C005B" w:rsidRPr="00265F2A" w:rsidRDefault="004C005B">
      <w:pPr>
        <w:rPr>
          <w:b/>
        </w:rPr>
      </w:pPr>
      <w:r>
        <w:rPr>
          <w:b/>
        </w:rPr>
        <w:t>2. Objectif</w:t>
      </w:r>
    </w:p>
    <w:p w14:paraId="70B5C884" w14:textId="7F34169E" w:rsidR="004C005B" w:rsidRPr="00265F2A" w:rsidRDefault="004C005B">
      <w:r>
        <w:t>Le ministère de</w:t>
      </w:r>
      <w:r w:rsidR="00F553DF">
        <w:t xml:space="preserve">s objets internationaux </w:t>
      </w:r>
      <w:r>
        <w:t>a besoin d</w:t>
      </w:r>
      <w:r w:rsidR="00445FFF">
        <w:t>’</w:t>
      </w:r>
      <w:r>
        <w:t xml:space="preserve">acquérir 25 chiens </w:t>
      </w:r>
      <w:r w:rsidR="00F553DF">
        <w:t>de travail</w:t>
      </w:r>
      <w:r>
        <w:t xml:space="preserve">. </w:t>
      </w:r>
    </w:p>
    <w:p w14:paraId="08DA6E23" w14:textId="77777777" w:rsidR="004C005B" w:rsidRPr="00265F2A" w:rsidRDefault="004C005B">
      <w:pPr>
        <w:rPr>
          <w:b/>
        </w:rPr>
      </w:pPr>
      <w:r>
        <w:rPr>
          <w:b/>
        </w:rPr>
        <w:t xml:space="preserve">3. Contexte </w:t>
      </w:r>
    </w:p>
    <w:p w14:paraId="3EBFE3B2" w14:textId="451D3C5D" w:rsidR="004C005B" w:rsidRPr="00265F2A" w:rsidRDefault="004C005B" w:rsidP="004C005B">
      <w:r>
        <w:t xml:space="preserve">Le programme du Service des chiens détecteurs du ministère </w:t>
      </w:r>
      <w:r w:rsidR="00F553DF">
        <w:t>des objets internationaux</w:t>
      </w:r>
      <w:r>
        <w:t xml:space="preserve"> a été créé en 1978. À l</w:t>
      </w:r>
      <w:r w:rsidR="00445FFF">
        <w:t>’</w:t>
      </w:r>
      <w:r>
        <w:t xml:space="preserve">époque, Douanes Canada répondait </w:t>
      </w:r>
      <w:r w:rsidR="00740B3F">
        <w:t>à la nécessité</w:t>
      </w:r>
      <w:r>
        <w:t xml:space="preserve"> de fournir aux agents de première ligne une méthode plus efficace pour détecter et interdire les stupéfiants et les armes à feu. La portée du programme s</w:t>
      </w:r>
      <w:r w:rsidR="00445FFF">
        <w:t>’</w:t>
      </w:r>
      <w:r>
        <w:t>est étendue ces dernières années, les chiens étant utilisés pour détecter d</w:t>
      </w:r>
      <w:r w:rsidR="00445FFF">
        <w:t>’</w:t>
      </w:r>
      <w:r>
        <w:t>autres articles que les drogues et les armes à feu.</w:t>
      </w:r>
    </w:p>
    <w:p w14:paraId="628EF93B" w14:textId="29058365" w:rsidR="004C005B" w:rsidRPr="00265F2A" w:rsidRDefault="004C005B" w:rsidP="004C005B">
      <w:r>
        <w:t xml:space="preserve">Le ministère </w:t>
      </w:r>
      <w:r w:rsidR="00F553DF">
        <w:t>des objets internationaux</w:t>
      </w:r>
      <w:r>
        <w:t xml:space="preserve"> a des normes très élevées pour ses chiens; chaque chien est soumis à une série d</w:t>
      </w:r>
      <w:r w:rsidR="00445FFF">
        <w:t>’</w:t>
      </w:r>
      <w:r>
        <w:t xml:space="preserve">évaluations des </w:t>
      </w:r>
      <w:r w:rsidR="00EC4287">
        <w:t>habiletés</w:t>
      </w:r>
      <w:r>
        <w:t>, des capacités et de l</w:t>
      </w:r>
      <w:r w:rsidR="00445FFF">
        <w:t>’</w:t>
      </w:r>
      <w:r>
        <w:t xml:space="preserve">agilité </w:t>
      </w:r>
      <w:r w:rsidR="00740B3F">
        <w:t>servant à</w:t>
      </w:r>
      <w:r>
        <w:t xml:space="preserve"> déterminer s</w:t>
      </w:r>
      <w:r w:rsidR="00445FFF">
        <w:t>’</w:t>
      </w:r>
      <w:r>
        <w:t>il sera accepté dans le programme.</w:t>
      </w:r>
    </w:p>
    <w:p w14:paraId="21FC36E9" w14:textId="77777777" w:rsidR="004C005B" w:rsidRPr="00265F2A" w:rsidRDefault="004C005B" w:rsidP="004C005B">
      <w:pPr>
        <w:rPr>
          <w:b/>
        </w:rPr>
      </w:pPr>
      <w:r>
        <w:rPr>
          <w:b/>
        </w:rPr>
        <w:t>4. Portée</w:t>
      </w:r>
    </w:p>
    <w:p w14:paraId="63D34064" w14:textId="0BC178CD" w:rsidR="004C005B" w:rsidRPr="00265F2A" w:rsidRDefault="00BB79EE" w:rsidP="004C005B">
      <w:r>
        <w:t xml:space="preserve">Le </w:t>
      </w:r>
      <w:r w:rsidR="00F553DF">
        <w:t>ministère des objets internationaux</w:t>
      </w:r>
      <w:r>
        <w:t xml:space="preserve"> a besoin d</w:t>
      </w:r>
      <w:r w:rsidR="00445FFF">
        <w:t>’</w:t>
      </w:r>
      <w:r>
        <w:t>acquérir 25 </w:t>
      </w:r>
      <w:r w:rsidR="00F553DF">
        <w:t>chiens de travail</w:t>
      </w:r>
      <w:r>
        <w:t xml:space="preserve"> qui seront livrés à Vancouver, en Colombie-Britannique, au plus tard le 31 mars 2019. </w:t>
      </w:r>
    </w:p>
    <w:p w14:paraId="3A5A1B90" w14:textId="35AF85EC" w:rsidR="00BB79EE" w:rsidRPr="00265F2A" w:rsidRDefault="00BB79EE" w:rsidP="004C005B">
      <w:pPr>
        <w:rPr>
          <w:b/>
        </w:rPr>
      </w:pPr>
      <w:r>
        <w:rPr>
          <w:b/>
        </w:rPr>
        <w:t xml:space="preserve">5. </w:t>
      </w:r>
      <w:r w:rsidR="002A09A5">
        <w:rPr>
          <w:b/>
        </w:rPr>
        <w:t>Besoin</w:t>
      </w:r>
      <w:r>
        <w:rPr>
          <w:b/>
        </w:rPr>
        <w:t>/spécifications</w:t>
      </w:r>
    </w:p>
    <w:p w14:paraId="2DE037FC" w14:textId="6646D98F" w:rsidR="00D97C5F" w:rsidRPr="00265F2A" w:rsidRDefault="00D97C5F" w:rsidP="004C005B">
      <w:r>
        <w:t xml:space="preserve">Les chiens doivent </w:t>
      </w:r>
      <w:r w:rsidR="002A09A5">
        <w:t>posséder les caractéristiques suivantes </w:t>
      </w:r>
      <w:r>
        <w:t xml:space="preserve">: </w:t>
      </w:r>
    </w:p>
    <w:p w14:paraId="0DD07BC4" w14:textId="77777777" w:rsidR="00BB79EE" w:rsidRPr="00265F2A" w:rsidRDefault="00BB79EE" w:rsidP="004C005B">
      <w:r>
        <w:t>5.1 Berger allemand</w:t>
      </w:r>
    </w:p>
    <w:p w14:paraId="1228D10B" w14:textId="77777777" w:rsidR="00D97C5F" w:rsidRPr="00265F2A" w:rsidRDefault="00D97C5F" w:rsidP="004C005B">
      <w:r>
        <w:t>5.2 Âge compris entre 10 et 24 mois</w:t>
      </w:r>
    </w:p>
    <w:p w14:paraId="42E8475F" w14:textId="77777777" w:rsidR="00D97C5F" w:rsidRPr="00265F2A" w:rsidRDefault="00D97C5F" w:rsidP="004C005B">
      <w:r>
        <w:t>5.3 Poids compris entre 15 et 40 kg</w:t>
      </w:r>
    </w:p>
    <w:p w14:paraId="6406E013" w14:textId="32D1A25D" w:rsidR="007A1A3A" w:rsidRPr="00265F2A" w:rsidRDefault="00D97C5F" w:rsidP="004C005B">
      <w:r>
        <w:t>5.4 Capable de répondre aux ordres : « assis », « couché », « viens » et « </w:t>
      </w:r>
      <w:r w:rsidR="002A09A5">
        <w:t>reste</w:t>
      </w:r>
      <w:r>
        <w:t xml:space="preserve"> ». </w:t>
      </w:r>
    </w:p>
    <w:p w14:paraId="76CF2D90" w14:textId="568AA20E" w:rsidR="007A1A3A" w:rsidRPr="00265F2A" w:rsidRDefault="00D54E44" w:rsidP="004C005B">
      <w:r>
        <w:t>Le fournisseur d</w:t>
      </w:r>
      <w:r w:rsidR="00AA4ED3">
        <w:t>evrait :</w:t>
      </w:r>
    </w:p>
    <w:p w14:paraId="0513E667" w14:textId="1843F6C4" w:rsidR="007A1A3A" w:rsidRPr="00265F2A" w:rsidRDefault="00D54E44" w:rsidP="004C005B">
      <w:r>
        <w:t xml:space="preserve">5.5 </w:t>
      </w:r>
      <w:r w:rsidR="00AA4ED3">
        <w:t>Avoir une e</w:t>
      </w:r>
      <w:r>
        <w:t xml:space="preserve">xpérience dans le dressage des </w:t>
      </w:r>
      <w:r w:rsidR="00F553DF">
        <w:t>chiens de travail</w:t>
      </w:r>
      <w:r>
        <w:t xml:space="preserve"> </w:t>
      </w:r>
    </w:p>
    <w:p w14:paraId="677A9EE9" w14:textId="7EBE5337" w:rsidR="007A1A3A" w:rsidRPr="00265F2A" w:rsidRDefault="007A1A3A" w:rsidP="004C005B">
      <w:r>
        <w:t xml:space="preserve">5.6 </w:t>
      </w:r>
      <w:r w:rsidR="00AA4ED3">
        <w:t xml:space="preserve">Avoir vendu </w:t>
      </w:r>
      <w:r>
        <w:t>de</w:t>
      </w:r>
      <w:r w:rsidR="00AA4ED3">
        <w:t>s</w:t>
      </w:r>
      <w:r>
        <w:t xml:space="preserve"> chiens aux </w:t>
      </w:r>
      <w:r w:rsidR="00F553DF">
        <w:t xml:space="preserve">agences frontalières </w:t>
      </w:r>
      <w:r>
        <w:t>depuis le 1</w:t>
      </w:r>
      <w:r>
        <w:rPr>
          <w:vertAlign w:val="superscript"/>
        </w:rPr>
        <w:t>er</w:t>
      </w:r>
      <w:r>
        <w:t> janvier 2013</w:t>
      </w:r>
    </w:p>
    <w:p w14:paraId="662F31E6" w14:textId="77777777" w:rsidR="00D97C5F" w:rsidRPr="00265F2A" w:rsidRDefault="00D97C5F" w:rsidP="004C005B">
      <w:pPr>
        <w:rPr>
          <w:b/>
        </w:rPr>
      </w:pPr>
      <w:r>
        <w:rPr>
          <w:b/>
        </w:rPr>
        <w:t xml:space="preserve">6. Contraintes </w:t>
      </w:r>
    </w:p>
    <w:p w14:paraId="3B9A3BEB" w14:textId="65A5E8C2" w:rsidR="00D97C5F" w:rsidRPr="00265F2A" w:rsidRDefault="006050CD" w:rsidP="006050CD">
      <w:pPr>
        <w:autoSpaceDE w:val="0"/>
        <w:autoSpaceDN w:val="0"/>
        <w:adjustRightInd w:val="0"/>
        <w:spacing w:after="0" w:line="240" w:lineRule="auto"/>
        <w:rPr>
          <w:rFonts w:cs="TimesNewRomanPSMT"/>
        </w:rPr>
      </w:pPr>
      <w:r>
        <w:t xml:space="preserve">Dans le cadre du programme du Service des chiens détecteurs du </w:t>
      </w:r>
      <w:r w:rsidR="00F553DF">
        <w:t>ministère des objets internationaux</w:t>
      </w:r>
      <w:r>
        <w:t xml:space="preserve">, si, dans les 90 jours, le chien ne répond pas aux critères du programme de formation des chiens détecteurs mentionné ci-dessus ou ne démontre pas les capacités à effectuer le travail de détection nécessaire pour être certifié comme chien </w:t>
      </w:r>
      <w:r w:rsidR="00F553DF">
        <w:t xml:space="preserve">de travail </w:t>
      </w:r>
      <w:r>
        <w:t xml:space="preserve">du </w:t>
      </w:r>
      <w:r w:rsidR="00F553DF">
        <w:t>ministère des objets internationaux</w:t>
      </w:r>
      <w:r>
        <w:t>, il est renvoyé au fournisseur et remplacé ou remboursé par le fournisseur.</w:t>
      </w:r>
    </w:p>
    <w:p w14:paraId="26F96769" w14:textId="77777777" w:rsidR="001A2E77" w:rsidRPr="00265F2A" w:rsidRDefault="001A2E77" w:rsidP="006050CD">
      <w:pPr>
        <w:autoSpaceDE w:val="0"/>
        <w:autoSpaceDN w:val="0"/>
        <w:adjustRightInd w:val="0"/>
        <w:spacing w:after="0" w:line="240" w:lineRule="auto"/>
        <w:rPr>
          <w:rFonts w:cs="TimesNewRomanPSMT"/>
        </w:rPr>
      </w:pPr>
    </w:p>
    <w:p w14:paraId="4900F418" w14:textId="77777777" w:rsidR="00B56096" w:rsidRPr="00265F2A" w:rsidRDefault="00B56096" w:rsidP="006050CD">
      <w:pPr>
        <w:autoSpaceDE w:val="0"/>
        <w:autoSpaceDN w:val="0"/>
        <w:adjustRightInd w:val="0"/>
        <w:spacing w:after="0" w:line="240" w:lineRule="auto"/>
        <w:rPr>
          <w:rFonts w:cs="TimesNewRomanPSMT"/>
        </w:rPr>
      </w:pPr>
    </w:p>
    <w:p w14:paraId="44A12B76" w14:textId="77777777" w:rsidR="00B56096" w:rsidRPr="00265F2A" w:rsidRDefault="00B56096" w:rsidP="006050CD">
      <w:pPr>
        <w:autoSpaceDE w:val="0"/>
        <w:autoSpaceDN w:val="0"/>
        <w:adjustRightInd w:val="0"/>
        <w:spacing w:after="0" w:line="240" w:lineRule="auto"/>
        <w:rPr>
          <w:rFonts w:cs="TimesNewRomanPSMT"/>
          <w:b/>
        </w:rPr>
      </w:pPr>
      <w:r>
        <w:rPr>
          <w:b/>
        </w:rPr>
        <w:t xml:space="preserve">7. Livraison </w:t>
      </w:r>
    </w:p>
    <w:p w14:paraId="760D3989" w14:textId="77777777" w:rsidR="00B56096" w:rsidRPr="00265F2A" w:rsidRDefault="00B56096" w:rsidP="006050CD">
      <w:pPr>
        <w:autoSpaceDE w:val="0"/>
        <w:autoSpaceDN w:val="0"/>
        <w:adjustRightInd w:val="0"/>
        <w:spacing w:after="0" w:line="240" w:lineRule="auto"/>
        <w:rPr>
          <w:rFonts w:cs="TimesNewRomanPSMT"/>
        </w:rPr>
      </w:pPr>
    </w:p>
    <w:p w14:paraId="74653DA5" w14:textId="77777777" w:rsidR="00AB062D" w:rsidRPr="00265F2A" w:rsidRDefault="00AB062D" w:rsidP="006050CD">
      <w:pPr>
        <w:autoSpaceDE w:val="0"/>
        <w:autoSpaceDN w:val="0"/>
        <w:adjustRightInd w:val="0"/>
        <w:spacing w:after="0" w:line="240" w:lineRule="auto"/>
        <w:rPr>
          <w:rFonts w:cs="TimesNewRomanPSMT"/>
        </w:rPr>
      </w:pPr>
      <w:r>
        <w:t>Livraison au plus tard le 31 mars 2019.</w:t>
      </w:r>
    </w:p>
    <w:p w14:paraId="6AFACCF6" w14:textId="77777777" w:rsidR="00AB062D" w:rsidRPr="00265F2A" w:rsidRDefault="00AB062D" w:rsidP="006050CD">
      <w:pPr>
        <w:autoSpaceDE w:val="0"/>
        <w:autoSpaceDN w:val="0"/>
        <w:adjustRightInd w:val="0"/>
        <w:spacing w:after="0" w:line="240" w:lineRule="auto"/>
        <w:rPr>
          <w:rFonts w:cs="TimesNewRomanPSMT"/>
        </w:rPr>
      </w:pPr>
      <w:r>
        <w:t>Point de livraison :</w:t>
      </w:r>
    </w:p>
    <w:p w14:paraId="3295FA78" w14:textId="3A50846D" w:rsidR="00CA2731" w:rsidRPr="00265F2A" w:rsidRDefault="00F553DF" w:rsidP="006050CD">
      <w:pPr>
        <w:autoSpaceDE w:val="0"/>
        <w:autoSpaceDN w:val="0"/>
        <w:adjustRightInd w:val="0"/>
        <w:spacing w:after="0" w:line="240" w:lineRule="auto"/>
        <w:rPr>
          <w:rFonts w:cs="TimesNewRomanPSMT"/>
        </w:rPr>
      </w:pPr>
      <w:r>
        <w:t>Ministère des objets internationaux</w:t>
      </w:r>
      <w:r w:rsidR="00AB062D">
        <w:t>, 9287</w:t>
      </w:r>
      <w:r w:rsidR="00AA4ED3">
        <w:t>, rue</w:t>
      </w:r>
      <w:r w:rsidR="00AB062D">
        <w:t xml:space="preserve"> </w:t>
      </w:r>
      <w:proofErr w:type="spellStart"/>
      <w:r w:rsidR="00AB062D">
        <w:t>Burrard</w:t>
      </w:r>
      <w:proofErr w:type="spellEnd"/>
      <w:r w:rsidR="00AA4ED3">
        <w:t>,</w:t>
      </w:r>
      <w:r w:rsidR="00AB062D">
        <w:t xml:space="preserve"> Vancouver (Colombie-Britannique) V9E 0P9</w:t>
      </w:r>
    </w:p>
    <w:p w14:paraId="3EB6A63C" w14:textId="77777777" w:rsidR="00945A5B" w:rsidRPr="00265F2A" w:rsidRDefault="00945A5B" w:rsidP="006050CD">
      <w:pPr>
        <w:autoSpaceDE w:val="0"/>
        <w:autoSpaceDN w:val="0"/>
        <w:adjustRightInd w:val="0"/>
        <w:spacing w:after="0" w:line="240" w:lineRule="auto"/>
        <w:rPr>
          <w:rFonts w:cs="TimesNewRomanPSMT"/>
        </w:rPr>
      </w:pPr>
    </w:p>
    <w:p w14:paraId="00142112" w14:textId="77777777" w:rsidR="00945A5B" w:rsidRPr="00265F2A" w:rsidRDefault="00945A5B" w:rsidP="006050CD">
      <w:pPr>
        <w:autoSpaceDE w:val="0"/>
        <w:autoSpaceDN w:val="0"/>
        <w:adjustRightInd w:val="0"/>
        <w:spacing w:after="0" w:line="240" w:lineRule="auto"/>
        <w:rPr>
          <w:rFonts w:cs="TimesNewRomanPSMT"/>
        </w:rPr>
      </w:pPr>
    </w:p>
    <w:p w14:paraId="1F4557C7" w14:textId="77777777" w:rsidR="00945A5B" w:rsidRPr="00265F2A" w:rsidRDefault="00945A5B" w:rsidP="006050CD">
      <w:pPr>
        <w:autoSpaceDE w:val="0"/>
        <w:autoSpaceDN w:val="0"/>
        <w:adjustRightInd w:val="0"/>
        <w:spacing w:after="0" w:line="240" w:lineRule="auto"/>
        <w:rPr>
          <w:rFonts w:cs="TimesNewRomanPSMT"/>
        </w:rPr>
      </w:pPr>
    </w:p>
    <w:p w14:paraId="42453587" w14:textId="77777777" w:rsidR="00945A5B" w:rsidRPr="00265F2A" w:rsidRDefault="00945A5B" w:rsidP="006050CD">
      <w:pPr>
        <w:autoSpaceDE w:val="0"/>
        <w:autoSpaceDN w:val="0"/>
        <w:adjustRightInd w:val="0"/>
        <w:spacing w:after="0" w:line="240" w:lineRule="auto"/>
        <w:rPr>
          <w:rFonts w:cs="TimesNewRomanPSMT"/>
        </w:rPr>
      </w:pPr>
    </w:p>
    <w:p w14:paraId="7423410D" w14:textId="77777777" w:rsidR="00945A5B" w:rsidRPr="00265F2A" w:rsidRDefault="00945A5B" w:rsidP="006050CD">
      <w:pPr>
        <w:autoSpaceDE w:val="0"/>
        <w:autoSpaceDN w:val="0"/>
        <w:adjustRightInd w:val="0"/>
        <w:spacing w:after="0" w:line="240" w:lineRule="auto"/>
        <w:rPr>
          <w:rFonts w:cs="TimesNewRomanPSMT"/>
        </w:rPr>
      </w:pPr>
    </w:p>
    <w:p w14:paraId="078374BB" w14:textId="77777777" w:rsidR="00945A5B" w:rsidRPr="00265F2A" w:rsidRDefault="00945A5B" w:rsidP="006050CD">
      <w:pPr>
        <w:autoSpaceDE w:val="0"/>
        <w:autoSpaceDN w:val="0"/>
        <w:adjustRightInd w:val="0"/>
        <w:spacing w:after="0" w:line="240" w:lineRule="auto"/>
        <w:rPr>
          <w:rFonts w:cs="TimesNewRomanPSMT"/>
        </w:rPr>
      </w:pPr>
    </w:p>
    <w:p w14:paraId="5921D7B7" w14:textId="77777777" w:rsidR="00945A5B" w:rsidRPr="00265F2A" w:rsidRDefault="00945A5B" w:rsidP="006050CD">
      <w:pPr>
        <w:autoSpaceDE w:val="0"/>
        <w:autoSpaceDN w:val="0"/>
        <w:adjustRightInd w:val="0"/>
        <w:spacing w:after="0" w:line="240" w:lineRule="auto"/>
        <w:rPr>
          <w:rFonts w:cs="TimesNewRomanPSMT"/>
        </w:rPr>
      </w:pPr>
    </w:p>
    <w:p w14:paraId="025D60A6" w14:textId="77777777" w:rsidR="00945A5B" w:rsidRPr="00265F2A" w:rsidRDefault="00945A5B" w:rsidP="006050CD">
      <w:pPr>
        <w:autoSpaceDE w:val="0"/>
        <w:autoSpaceDN w:val="0"/>
        <w:adjustRightInd w:val="0"/>
        <w:spacing w:after="0" w:line="240" w:lineRule="auto"/>
        <w:rPr>
          <w:rFonts w:cs="TimesNewRomanPSMT"/>
        </w:rPr>
      </w:pPr>
    </w:p>
    <w:p w14:paraId="535179A0" w14:textId="77777777" w:rsidR="00945A5B" w:rsidRPr="00265F2A" w:rsidRDefault="00945A5B" w:rsidP="006050CD">
      <w:pPr>
        <w:autoSpaceDE w:val="0"/>
        <w:autoSpaceDN w:val="0"/>
        <w:adjustRightInd w:val="0"/>
        <w:spacing w:after="0" w:line="240" w:lineRule="auto"/>
        <w:rPr>
          <w:rFonts w:cs="TimesNewRomanPSMT"/>
        </w:rPr>
      </w:pPr>
    </w:p>
    <w:p w14:paraId="77B3C73D" w14:textId="77777777" w:rsidR="00945A5B" w:rsidRPr="00265F2A" w:rsidRDefault="00945A5B" w:rsidP="006050CD">
      <w:pPr>
        <w:autoSpaceDE w:val="0"/>
        <w:autoSpaceDN w:val="0"/>
        <w:adjustRightInd w:val="0"/>
        <w:spacing w:after="0" w:line="240" w:lineRule="auto"/>
        <w:rPr>
          <w:rFonts w:cs="TimesNewRomanPSMT"/>
        </w:rPr>
      </w:pPr>
    </w:p>
    <w:p w14:paraId="46EF7761" w14:textId="77777777" w:rsidR="00945A5B" w:rsidRPr="00265F2A" w:rsidRDefault="00945A5B" w:rsidP="006050CD">
      <w:pPr>
        <w:autoSpaceDE w:val="0"/>
        <w:autoSpaceDN w:val="0"/>
        <w:adjustRightInd w:val="0"/>
        <w:spacing w:after="0" w:line="240" w:lineRule="auto"/>
        <w:rPr>
          <w:rFonts w:cs="TimesNewRomanPSMT"/>
        </w:rPr>
      </w:pPr>
    </w:p>
    <w:p w14:paraId="6BC3A6C4" w14:textId="77777777" w:rsidR="00945A5B" w:rsidRPr="00265F2A" w:rsidRDefault="00945A5B" w:rsidP="006050CD">
      <w:pPr>
        <w:autoSpaceDE w:val="0"/>
        <w:autoSpaceDN w:val="0"/>
        <w:adjustRightInd w:val="0"/>
        <w:spacing w:after="0" w:line="240" w:lineRule="auto"/>
        <w:rPr>
          <w:rFonts w:cs="TimesNewRomanPSMT"/>
        </w:rPr>
      </w:pPr>
    </w:p>
    <w:p w14:paraId="4BE1A7EF" w14:textId="77777777" w:rsidR="00945A5B" w:rsidRPr="00265F2A" w:rsidRDefault="00945A5B" w:rsidP="006050CD">
      <w:pPr>
        <w:autoSpaceDE w:val="0"/>
        <w:autoSpaceDN w:val="0"/>
        <w:adjustRightInd w:val="0"/>
        <w:spacing w:after="0" w:line="240" w:lineRule="auto"/>
        <w:rPr>
          <w:rFonts w:cs="TimesNewRomanPSMT"/>
        </w:rPr>
      </w:pPr>
    </w:p>
    <w:p w14:paraId="2AF46A0C" w14:textId="77777777" w:rsidR="00945A5B" w:rsidRPr="00265F2A" w:rsidRDefault="00945A5B" w:rsidP="006050CD">
      <w:pPr>
        <w:autoSpaceDE w:val="0"/>
        <w:autoSpaceDN w:val="0"/>
        <w:adjustRightInd w:val="0"/>
        <w:spacing w:after="0" w:line="240" w:lineRule="auto"/>
        <w:rPr>
          <w:rFonts w:cs="TimesNewRomanPSMT"/>
        </w:rPr>
      </w:pPr>
    </w:p>
    <w:p w14:paraId="7D950940" w14:textId="77777777" w:rsidR="00945A5B" w:rsidRPr="00265F2A" w:rsidRDefault="00945A5B" w:rsidP="006050CD">
      <w:pPr>
        <w:autoSpaceDE w:val="0"/>
        <w:autoSpaceDN w:val="0"/>
        <w:adjustRightInd w:val="0"/>
        <w:spacing w:after="0" w:line="240" w:lineRule="auto"/>
        <w:rPr>
          <w:rFonts w:cs="TimesNewRomanPSMT"/>
        </w:rPr>
      </w:pPr>
    </w:p>
    <w:p w14:paraId="5990D39C" w14:textId="77777777" w:rsidR="00945A5B" w:rsidRPr="00265F2A" w:rsidRDefault="00945A5B" w:rsidP="006050CD">
      <w:pPr>
        <w:autoSpaceDE w:val="0"/>
        <w:autoSpaceDN w:val="0"/>
        <w:adjustRightInd w:val="0"/>
        <w:spacing w:after="0" w:line="240" w:lineRule="auto"/>
        <w:rPr>
          <w:rFonts w:cs="TimesNewRomanPSMT"/>
        </w:rPr>
      </w:pPr>
    </w:p>
    <w:p w14:paraId="2412EF26" w14:textId="77777777" w:rsidR="00945A5B" w:rsidRPr="00265F2A" w:rsidRDefault="00945A5B" w:rsidP="006050CD">
      <w:pPr>
        <w:autoSpaceDE w:val="0"/>
        <w:autoSpaceDN w:val="0"/>
        <w:adjustRightInd w:val="0"/>
        <w:spacing w:after="0" w:line="240" w:lineRule="auto"/>
        <w:rPr>
          <w:rFonts w:cs="TimesNewRomanPSMT"/>
        </w:rPr>
      </w:pPr>
    </w:p>
    <w:p w14:paraId="056D58BA" w14:textId="77777777" w:rsidR="00945A5B" w:rsidRPr="00265F2A" w:rsidRDefault="00945A5B" w:rsidP="006050CD">
      <w:pPr>
        <w:autoSpaceDE w:val="0"/>
        <w:autoSpaceDN w:val="0"/>
        <w:adjustRightInd w:val="0"/>
        <w:spacing w:after="0" w:line="240" w:lineRule="auto"/>
        <w:rPr>
          <w:rFonts w:cs="TimesNewRomanPSMT"/>
        </w:rPr>
      </w:pPr>
    </w:p>
    <w:p w14:paraId="4EF19BD4" w14:textId="77777777" w:rsidR="00945A5B" w:rsidRPr="00265F2A" w:rsidRDefault="00945A5B" w:rsidP="006050CD">
      <w:pPr>
        <w:autoSpaceDE w:val="0"/>
        <w:autoSpaceDN w:val="0"/>
        <w:adjustRightInd w:val="0"/>
        <w:spacing w:after="0" w:line="240" w:lineRule="auto"/>
        <w:rPr>
          <w:rFonts w:cs="TimesNewRomanPSMT"/>
        </w:rPr>
      </w:pPr>
    </w:p>
    <w:p w14:paraId="25F40010" w14:textId="77777777" w:rsidR="00945A5B" w:rsidRPr="00265F2A" w:rsidRDefault="00945A5B" w:rsidP="006050CD">
      <w:pPr>
        <w:autoSpaceDE w:val="0"/>
        <w:autoSpaceDN w:val="0"/>
        <w:adjustRightInd w:val="0"/>
        <w:spacing w:after="0" w:line="240" w:lineRule="auto"/>
        <w:rPr>
          <w:rFonts w:cs="TimesNewRomanPSMT"/>
        </w:rPr>
      </w:pPr>
    </w:p>
    <w:p w14:paraId="1CB33CCF" w14:textId="77777777" w:rsidR="00945A5B" w:rsidRPr="00265F2A" w:rsidRDefault="00945A5B" w:rsidP="006050CD">
      <w:pPr>
        <w:autoSpaceDE w:val="0"/>
        <w:autoSpaceDN w:val="0"/>
        <w:adjustRightInd w:val="0"/>
        <w:spacing w:after="0" w:line="240" w:lineRule="auto"/>
        <w:rPr>
          <w:rFonts w:cs="TimesNewRomanPSMT"/>
        </w:rPr>
      </w:pPr>
    </w:p>
    <w:p w14:paraId="23308042" w14:textId="77777777" w:rsidR="00945A5B" w:rsidRPr="00265F2A" w:rsidRDefault="00945A5B" w:rsidP="006050CD">
      <w:pPr>
        <w:autoSpaceDE w:val="0"/>
        <w:autoSpaceDN w:val="0"/>
        <w:adjustRightInd w:val="0"/>
        <w:spacing w:after="0" w:line="240" w:lineRule="auto"/>
        <w:rPr>
          <w:rFonts w:cs="TimesNewRomanPSMT"/>
        </w:rPr>
      </w:pPr>
    </w:p>
    <w:p w14:paraId="16B51A27" w14:textId="77777777" w:rsidR="00945A5B" w:rsidRPr="00265F2A" w:rsidRDefault="00945A5B" w:rsidP="006050CD">
      <w:pPr>
        <w:autoSpaceDE w:val="0"/>
        <w:autoSpaceDN w:val="0"/>
        <w:adjustRightInd w:val="0"/>
        <w:spacing w:after="0" w:line="240" w:lineRule="auto"/>
        <w:rPr>
          <w:rFonts w:cs="TimesNewRomanPSMT"/>
        </w:rPr>
      </w:pPr>
    </w:p>
    <w:p w14:paraId="3CB90A28" w14:textId="77777777" w:rsidR="00945A5B" w:rsidRPr="00265F2A" w:rsidRDefault="00945A5B" w:rsidP="006050CD">
      <w:pPr>
        <w:autoSpaceDE w:val="0"/>
        <w:autoSpaceDN w:val="0"/>
        <w:adjustRightInd w:val="0"/>
        <w:spacing w:after="0" w:line="240" w:lineRule="auto"/>
        <w:rPr>
          <w:rFonts w:cs="TimesNewRomanPSMT"/>
        </w:rPr>
      </w:pPr>
    </w:p>
    <w:p w14:paraId="21C77F05" w14:textId="77777777" w:rsidR="00945A5B" w:rsidRPr="00265F2A" w:rsidRDefault="00945A5B" w:rsidP="006050CD">
      <w:pPr>
        <w:autoSpaceDE w:val="0"/>
        <w:autoSpaceDN w:val="0"/>
        <w:adjustRightInd w:val="0"/>
        <w:spacing w:after="0" w:line="240" w:lineRule="auto"/>
        <w:rPr>
          <w:rFonts w:cs="TimesNewRomanPSMT"/>
        </w:rPr>
      </w:pPr>
    </w:p>
    <w:p w14:paraId="7D609829" w14:textId="77777777" w:rsidR="00945A5B" w:rsidRPr="00265F2A" w:rsidRDefault="00945A5B" w:rsidP="006050CD">
      <w:pPr>
        <w:autoSpaceDE w:val="0"/>
        <w:autoSpaceDN w:val="0"/>
        <w:adjustRightInd w:val="0"/>
        <w:spacing w:after="0" w:line="240" w:lineRule="auto"/>
        <w:rPr>
          <w:rFonts w:cs="TimesNewRomanPSMT"/>
        </w:rPr>
      </w:pPr>
    </w:p>
    <w:p w14:paraId="7DBA69AE" w14:textId="77777777" w:rsidR="00945A5B" w:rsidRPr="00265F2A" w:rsidRDefault="00945A5B" w:rsidP="006050CD">
      <w:pPr>
        <w:autoSpaceDE w:val="0"/>
        <w:autoSpaceDN w:val="0"/>
        <w:adjustRightInd w:val="0"/>
        <w:spacing w:after="0" w:line="240" w:lineRule="auto"/>
        <w:rPr>
          <w:rFonts w:cs="TimesNewRomanPSMT"/>
        </w:rPr>
      </w:pPr>
    </w:p>
    <w:p w14:paraId="73754419" w14:textId="77777777" w:rsidR="00945A5B" w:rsidRPr="00265F2A" w:rsidRDefault="00945A5B" w:rsidP="006050CD">
      <w:pPr>
        <w:autoSpaceDE w:val="0"/>
        <w:autoSpaceDN w:val="0"/>
        <w:adjustRightInd w:val="0"/>
        <w:spacing w:after="0" w:line="240" w:lineRule="auto"/>
        <w:rPr>
          <w:rFonts w:cs="TimesNewRomanPSMT"/>
        </w:rPr>
      </w:pPr>
    </w:p>
    <w:p w14:paraId="74C27814" w14:textId="77777777" w:rsidR="00945A5B" w:rsidRPr="00265F2A" w:rsidRDefault="00945A5B" w:rsidP="006050CD">
      <w:pPr>
        <w:autoSpaceDE w:val="0"/>
        <w:autoSpaceDN w:val="0"/>
        <w:adjustRightInd w:val="0"/>
        <w:spacing w:after="0" w:line="240" w:lineRule="auto"/>
        <w:rPr>
          <w:rFonts w:cs="TimesNewRomanPSMT"/>
        </w:rPr>
      </w:pPr>
    </w:p>
    <w:p w14:paraId="638580FD" w14:textId="77777777" w:rsidR="00945A5B" w:rsidRPr="00265F2A" w:rsidRDefault="00945A5B" w:rsidP="006050CD">
      <w:pPr>
        <w:autoSpaceDE w:val="0"/>
        <w:autoSpaceDN w:val="0"/>
        <w:adjustRightInd w:val="0"/>
        <w:spacing w:after="0" w:line="240" w:lineRule="auto"/>
        <w:rPr>
          <w:rFonts w:cs="TimesNewRomanPSMT"/>
        </w:rPr>
      </w:pPr>
    </w:p>
    <w:p w14:paraId="13B24F24" w14:textId="77777777" w:rsidR="00945A5B" w:rsidRPr="00265F2A" w:rsidRDefault="00945A5B" w:rsidP="006050CD">
      <w:pPr>
        <w:autoSpaceDE w:val="0"/>
        <w:autoSpaceDN w:val="0"/>
        <w:adjustRightInd w:val="0"/>
        <w:spacing w:after="0" w:line="240" w:lineRule="auto"/>
        <w:rPr>
          <w:rFonts w:cs="TimesNewRomanPSMT"/>
        </w:rPr>
      </w:pPr>
    </w:p>
    <w:p w14:paraId="3A92DAC4" w14:textId="77777777" w:rsidR="00945A5B" w:rsidRPr="00265F2A" w:rsidRDefault="00945A5B" w:rsidP="006050CD">
      <w:pPr>
        <w:autoSpaceDE w:val="0"/>
        <w:autoSpaceDN w:val="0"/>
        <w:adjustRightInd w:val="0"/>
        <w:spacing w:after="0" w:line="240" w:lineRule="auto"/>
        <w:rPr>
          <w:rFonts w:cs="TimesNewRomanPSMT"/>
        </w:rPr>
      </w:pPr>
    </w:p>
    <w:p w14:paraId="2EDF5E02" w14:textId="77777777" w:rsidR="00945A5B" w:rsidRPr="00265F2A" w:rsidRDefault="00945A5B" w:rsidP="006050CD">
      <w:pPr>
        <w:autoSpaceDE w:val="0"/>
        <w:autoSpaceDN w:val="0"/>
        <w:adjustRightInd w:val="0"/>
        <w:spacing w:after="0" w:line="240" w:lineRule="auto"/>
        <w:rPr>
          <w:rFonts w:cs="TimesNewRomanPSMT"/>
        </w:rPr>
      </w:pPr>
    </w:p>
    <w:p w14:paraId="4A262D2C" w14:textId="77777777" w:rsidR="00945A5B" w:rsidRPr="00265F2A" w:rsidRDefault="00945A5B" w:rsidP="006050CD">
      <w:pPr>
        <w:autoSpaceDE w:val="0"/>
        <w:autoSpaceDN w:val="0"/>
        <w:adjustRightInd w:val="0"/>
        <w:spacing w:after="0" w:line="240" w:lineRule="auto"/>
        <w:rPr>
          <w:rFonts w:cs="TimesNewRomanPSMT"/>
        </w:rPr>
      </w:pPr>
    </w:p>
    <w:p w14:paraId="359FBE89" w14:textId="77777777" w:rsidR="00945A5B" w:rsidRPr="00265F2A" w:rsidRDefault="00945A5B" w:rsidP="006050CD">
      <w:pPr>
        <w:autoSpaceDE w:val="0"/>
        <w:autoSpaceDN w:val="0"/>
        <w:adjustRightInd w:val="0"/>
        <w:spacing w:after="0" w:line="240" w:lineRule="auto"/>
        <w:rPr>
          <w:rFonts w:cs="TimesNewRomanPSMT"/>
        </w:rPr>
      </w:pPr>
    </w:p>
    <w:p w14:paraId="4C5D6788" w14:textId="77777777" w:rsidR="00945A5B" w:rsidRPr="00265F2A" w:rsidRDefault="00945A5B" w:rsidP="006050CD">
      <w:pPr>
        <w:autoSpaceDE w:val="0"/>
        <w:autoSpaceDN w:val="0"/>
        <w:adjustRightInd w:val="0"/>
        <w:spacing w:after="0" w:line="240" w:lineRule="auto"/>
        <w:rPr>
          <w:rFonts w:cs="TimesNewRomanPSMT"/>
        </w:rPr>
      </w:pPr>
    </w:p>
    <w:p w14:paraId="3659BD79" w14:textId="77777777" w:rsidR="00945A5B" w:rsidRPr="00265F2A" w:rsidRDefault="00945A5B" w:rsidP="006050CD">
      <w:pPr>
        <w:autoSpaceDE w:val="0"/>
        <w:autoSpaceDN w:val="0"/>
        <w:adjustRightInd w:val="0"/>
        <w:spacing w:after="0" w:line="240" w:lineRule="auto"/>
        <w:rPr>
          <w:rFonts w:cs="TimesNewRomanPSMT"/>
        </w:rPr>
      </w:pPr>
    </w:p>
    <w:p w14:paraId="2BC6A878" w14:textId="77777777" w:rsidR="00945A5B" w:rsidRPr="00265F2A" w:rsidRDefault="00945A5B" w:rsidP="006050CD">
      <w:pPr>
        <w:autoSpaceDE w:val="0"/>
        <w:autoSpaceDN w:val="0"/>
        <w:adjustRightInd w:val="0"/>
        <w:spacing w:after="0" w:line="240" w:lineRule="auto"/>
        <w:rPr>
          <w:rFonts w:cs="TimesNewRomanPSMT"/>
        </w:rPr>
      </w:pPr>
    </w:p>
    <w:p w14:paraId="7F39D171" w14:textId="77777777" w:rsidR="00945A5B" w:rsidRPr="00265F2A" w:rsidRDefault="00945A5B" w:rsidP="006050CD">
      <w:pPr>
        <w:autoSpaceDE w:val="0"/>
        <w:autoSpaceDN w:val="0"/>
        <w:adjustRightInd w:val="0"/>
        <w:spacing w:after="0" w:line="240" w:lineRule="auto"/>
        <w:rPr>
          <w:rFonts w:cs="TimesNewRomanPSMT"/>
        </w:rPr>
      </w:pPr>
    </w:p>
    <w:p w14:paraId="6824D1B0" w14:textId="77777777" w:rsidR="00945A5B" w:rsidRPr="00265F2A" w:rsidRDefault="00945A5B" w:rsidP="006050CD">
      <w:pPr>
        <w:autoSpaceDE w:val="0"/>
        <w:autoSpaceDN w:val="0"/>
        <w:adjustRightInd w:val="0"/>
        <w:spacing w:after="0" w:line="240" w:lineRule="auto"/>
        <w:rPr>
          <w:rFonts w:cs="TimesNewRomanPSMT"/>
        </w:rPr>
      </w:pPr>
    </w:p>
    <w:p w14:paraId="678D2DAB" w14:textId="77777777" w:rsidR="00945A5B" w:rsidRPr="00265F2A" w:rsidRDefault="00945A5B" w:rsidP="006050CD">
      <w:pPr>
        <w:autoSpaceDE w:val="0"/>
        <w:autoSpaceDN w:val="0"/>
        <w:adjustRightInd w:val="0"/>
        <w:spacing w:after="0" w:line="240" w:lineRule="auto"/>
        <w:rPr>
          <w:rFonts w:cs="TimesNewRomanPSMT"/>
        </w:rPr>
      </w:pPr>
    </w:p>
    <w:p w14:paraId="2E1DE611" w14:textId="77777777" w:rsidR="00945A5B" w:rsidRPr="00265F2A" w:rsidRDefault="00945A5B" w:rsidP="006050CD">
      <w:pPr>
        <w:autoSpaceDE w:val="0"/>
        <w:autoSpaceDN w:val="0"/>
        <w:adjustRightInd w:val="0"/>
        <w:spacing w:after="0" w:line="240" w:lineRule="auto"/>
        <w:rPr>
          <w:rFonts w:cs="TimesNewRomanPSMT"/>
        </w:rPr>
      </w:pPr>
    </w:p>
    <w:p w14:paraId="4C0FF80F" w14:textId="77777777" w:rsidR="00945A5B" w:rsidRPr="00265F2A" w:rsidRDefault="00945A5B" w:rsidP="006050CD">
      <w:pPr>
        <w:autoSpaceDE w:val="0"/>
        <w:autoSpaceDN w:val="0"/>
        <w:adjustRightInd w:val="0"/>
        <w:spacing w:after="0" w:line="240" w:lineRule="auto"/>
        <w:rPr>
          <w:rFonts w:cs="TimesNewRomanPSMT"/>
        </w:rPr>
      </w:pPr>
    </w:p>
    <w:p w14:paraId="1BAC4825" w14:textId="77777777" w:rsidR="00945A5B" w:rsidRPr="00265F2A" w:rsidRDefault="00945A5B" w:rsidP="00945A5B">
      <w:pPr>
        <w:rPr>
          <w:b/>
        </w:rPr>
      </w:pPr>
      <w:r>
        <w:rPr>
          <w:b/>
        </w:rPr>
        <w:t xml:space="preserve">ANNEXE C </w:t>
      </w:r>
    </w:p>
    <w:p w14:paraId="3B586E1C" w14:textId="288A7862" w:rsidR="00945A5B" w:rsidRPr="00265F2A" w:rsidRDefault="00945A5B" w:rsidP="00945A5B">
      <w:pPr>
        <w:rPr>
          <w:b/>
        </w:rPr>
      </w:pPr>
      <w:r>
        <w:rPr>
          <w:b/>
        </w:rPr>
        <w:t>Critères d</w:t>
      </w:r>
      <w:r w:rsidR="00445FFF">
        <w:rPr>
          <w:b/>
        </w:rPr>
        <w:t>’</w:t>
      </w:r>
      <w:r>
        <w:rPr>
          <w:b/>
        </w:rPr>
        <w:t xml:space="preserve">évaluation </w:t>
      </w:r>
    </w:p>
    <w:p w14:paraId="3B315BE0" w14:textId="77777777" w:rsidR="0055188B" w:rsidRDefault="0055188B" w:rsidP="0055188B">
      <w:r>
        <w:t>Chaque soumission fera l’objet d’un examen pour en déterminer la conformité aux exigences obligatoires de la demande de soumissions. Tous les critères de la demande de soumissions qui contiennent les termes « doit », « doivent » ou « obligatoire » constituent des exigences obligatoires. Les soumissions qui ne sont pas conformes à chacune des exigences obligatoires seront déclarées non recevables et rejetées.</w:t>
      </w:r>
    </w:p>
    <w:p w14:paraId="6CF58FE3" w14:textId="6F9E7903" w:rsidR="00945A5B" w:rsidRPr="00265F2A" w:rsidRDefault="0055188B" w:rsidP="0055188B">
      <w:r>
        <w:t>Pour chacun des critères techniques obligatoires, le soumissionnaire doit indiquer, en cochant les cases appropriées dans le tableau ci-dessous, si le chien proposé est conforme ou non. Une soumission qui ne satisfait pas à TOUS les critères obligatoires sera jugée non conforme et la soumission sera rejetée d’emblée.</w:t>
      </w:r>
    </w:p>
    <w:p w14:paraId="239DE9A8" w14:textId="1EE3C4F9" w:rsidR="00945A5B" w:rsidRPr="00265F2A" w:rsidRDefault="00945A5B" w:rsidP="00945A5B">
      <w:pPr>
        <w:rPr>
          <w:b/>
        </w:rPr>
      </w:pPr>
      <w:r>
        <w:rPr>
          <w:b/>
        </w:rPr>
        <w:t xml:space="preserve">1. Évaluation des critères techniques obligatoires </w:t>
      </w:r>
    </w:p>
    <w:p w14:paraId="7C19A4F9" w14:textId="28726E73" w:rsidR="00945A5B" w:rsidRPr="00265F2A" w:rsidRDefault="00945A5B" w:rsidP="00945A5B">
      <w:r>
        <w:t xml:space="preserve">Le </w:t>
      </w:r>
      <w:r w:rsidR="00F553DF">
        <w:t>ministère des objets internationaux</w:t>
      </w:r>
      <w:r>
        <w:t xml:space="preserve"> achètera 25 chiens pour répondre à ce</w:t>
      </w:r>
      <w:r w:rsidR="00E445D1">
        <w:t xml:space="preserve"> besoin</w:t>
      </w:r>
      <w:r>
        <w:t>. Les chiens proposés doivent répondre aux critères suivants :</w:t>
      </w:r>
    </w:p>
    <w:tbl>
      <w:tblPr>
        <w:tblStyle w:val="TableGrid"/>
        <w:tblW w:w="0" w:type="auto"/>
        <w:tblLook w:val="04A0" w:firstRow="1" w:lastRow="0" w:firstColumn="1" w:lastColumn="0" w:noHBand="0" w:noVBand="1"/>
      </w:tblPr>
      <w:tblGrid>
        <w:gridCol w:w="1760"/>
        <w:gridCol w:w="1791"/>
        <w:gridCol w:w="1782"/>
        <w:gridCol w:w="1781"/>
        <w:gridCol w:w="2236"/>
      </w:tblGrid>
      <w:tr w:rsidR="00945A5B" w:rsidRPr="00265F2A" w14:paraId="2EF3142D" w14:textId="77777777" w:rsidTr="00E467CC">
        <w:tc>
          <w:tcPr>
            <w:tcW w:w="9350" w:type="dxa"/>
            <w:gridSpan w:val="5"/>
          </w:tcPr>
          <w:p w14:paraId="7EDAE794" w14:textId="77777777" w:rsidR="00945A5B" w:rsidRPr="00265F2A" w:rsidRDefault="00945A5B" w:rsidP="00E467CC">
            <w:pPr>
              <w:jc w:val="center"/>
              <w:rPr>
                <w:b/>
              </w:rPr>
            </w:pPr>
            <w:r>
              <w:rPr>
                <w:b/>
              </w:rPr>
              <w:t>Critères techniques obligatoires</w:t>
            </w:r>
          </w:p>
        </w:tc>
      </w:tr>
      <w:tr w:rsidR="00945A5B" w:rsidRPr="00265F2A" w14:paraId="61E8318F" w14:textId="77777777" w:rsidTr="00E467CC">
        <w:tc>
          <w:tcPr>
            <w:tcW w:w="1761" w:type="dxa"/>
          </w:tcPr>
          <w:p w14:paraId="3E59BC1E" w14:textId="75CE0D1D" w:rsidR="00945A5B" w:rsidRPr="00265F2A" w:rsidRDefault="00945A5B" w:rsidP="00E445D1">
            <w:pPr>
              <w:rPr>
                <w:b/>
              </w:rPr>
            </w:pPr>
            <w:r>
              <w:rPr>
                <w:b/>
              </w:rPr>
              <w:t>N</w:t>
            </w:r>
            <w:r w:rsidR="00E445D1">
              <w:rPr>
                <w:b/>
              </w:rPr>
              <w:t>uméro</w:t>
            </w:r>
          </w:p>
        </w:tc>
        <w:tc>
          <w:tcPr>
            <w:tcW w:w="1791" w:type="dxa"/>
          </w:tcPr>
          <w:p w14:paraId="1392A677" w14:textId="77777777" w:rsidR="00945A5B" w:rsidRPr="00265F2A" w:rsidRDefault="00945A5B" w:rsidP="00E467CC">
            <w:pPr>
              <w:jc w:val="center"/>
              <w:rPr>
                <w:b/>
              </w:rPr>
            </w:pPr>
            <w:r>
              <w:rPr>
                <w:b/>
              </w:rPr>
              <w:t>Critère technique obligatoire</w:t>
            </w:r>
          </w:p>
        </w:tc>
        <w:tc>
          <w:tcPr>
            <w:tcW w:w="1782" w:type="dxa"/>
          </w:tcPr>
          <w:p w14:paraId="7C08D55B" w14:textId="77777777" w:rsidR="00945A5B" w:rsidRPr="00265F2A" w:rsidRDefault="00945A5B" w:rsidP="00E467CC">
            <w:pPr>
              <w:jc w:val="center"/>
              <w:rPr>
                <w:b/>
              </w:rPr>
            </w:pPr>
            <w:r>
              <w:rPr>
                <w:b/>
              </w:rPr>
              <w:t>Conforme</w:t>
            </w:r>
          </w:p>
        </w:tc>
        <w:tc>
          <w:tcPr>
            <w:tcW w:w="1782" w:type="dxa"/>
          </w:tcPr>
          <w:p w14:paraId="79EDF1C0" w14:textId="77777777" w:rsidR="00945A5B" w:rsidRPr="00265F2A" w:rsidRDefault="00945A5B" w:rsidP="00E467CC">
            <w:pPr>
              <w:jc w:val="center"/>
              <w:rPr>
                <w:b/>
              </w:rPr>
            </w:pPr>
            <w:r>
              <w:rPr>
                <w:b/>
              </w:rPr>
              <w:t>Non conforme</w:t>
            </w:r>
          </w:p>
        </w:tc>
        <w:tc>
          <w:tcPr>
            <w:tcW w:w="2234" w:type="dxa"/>
          </w:tcPr>
          <w:p w14:paraId="38604FF5" w14:textId="77777777" w:rsidR="00945A5B" w:rsidRPr="00265F2A" w:rsidRDefault="00945A5B" w:rsidP="00E467CC">
            <w:pPr>
              <w:jc w:val="center"/>
              <w:rPr>
                <w:b/>
              </w:rPr>
            </w:pPr>
            <w:r>
              <w:rPr>
                <w:b/>
              </w:rPr>
              <w:t>Description/référence</w:t>
            </w:r>
          </w:p>
        </w:tc>
      </w:tr>
      <w:tr w:rsidR="00945A5B" w:rsidRPr="00265F2A" w14:paraId="021202A8" w14:textId="77777777" w:rsidTr="00E467CC">
        <w:tc>
          <w:tcPr>
            <w:tcW w:w="1761" w:type="dxa"/>
          </w:tcPr>
          <w:p w14:paraId="23C226B3" w14:textId="77777777" w:rsidR="00945A5B" w:rsidRPr="00265F2A" w:rsidRDefault="00945A5B" w:rsidP="00E467CC">
            <w:r>
              <w:t>1.1</w:t>
            </w:r>
          </w:p>
        </w:tc>
        <w:tc>
          <w:tcPr>
            <w:tcW w:w="1791" w:type="dxa"/>
          </w:tcPr>
          <w:p w14:paraId="6A535C25" w14:textId="3C3EB1C0" w:rsidR="00945A5B" w:rsidRPr="00265F2A" w:rsidRDefault="00E445D1" w:rsidP="00E445D1">
            <w:r>
              <w:t>Race : b</w:t>
            </w:r>
            <w:r w:rsidR="00945A5B">
              <w:t>erger allemand</w:t>
            </w:r>
          </w:p>
        </w:tc>
        <w:tc>
          <w:tcPr>
            <w:tcW w:w="1782" w:type="dxa"/>
          </w:tcPr>
          <w:p w14:paraId="1B02DD59" w14:textId="77777777" w:rsidR="00945A5B" w:rsidRPr="00265F2A" w:rsidRDefault="00945A5B" w:rsidP="00E467CC"/>
        </w:tc>
        <w:tc>
          <w:tcPr>
            <w:tcW w:w="1782" w:type="dxa"/>
          </w:tcPr>
          <w:p w14:paraId="57F25401" w14:textId="77777777" w:rsidR="00945A5B" w:rsidRPr="00265F2A" w:rsidRDefault="00945A5B" w:rsidP="00E467CC"/>
        </w:tc>
        <w:tc>
          <w:tcPr>
            <w:tcW w:w="2234" w:type="dxa"/>
          </w:tcPr>
          <w:p w14:paraId="068D9ECE" w14:textId="77777777" w:rsidR="00945A5B" w:rsidRPr="00265F2A" w:rsidRDefault="00945A5B" w:rsidP="00E467CC"/>
        </w:tc>
      </w:tr>
      <w:tr w:rsidR="00945A5B" w:rsidRPr="00265F2A" w14:paraId="7D1B83C6" w14:textId="77777777" w:rsidTr="00E467CC">
        <w:tc>
          <w:tcPr>
            <w:tcW w:w="1761" w:type="dxa"/>
          </w:tcPr>
          <w:p w14:paraId="07FC94E4" w14:textId="77777777" w:rsidR="00945A5B" w:rsidRPr="00265F2A" w:rsidRDefault="00945A5B" w:rsidP="00E467CC">
            <w:r>
              <w:t>1.2</w:t>
            </w:r>
          </w:p>
        </w:tc>
        <w:tc>
          <w:tcPr>
            <w:tcW w:w="1791" w:type="dxa"/>
          </w:tcPr>
          <w:p w14:paraId="7FE8A899" w14:textId="77777777" w:rsidR="00945A5B" w:rsidRPr="00265F2A" w:rsidRDefault="00945A5B" w:rsidP="00E467CC">
            <w:r>
              <w:t xml:space="preserve">Âge compris entre 10 et 24 mois </w:t>
            </w:r>
          </w:p>
        </w:tc>
        <w:tc>
          <w:tcPr>
            <w:tcW w:w="1782" w:type="dxa"/>
          </w:tcPr>
          <w:p w14:paraId="1B98E824" w14:textId="77777777" w:rsidR="00945A5B" w:rsidRPr="00265F2A" w:rsidRDefault="00945A5B" w:rsidP="00E467CC"/>
        </w:tc>
        <w:tc>
          <w:tcPr>
            <w:tcW w:w="1782" w:type="dxa"/>
          </w:tcPr>
          <w:p w14:paraId="540E6D4A" w14:textId="77777777" w:rsidR="00945A5B" w:rsidRPr="00265F2A" w:rsidRDefault="00945A5B" w:rsidP="00E467CC"/>
        </w:tc>
        <w:tc>
          <w:tcPr>
            <w:tcW w:w="2234" w:type="dxa"/>
          </w:tcPr>
          <w:p w14:paraId="4883A346" w14:textId="77777777" w:rsidR="00945A5B" w:rsidRPr="00265F2A" w:rsidRDefault="00945A5B" w:rsidP="00E467CC"/>
        </w:tc>
      </w:tr>
      <w:tr w:rsidR="00945A5B" w:rsidRPr="00265F2A" w14:paraId="6ADDA408" w14:textId="77777777" w:rsidTr="00E467CC">
        <w:tc>
          <w:tcPr>
            <w:tcW w:w="1761" w:type="dxa"/>
          </w:tcPr>
          <w:p w14:paraId="239B50D9" w14:textId="77777777" w:rsidR="00945A5B" w:rsidRPr="00265F2A" w:rsidRDefault="00945A5B" w:rsidP="00E467CC">
            <w:r>
              <w:t>1.3</w:t>
            </w:r>
          </w:p>
        </w:tc>
        <w:tc>
          <w:tcPr>
            <w:tcW w:w="1791" w:type="dxa"/>
          </w:tcPr>
          <w:p w14:paraId="18794982" w14:textId="4C35DAAE" w:rsidR="00945A5B" w:rsidRPr="00265F2A" w:rsidRDefault="00945A5B" w:rsidP="00E445D1">
            <w:r>
              <w:t xml:space="preserve">Poids compris entre 15 et 40 kg </w:t>
            </w:r>
          </w:p>
        </w:tc>
        <w:tc>
          <w:tcPr>
            <w:tcW w:w="1782" w:type="dxa"/>
          </w:tcPr>
          <w:p w14:paraId="0005CE4E" w14:textId="77777777" w:rsidR="00945A5B" w:rsidRPr="00265F2A" w:rsidRDefault="00945A5B" w:rsidP="00E467CC"/>
        </w:tc>
        <w:tc>
          <w:tcPr>
            <w:tcW w:w="1782" w:type="dxa"/>
          </w:tcPr>
          <w:p w14:paraId="79C84426" w14:textId="77777777" w:rsidR="00945A5B" w:rsidRPr="00265F2A" w:rsidRDefault="00945A5B" w:rsidP="00E467CC"/>
        </w:tc>
        <w:tc>
          <w:tcPr>
            <w:tcW w:w="2234" w:type="dxa"/>
          </w:tcPr>
          <w:p w14:paraId="12EB6064" w14:textId="77777777" w:rsidR="00945A5B" w:rsidRPr="00265F2A" w:rsidRDefault="00945A5B" w:rsidP="00E467CC"/>
        </w:tc>
      </w:tr>
      <w:tr w:rsidR="00945A5B" w:rsidRPr="00265F2A" w14:paraId="139E8CF3" w14:textId="77777777" w:rsidTr="00E467CC">
        <w:tc>
          <w:tcPr>
            <w:tcW w:w="1761" w:type="dxa"/>
          </w:tcPr>
          <w:p w14:paraId="53EAC097" w14:textId="77777777" w:rsidR="00945A5B" w:rsidRPr="00265F2A" w:rsidRDefault="00945A5B" w:rsidP="00E467CC">
            <w:r>
              <w:t>1.4</w:t>
            </w:r>
          </w:p>
        </w:tc>
        <w:tc>
          <w:tcPr>
            <w:tcW w:w="1791" w:type="dxa"/>
          </w:tcPr>
          <w:p w14:paraId="6FEB3A18" w14:textId="7446F216" w:rsidR="00945A5B" w:rsidRPr="00265F2A" w:rsidRDefault="00945A5B" w:rsidP="00E467CC">
            <w:r>
              <w:t>Capable de répondre aux ordres : « assis », « couché », « viens » et « </w:t>
            </w:r>
            <w:r w:rsidR="00E445D1">
              <w:t>reste</w:t>
            </w:r>
            <w:r>
              <w:t xml:space="preserve"> ». </w:t>
            </w:r>
          </w:p>
          <w:p w14:paraId="2E20915F" w14:textId="77777777" w:rsidR="00945A5B" w:rsidRPr="00265F2A" w:rsidRDefault="00945A5B" w:rsidP="00E467CC"/>
        </w:tc>
        <w:tc>
          <w:tcPr>
            <w:tcW w:w="1782" w:type="dxa"/>
          </w:tcPr>
          <w:p w14:paraId="3275BDA8" w14:textId="77777777" w:rsidR="00945A5B" w:rsidRPr="00265F2A" w:rsidRDefault="00945A5B" w:rsidP="00E467CC"/>
        </w:tc>
        <w:tc>
          <w:tcPr>
            <w:tcW w:w="1782" w:type="dxa"/>
          </w:tcPr>
          <w:p w14:paraId="69F9AF32" w14:textId="77777777" w:rsidR="00945A5B" w:rsidRPr="00265F2A" w:rsidRDefault="00945A5B" w:rsidP="00E467CC"/>
        </w:tc>
        <w:tc>
          <w:tcPr>
            <w:tcW w:w="2234" w:type="dxa"/>
          </w:tcPr>
          <w:p w14:paraId="2AC2F0D9" w14:textId="77777777" w:rsidR="00945A5B" w:rsidRPr="00265F2A" w:rsidRDefault="00945A5B" w:rsidP="00E467CC"/>
        </w:tc>
      </w:tr>
    </w:tbl>
    <w:p w14:paraId="44921121" w14:textId="77777777" w:rsidR="00945A5B" w:rsidRPr="00265F2A" w:rsidRDefault="00945A5B" w:rsidP="00945A5B"/>
    <w:p w14:paraId="32A80A70" w14:textId="60C225DC" w:rsidR="00945A5B" w:rsidRPr="00265F2A" w:rsidRDefault="00945A5B" w:rsidP="00945A5B">
      <w:pPr>
        <w:rPr>
          <w:b/>
        </w:rPr>
      </w:pPr>
      <w:r>
        <w:rPr>
          <w:b/>
        </w:rPr>
        <w:t xml:space="preserve">2. Évaluation des critères techniques cotés </w:t>
      </w:r>
    </w:p>
    <w:p w14:paraId="73A5304B" w14:textId="00BD549B" w:rsidR="00945A5B" w:rsidRPr="00265F2A" w:rsidRDefault="00945A5B" w:rsidP="00945A5B">
      <w:r>
        <w:t>Pour être jugée conforme, une soumission doit obtenir la note minimale</w:t>
      </w:r>
      <w:r w:rsidR="00E445D1">
        <w:t xml:space="preserve"> de 5/20</w:t>
      </w:r>
      <w:r>
        <w:t xml:space="preserve"> pour les critères cotés. </w:t>
      </w:r>
    </w:p>
    <w:tbl>
      <w:tblPr>
        <w:tblStyle w:val="TableGrid"/>
        <w:tblW w:w="0" w:type="auto"/>
        <w:tblLook w:val="04A0" w:firstRow="1" w:lastRow="0" w:firstColumn="1" w:lastColumn="0" w:noHBand="0" w:noVBand="1"/>
      </w:tblPr>
      <w:tblGrid>
        <w:gridCol w:w="3964"/>
        <w:gridCol w:w="2694"/>
        <w:gridCol w:w="1275"/>
        <w:gridCol w:w="1417"/>
      </w:tblGrid>
      <w:tr w:rsidR="00945A5B" w:rsidRPr="00265F2A" w14:paraId="1BA45765" w14:textId="77777777" w:rsidTr="00E467CC">
        <w:tc>
          <w:tcPr>
            <w:tcW w:w="9350" w:type="dxa"/>
            <w:gridSpan w:val="4"/>
          </w:tcPr>
          <w:p w14:paraId="233AA3A3" w14:textId="77777777" w:rsidR="00945A5B" w:rsidRPr="00265F2A" w:rsidRDefault="00945A5B" w:rsidP="00E467CC">
            <w:pPr>
              <w:jc w:val="center"/>
              <w:rPr>
                <w:b/>
              </w:rPr>
            </w:pPr>
            <w:r>
              <w:rPr>
                <w:b/>
              </w:rPr>
              <w:t>Critères techniques cotés</w:t>
            </w:r>
          </w:p>
        </w:tc>
      </w:tr>
      <w:tr w:rsidR="00945A5B" w:rsidRPr="00265F2A" w14:paraId="0E9C143F" w14:textId="77777777" w:rsidTr="00E467CC">
        <w:tc>
          <w:tcPr>
            <w:tcW w:w="3964" w:type="dxa"/>
          </w:tcPr>
          <w:p w14:paraId="0AB9737E" w14:textId="07F907D8" w:rsidR="00945A5B" w:rsidRPr="00265F2A" w:rsidRDefault="00945A5B" w:rsidP="00315C11">
            <w:pPr>
              <w:jc w:val="center"/>
              <w:rPr>
                <w:b/>
              </w:rPr>
            </w:pPr>
            <w:r>
              <w:rPr>
                <w:b/>
              </w:rPr>
              <w:t>Critère technique</w:t>
            </w:r>
          </w:p>
        </w:tc>
        <w:tc>
          <w:tcPr>
            <w:tcW w:w="2694" w:type="dxa"/>
          </w:tcPr>
          <w:p w14:paraId="07906C4A" w14:textId="77777777" w:rsidR="00945A5B" w:rsidRPr="00265F2A" w:rsidRDefault="00945A5B" w:rsidP="00E467CC">
            <w:pPr>
              <w:jc w:val="center"/>
              <w:rPr>
                <w:b/>
              </w:rPr>
            </w:pPr>
            <w:r>
              <w:rPr>
                <w:b/>
              </w:rPr>
              <w:t>Échelle</w:t>
            </w:r>
          </w:p>
        </w:tc>
        <w:tc>
          <w:tcPr>
            <w:tcW w:w="1275" w:type="dxa"/>
          </w:tcPr>
          <w:p w14:paraId="4A96F93F" w14:textId="77777777" w:rsidR="00945A5B" w:rsidRPr="00265F2A" w:rsidRDefault="00945A5B" w:rsidP="00E467CC">
            <w:pPr>
              <w:jc w:val="center"/>
              <w:rPr>
                <w:b/>
              </w:rPr>
            </w:pPr>
            <w:r>
              <w:rPr>
                <w:b/>
              </w:rPr>
              <w:t>Points</w:t>
            </w:r>
          </w:p>
        </w:tc>
        <w:tc>
          <w:tcPr>
            <w:tcW w:w="1417" w:type="dxa"/>
          </w:tcPr>
          <w:p w14:paraId="1CE4BFBA" w14:textId="12358D20" w:rsidR="00945A5B" w:rsidRPr="00265F2A" w:rsidRDefault="00945A5B" w:rsidP="00315C11">
            <w:pPr>
              <w:jc w:val="center"/>
              <w:rPr>
                <w:b/>
              </w:rPr>
            </w:pPr>
            <w:r>
              <w:rPr>
                <w:b/>
              </w:rPr>
              <w:t xml:space="preserve">Note </w:t>
            </w:r>
          </w:p>
        </w:tc>
      </w:tr>
      <w:tr w:rsidR="00945A5B" w:rsidRPr="00265F2A" w14:paraId="76DE4DA9" w14:textId="77777777" w:rsidTr="00E467CC">
        <w:trPr>
          <w:trHeight w:val="284"/>
        </w:trPr>
        <w:tc>
          <w:tcPr>
            <w:tcW w:w="3964" w:type="dxa"/>
            <w:vMerge w:val="restart"/>
          </w:tcPr>
          <w:p w14:paraId="14C167EA" w14:textId="49040B64" w:rsidR="00945A5B" w:rsidRPr="00265F2A" w:rsidRDefault="00945A5B" w:rsidP="00315C11">
            <w:pPr>
              <w:rPr>
                <w:i/>
              </w:rPr>
            </w:pPr>
            <w:r>
              <w:t>2.1 Nombre de mois d</w:t>
            </w:r>
            <w:r w:rsidR="00445FFF">
              <w:t>’</w:t>
            </w:r>
            <w:r>
              <w:t xml:space="preserve">expérience dans la formation de </w:t>
            </w:r>
            <w:r w:rsidR="00F553DF">
              <w:t>chiens de travail</w:t>
            </w:r>
            <w:r>
              <w:t xml:space="preserve"> – </w:t>
            </w:r>
            <w:r>
              <w:rPr>
                <w:i/>
              </w:rPr>
              <w:t xml:space="preserve">La </w:t>
            </w:r>
            <w:r>
              <w:rPr>
                <w:i/>
              </w:rPr>
              <w:lastRenderedPageBreak/>
              <w:t>soumission doit inclure une lettre de confirmation d</w:t>
            </w:r>
            <w:r w:rsidR="00445FFF">
              <w:rPr>
                <w:i/>
              </w:rPr>
              <w:t>’</w:t>
            </w:r>
            <w:r>
              <w:rPr>
                <w:i/>
              </w:rPr>
              <w:t xml:space="preserve">un employeur, </w:t>
            </w:r>
            <w:r w:rsidR="00315C11">
              <w:rPr>
                <w:i/>
              </w:rPr>
              <w:t>de la</w:t>
            </w:r>
            <w:r>
              <w:rPr>
                <w:i/>
              </w:rPr>
              <w:t xml:space="preserve"> documentation confirmant la date de création de votre entreprise ou tout autre document pouvant attester de vos années d</w:t>
            </w:r>
            <w:r w:rsidR="00445FFF">
              <w:rPr>
                <w:i/>
              </w:rPr>
              <w:t>’</w:t>
            </w:r>
            <w:r>
              <w:rPr>
                <w:i/>
              </w:rPr>
              <w:t>expérience</w:t>
            </w:r>
            <w:r w:rsidR="0010719A">
              <w:rPr>
                <w:i/>
              </w:rPr>
              <w:t xml:space="preserve">. </w:t>
            </w:r>
          </w:p>
        </w:tc>
        <w:tc>
          <w:tcPr>
            <w:tcW w:w="2694" w:type="dxa"/>
          </w:tcPr>
          <w:p w14:paraId="5ABC4A3B" w14:textId="762F5DFC" w:rsidR="00945A5B" w:rsidRPr="00265F2A" w:rsidRDefault="00315C11" w:rsidP="00E467CC">
            <w:r>
              <w:lastRenderedPageBreak/>
              <w:t>De</w:t>
            </w:r>
            <w:r w:rsidR="00945A5B">
              <w:t xml:space="preserve"> 0 </w:t>
            </w:r>
            <w:r>
              <w:t>à</w:t>
            </w:r>
            <w:r w:rsidR="00945A5B">
              <w:t xml:space="preserve"> 12 mois</w:t>
            </w:r>
          </w:p>
          <w:p w14:paraId="0478AB8E" w14:textId="77777777" w:rsidR="00945A5B" w:rsidRPr="00265F2A" w:rsidRDefault="00945A5B" w:rsidP="00E467CC"/>
        </w:tc>
        <w:tc>
          <w:tcPr>
            <w:tcW w:w="1275" w:type="dxa"/>
          </w:tcPr>
          <w:p w14:paraId="245A0C34" w14:textId="77777777" w:rsidR="00945A5B" w:rsidRPr="00265F2A" w:rsidRDefault="00945A5B" w:rsidP="00E467CC">
            <w:pPr>
              <w:jc w:val="center"/>
            </w:pPr>
            <w:r>
              <w:t>0</w:t>
            </w:r>
          </w:p>
        </w:tc>
        <w:tc>
          <w:tcPr>
            <w:tcW w:w="1417" w:type="dxa"/>
          </w:tcPr>
          <w:p w14:paraId="2D92E169" w14:textId="77777777" w:rsidR="00945A5B" w:rsidRPr="00265F2A" w:rsidRDefault="00945A5B" w:rsidP="00E467CC"/>
        </w:tc>
      </w:tr>
      <w:tr w:rsidR="00945A5B" w:rsidRPr="00265F2A" w14:paraId="3BC16F42" w14:textId="77777777" w:rsidTr="00E467CC">
        <w:trPr>
          <w:trHeight w:val="281"/>
        </w:trPr>
        <w:tc>
          <w:tcPr>
            <w:tcW w:w="3964" w:type="dxa"/>
            <w:vMerge/>
          </w:tcPr>
          <w:p w14:paraId="49564867" w14:textId="77777777" w:rsidR="00945A5B" w:rsidRPr="00265F2A" w:rsidRDefault="00945A5B" w:rsidP="00E467CC"/>
        </w:tc>
        <w:tc>
          <w:tcPr>
            <w:tcW w:w="2694" w:type="dxa"/>
          </w:tcPr>
          <w:p w14:paraId="0E246293" w14:textId="77777777" w:rsidR="00945A5B" w:rsidRPr="00265F2A" w:rsidRDefault="00945A5B" w:rsidP="00E467CC">
            <w:r>
              <w:t>De 13 à 36 mois</w:t>
            </w:r>
          </w:p>
          <w:p w14:paraId="24E65C00" w14:textId="77777777" w:rsidR="00945A5B" w:rsidRPr="00265F2A" w:rsidRDefault="00945A5B" w:rsidP="00E467CC"/>
        </w:tc>
        <w:tc>
          <w:tcPr>
            <w:tcW w:w="1275" w:type="dxa"/>
          </w:tcPr>
          <w:p w14:paraId="34642120" w14:textId="77777777" w:rsidR="00945A5B" w:rsidRPr="00265F2A" w:rsidRDefault="00945A5B" w:rsidP="00E467CC">
            <w:pPr>
              <w:jc w:val="center"/>
            </w:pPr>
            <w:r>
              <w:t>5 points</w:t>
            </w:r>
          </w:p>
        </w:tc>
        <w:tc>
          <w:tcPr>
            <w:tcW w:w="1417" w:type="dxa"/>
          </w:tcPr>
          <w:p w14:paraId="00579A27" w14:textId="77777777" w:rsidR="00945A5B" w:rsidRPr="00265F2A" w:rsidRDefault="00945A5B" w:rsidP="00E467CC"/>
        </w:tc>
      </w:tr>
      <w:tr w:rsidR="00945A5B" w:rsidRPr="00265F2A" w14:paraId="239BA67F" w14:textId="77777777" w:rsidTr="00E467CC">
        <w:trPr>
          <w:trHeight w:val="281"/>
        </w:trPr>
        <w:tc>
          <w:tcPr>
            <w:tcW w:w="3964" w:type="dxa"/>
            <w:vMerge/>
          </w:tcPr>
          <w:p w14:paraId="06D60D73" w14:textId="77777777" w:rsidR="00945A5B" w:rsidRPr="00265F2A" w:rsidRDefault="00945A5B" w:rsidP="00E467CC"/>
        </w:tc>
        <w:tc>
          <w:tcPr>
            <w:tcW w:w="2694" w:type="dxa"/>
          </w:tcPr>
          <w:p w14:paraId="5CCEA7CD" w14:textId="60CB9149" w:rsidR="00945A5B" w:rsidRPr="00265F2A" w:rsidRDefault="00315C11" w:rsidP="00E467CC">
            <w:r>
              <w:t>De</w:t>
            </w:r>
            <w:r w:rsidR="00945A5B">
              <w:t xml:space="preserve"> 37 </w:t>
            </w:r>
            <w:r>
              <w:t>à</w:t>
            </w:r>
            <w:r w:rsidR="00945A5B">
              <w:t xml:space="preserve"> 60 mois </w:t>
            </w:r>
          </w:p>
          <w:p w14:paraId="7F08580F" w14:textId="77777777" w:rsidR="00945A5B" w:rsidRPr="00265F2A" w:rsidRDefault="00945A5B" w:rsidP="00E467CC"/>
        </w:tc>
        <w:tc>
          <w:tcPr>
            <w:tcW w:w="1275" w:type="dxa"/>
          </w:tcPr>
          <w:p w14:paraId="7E272990" w14:textId="77777777" w:rsidR="00945A5B" w:rsidRPr="00265F2A" w:rsidRDefault="00945A5B" w:rsidP="00E467CC">
            <w:pPr>
              <w:jc w:val="center"/>
            </w:pPr>
            <w:r>
              <w:t>7 points</w:t>
            </w:r>
          </w:p>
        </w:tc>
        <w:tc>
          <w:tcPr>
            <w:tcW w:w="1417" w:type="dxa"/>
          </w:tcPr>
          <w:p w14:paraId="3F726BBA" w14:textId="77777777" w:rsidR="00945A5B" w:rsidRPr="00265F2A" w:rsidRDefault="00945A5B" w:rsidP="00E467CC"/>
        </w:tc>
      </w:tr>
      <w:tr w:rsidR="00945A5B" w:rsidRPr="00265F2A" w14:paraId="4FA45789" w14:textId="77777777" w:rsidTr="00E467CC">
        <w:trPr>
          <w:trHeight w:val="281"/>
        </w:trPr>
        <w:tc>
          <w:tcPr>
            <w:tcW w:w="3964" w:type="dxa"/>
            <w:vMerge/>
          </w:tcPr>
          <w:p w14:paraId="254F2D81" w14:textId="77777777" w:rsidR="00945A5B" w:rsidRPr="00265F2A" w:rsidRDefault="00945A5B" w:rsidP="00E467CC"/>
        </w:tc>
        <w:tc>
          <w:tcPr>
            <w:tcW w:w="2694" w:type="dxa"/>
          </w:tcPr>
          <w:p w14:paraId="69917FC2" w14:textId="77777777" w:rsidR="00945A5B" w:rsidRPr="00265F2A" w:rsidRDefault="00945A5B" w:rsidP="00E467CC">
            <w:r>
              <w:t xml:space="preserve">61 mois et plus </w:t>
            </w:r>
          </w:p>
          <w:p w14:paraId="0DDF23C6" w14:textId="77777777" w:rsidR="00945A5B" w:rsidRPr="00265F2A" w:rsidRDefault="00945A5B" w:rsidP="00E467CC"/>
        </w:tc>
        <w:tc>
          <w:tcPr>
            <w:tcW w:w="1275" w:type="dxa"/>
          </w:tcPr>
          <w:p w14:paraId="446C24CB" w14:textId="77777777" w:rsidR="00945A5B" w:rsidRPr="00265F2A" w:rsidRDefault="00945A5B" w:rsidP="00E467CC">
            <w:pPr>
              <w:jc w:val="center"/>
            </w:pPr>
            <w:r>
              <w:t>10 points</w:t>
            </w:r>
          </w:p>
        </w:tc>
        <w:tc>
          <w:tcPr>
            <w:tcW w:w="1417" w:type="dxa"/>
          </w:tcPr>
          <w:p w14:paraId="03CC4CA0" w14:textId="77777777" w:rsidR="00945A5B" w:rsidRPr="00265F2A" w:rsidRDefault="00945A5B" w:rsidP="00E467CC"/>
        </w:tc>
      </w:tr>
      <w:tr w:rsidR="00945A5B" w:rsidRPr="00265F2A" w14:paraId="67C03710" w14:textId="77777777" w:rsidTr="00E467CC">
        <w:trPr>
          <w:trHeight w:val="136"/>
        </w:trPr>
        <w:tc>
          <w:tcPr>
            <w:tcW w:w="3964" w:type="dxa"/>
            <w:vMerge w:val="restart"/>
          </w:tcPr>
          <w:p w14:paraId="6EBF128F" w14:textId="16804A37" w:rsidR="00945A5B" w:rsidRPr="00265F2A" w:rsidRDefault="00945A5B" w:rsidP="00E467CC">
            <w:pPr>
              <w:rPr>
                <w:i/>
              </w:rPr>
            </w:pPr>
            <w:r>
              <w:t xml:space="preserve">2.2 Nombre de chiens vendus aux </w:t>
            </w:r>
            <w:r w:rsidR="00F553DF">
              <w:t>agences frontalières</w:t>
            </w:r>
            <w:r>
              <w:t xml:space="preserve"> comme chiens de travail depuis le 1</w:t>
            </w:r>
            <w:r>
              <w:rPr>
                <w:vertAlign w:val="superscript"/>
              </w:rPr>
              <w:t>er</w:t>
            </w:r>
            <w:r>
              <w:t xml:space="preserve"> janvier 2013. – </w:t>
            </w:r>
            <w:r>
              <w:rPr>
                <w:i/>
              </w:rPr>
              <w:t xml:space="preserve">La soumission doit inclure des factures ou des contrats pouvant attester du nombre de chiens vendus aux </w:t>
            </w:r>
            <w:r w:rsidR="00F553DF">
              <w:rPr>
                <w:i/>
              </w:rPr>
              <w:t>agences frontalières</w:t>
            </w:r>
            <w:r>
              <w:rPr>
                <w:i/>
              </w:rPr>
              <w:t xml:space="preserve">. </w:t>
            </w:r>
          </w:p>
        </w:tc>
        <w:tc>
          <w:tcPr>
            <w:tcW w:w="2694" w:type="dxa"/>
          </w:tcPr>
          <w:p w14:paraId="3337F874" w14:textId="77777777" w:rsidR="00945A5B" w:rsidRPr="00265F2A" w:rsidRDefault="00945A5B" w:rsidP="00E467CC">
            <w:r>
              <w:t>0 chien</w:t>
            </w:r>
          </w:p>
        </w:tc>
        <w:tc>
          <w:tcPr>
            <w:tcW w:w="1275" w:type="dxa"/>
          </w:tcPr>
          <w:p w14:paraId="05434167" w14:textId="77777777" w:rsidR="00945A5B" w:rsidRPr="00265F2A" w:rsidRDefault="00945A5B" w:rsidP="00E467CC">
            <w:pPr>
              <w:jc w:val="center"/>
            </w:pPr>
            <w:r>
              <w:t>0</w:t>
            </w:r>
          </w:p>
        </w:tc>
        <w:tc>
          <w:tcPr>
            <w:tcW w:w="1417" w:type="dxa"/>
          </w:tcPr>
          <w:p w14:paraId="0030B5EF" w14:textId="77777777" w:rsidR="00945A5B" w:rsidRPr="00265F2A" w:rsidRDefault="00945A5B" w:rsidP="00E467CC"/>
        </w:tc>
      </w:tr>
      <w:tr w:rsidR="00945A5B" w:rsidRPr="00265F2A" w14:paraId="01ED2800" w14:textId="77777777" w:rsidTr="00E467CC">
        <w:trPr>
          <w:trHeight w:val="135"/>
        </w:trPr>
        <w:tc>
          <w:tcPr>
            <w:tcW w:w="3964" w:type="dxa"/>
            <w:vMerge/>
          </w:tcPr>
          <w:p w14:paraId="540D4538" w14:textId="77777777" w:rsidR="00945A5B" w:rsidRPr="00265F2A" w:rsidRDefault="00945A5B" w:rsidP="00E467CC"/>
        </w:tc>
        <w:tc>
          <w:tcPr>
            <w:tcW w:w="2694" w:type="dxa"/>
          </w:tcPr>
          <w:p w14:paraId="1C25467E" w14:textId="77777777" w:rsidR="00945A5B" w:rsidRPr="00265F2A" w:rsidRDefault="00945A5B" w:rsidP="00E467CC">
            <w:r>
              <w:t xml:space="preserve">Entre 1 et 5 chiens </w:t>
            </w:r>
          </w:p>
        </w:tc>
        <w:tc>
          <w:tcPr>
            <w:tcW w:w="1275" w:type="dxa"/>
          </w:tcPr>
          <w:p w14:paraId="5D0E1EBF" w14:textId="77777777" w:rsidR="00945A5B" w:rsidRPr="00265F2A" w:rsidRDefault="00945A5B" w:rsidP="00E467CC">
            <w:pPr>
              <w:jc w:val="center"/>
            </w:pPr>
            <w:r>
              <w:t>3 points</w:t>
            </w:r>
          </w:p>
        </w:tc>
        <w:tc>
          <w:tcPr>
            <w:tcW w:w="1417" w:type="dxa"/>
          </w:tcPr>
          <w:p w14:paraId="01BE7077" w14:textId="77777777" w:rsidR="00945A5B" w:rsidRPr="00265F2A" w:rsidRDefault="00945A5B" w:rsidP="00E467CC"/>
        </w:tc>
      </w:tr>
      <w:tr w:rsidR="00945A5B" w:rsidRPr="00265F2A" w14:paraId="5A50B806" w14:textId="77777777" w:rsidTr="00E467CC">
        <w:trPr>
          <w:trHeight w:val="135"/>
        </w:trPr>
        <w:tc>
          <w:tcPr>
            <w:tcW w:w="3964" w:type="dxa"/>
            <w:vMerge/>
          </w:tcPr>
          <w:p w14:paraId="02244646" w14:textId="77777777" w:rsidR="00945A5B" w:rsidRPr="00265F2A" w:rsidRDefault="00945A5B" w:rsidP="00E467CC"/>
        </w:tc>
        <w:tc>
          <w:tcPr>
            <w:tcW w:w="2694" w:type="dxa"/>
          </w:tcPr>
          <w:p w14:paraId="44A88D5E" w14:textId="77777777" w:rsidR="00945A5B" w:rsidRPr="00265F2A" w:rsidRDefault="00945A5B" w:rsidP="00E467CC">
            <w:r>
              <w:t xml:space="preserve">Entre 6 et 10 chiens </w:t>
            </w:r>
          </w:p>
        </w:tc>
        <w:tc>
          <w:tcPr>
            <w:tcW w:w="1275" w:type="dxa"/>
          </w:tcPr>
          <w:p w14:paraId="11442C3B" w14:textId="77777777" w:rsidR="00945A5B" w:rsidRPr="00265F2A" w:rsidRDefault="00945A5B" w:rsidP="00E467CC">
            <w:pPr>
              <w:jc w:val="center"/>
            </w:pPr>
            <w:r>
              <w:t>5 points</w:t>
            </w:r>
          </w:p>
        </w:tc>
        <w:tc>
          <w:tcPr>
            <w:tcW w:w="1417" w:type="dxa"/>
          </w:tcPr>
          <w:p w14:paraId="7F617EF7" w14:textId="77777777" w:rsidR="00945A5B" w:rsidRPr="00265F2A" w:rsidRDefault="00945A5B" w:rsidP="00E467CC"/>
        </w:tc>
      </w:tr>
      <w:tr w:rsidR="00945A5B" w:rsidRPr="00265F2A" w14:paraId="266BF4A1" w14:textId="77777777" w:rsidTr="00E467CC">
        <w:trPr>
          <w:trHeight w:val="135"/>
        </w:trPr>
        <w:tc>
          <w:tcPr>
            <w:tcW w:w="3964" w:type="dxa"/>
            <w:vMerge/>
          </w:tcPr>
          <w:p w14:paraId="65B0A667" w14:textId="77777777" w:rsidR="00945A5B" w:rsidRPr="00265F2A" w:rsidRDefault="00945A5B" w:rsidP="00E467CC"/>
        </w:tc>
        <w:tc>
          <w:tcPr>
            <w:tcW w:w="2694" w:type="dxa"/>
          </w:tcPr>
          <w:p w14:paraId="44ECB0A8" w14:textId="77777777" w:rsidR="00945A5B" w:rsidRPr="00265F2A" w:rsidRDefault="00945A5B" w:rsidP="00E467CC">
            <w:r>
              <w:t xml:space="preserve">Entre 11 et 15 chiens </w:t>
            </w:r>
          </w:p>
        </w:tc>
        <w:tc>
          <w:tcPr>
            <w:tcW w:w="1275" w:type="dxa"/>
          </w:tcPr>
          <w:p w14:paraId="474204CF" w14:textId="77777777" w:rsidR="00945A5B" w:rsidRPr="00265F2A" w:rsidRDefault="00945A5B" w:rsidP="00E467CC">
            <w:pPr>
              <w:jc w:val="center"/>
            </w:pPr>
            <w:r>
              <w:t>7 points</w:t>
            </w:r>
          </w:p>
        </w:tc>
        <w:tc>
          <w:tcPr>
            <w:tcW w:w="1417" w:type="dxa"/>
          </w:tcPr>
          <w:p w14:paraId="4ABF42A1" w14:textId="77777777" w:rsidR="00945A5B" w:rsidRPr="00265F2A" w:rsidRDefault="00945A5B" w:rsidP="00E467CC"/>
        </w:tc>
      </w:tr>
      <w:tr w:rsidR="00945A5B" w:rsidRPr="00265F2A" w14:paraId="3D6BE266" w14:textId="77777777" w:rsidTr="00E467CC">
        <w:trPr>
          <w:trHeight w:val="135"/>
        </w:trPr>
        <w:tc>
          <w:tcPr>
            <w:tcW w:w="3964" w:type="dxa"/>
            <w:vMerge/>
            <w:tcBorders>
              <w:bottom w:val="thinThickSmallGap" w:sz="24" w:space="0" w:color="auto"/>
            </w:tcBorders>
          </w:tcPr>
          <w:p w14:paraId="16948BAC" w14:textId="77777777" w:rsidR="00945A5B" w:rsidRPr="00265F2A" w:rsidRDefault="00945A5B" w:rsidP="00E467CC"/>
        </w:tc>
        <w:tc>
          <w:tcPr>
            <w:tcW w:w="2694" w:type="dxa"/>
            <w:tcBorders>
              <w:bottom w:val="thinThickSmallGap" w:sz="24" w:space="0" w:color="auto"/>
            </w:tcBorders>
          </w:tcPr>
          <w:p w14:paraId="5BBF0E63" w14:textId="77777777" w:rsidR="00945A5B" w:rsidRPr="00265F2A" w:rsidRDefault="00945A5B" w:rsidP="00E467CC">
            <w:r>
              <w:t xml:space="preserve">16 chiens ou plus </w:t>
            </w:r>
          </w:p>
        </w:tc>
        <w:tc>
          <w:tcPr>
            <w:tcW w:w="1275" w:type="dxa"/>
            <w:tcBorders>
              <w:bottom w:val="thinThickSmallGap" w:sz="24" w:space="0" w:color="auto"/>
            </w:tcBorders>
          </w:tcPr>
          <w:p w14:paraId="4B97E20D" w14:textId="77777777" w:rsidR="00945A5B" w:rsidRPr="00265F2A" w:rsidRDefault="00945A5B" w:rsidP="00E467CC">
            <w:pPr>
              <w:jc w:val="center"/>
            </w:pPr>
            <w:r>
              <w:t>10 points</w:t>
            </w:r>
          </w:p>
        </w:tc>
        <w:tc>
          <w:tcPr>
            <w:tcW w:w="1417" w:type="dxa"/>
            <w:tcBorders>
              <w:bottom w:val="thinThickSmallGap" w:sz="24" w:space="0" w:color="auto"/>
            </w:tcBorders>
          </w:tcPr>
          <w:p w14:paraId="1CC7F0C1" w14:textId="77777777" w:rsidR="00945A5B" w:rsidRPr="00265F2A" w:rsidRDefault="00945A5B" w:rsidP="00E467CC"/>
        </w:tc>
      </w:tr>
      <w:tr w:rsidR="00945A5B" w:rsidRPr="00265F2A" w14:paraId="2CBDE472" w14:textId="77777777" w:rsidTr="00E467CC">
        <w:tc>
          <w:tcPr>
            <w:tcW w:w="7933" w:type="dxa"/>
            <w:gridSpan w:val="3"/>
            <w:tcBorders>
              <w:top w:val="thinThickSmallGap" w:sz="24" w:space="0" w:color="auto"/>
            </w:tcBorders>
          </w:tcPr>
          <w:p w14:paraId="6ED92510" w14:textId="77777777" w:rsidR="00945A5B" w:rsidRPr="00265F2A" w:rsidRDefault="00945A5B" w:rsidP="00E467CC">
            <w:pPr>
              <w:jc w:val="right"/>
              <w:rPr>
                <w:b/>
              </w:rPr>
            </w:pPr>
            <w:r>
              <w:rPr>
                <w:b/>
              </w:rPr>
              <w:t>Total</w:t>
            </w:r>
          </w:p>
        </w:tc>
        <w:tc>
          <w:tcPr>
            <w:tcW w:w="1417" w:type="dxa"/>
            <w:tcBorders>
              <w:top w:val="thinThickSmallGap" w:sz="24" w:space="0" w:color="auto"/>
            </w:tcBorders>
          </w:tcPr>
          <w:p w14:paraId="1B6FD7FE" w14:textId="77777777" w:rsidR="00945A5B" w:rsidRPr="00265F2A" w:rsidRDefault="00945A5B" w:rsidP="00E467CC">
            <w:pPr>
              <w:jc w:val="right"/>
            </w:pPr>
            <w:r>
              <w:t>/20</w:t>
            </w:r>
          </w:p>
        </w:tc>
      </w:tr>
    </w:tbl>
    <w:p w14:paraId="0BF1B399" w14:textId="77777777" w:rsidR="00945A5B" w:rsidRPr="00265F2A" w:rsidRDefault="00945A5B" w:rsidP="00945A5B"/>
    <w:p w14:paraId="5283A150" w14:textId="77777777" w:rsidR="00945A5B" w:rsidRPr="00265F2A" w:rsidRDefault="00945A5B" w:rsidP="006050CD">
      <w:pPr>
        <w:autoSpaceDE w:val="0"/>
        <w:autoSpaceDN w:val="0"/>
        <w:adjustRightInd w:val="0"/>
        <w:spacing w:after="0" w:line="240" w:lineRule="auto"/>
        <w:rPr>
          <w:rFonts w:cs="TimesNewRomanPSMT"/>
        </w:rPr>
      </w:pPr>
    </w:p>
    <w:sectPr w:rsidR="00945A5B" w:rsidRPr="00265F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7F93" w14:textId="77777777" w:rsidR="007604FA" w:rsidRDefault="007604FA" w:rsidP="00973857">
      <w:pPr>
        <w:spacing w:after="0" w:line="240" w:lineRule="auto"/>
      </w:pPr>
      <w:r>
        <w:separator/>
      </w:r>
    </w:p>
  </w:endnote>
  <w:endnote w:type="continuationSeparator" w:id="0">
    <w:p w14:paraId="33CAB265" w14:textId="77777777" w:rsidR="007604FA" w:rsidRDefault="007604FA" w:rsidP="0097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A9" w14:textId="77777777" w:rsidR="00973857" w:rsidRDefault="0097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D91F" w14:textId="77777777" w:rsidR="00973857" w:rsidRDefault="00973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68EB" w14:textId="77777777" w:rsidR="00973857" w:rsidRDefault="0097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5185" w14:textId="77777777" w:rsidR="007604FA" w:rsidRDefault="007604FA" w:rsidP="00973857">
      <w:pPr>
        <w:spacing w:after="0" w:line="240" w:lineRule="auto"/>
      </w:pPr>
      <w:r>
        <w:separator/>
      </w:r>
    </w:p>
  </w:footnote>
  <w:footnote w:type="continuationSeparator" w:id="0">
    <w:p w14:paraId="3177FC58" w14:textId="77777777" w:rsidR="007604FA" w:rsidRDefault="007604FA" w:rsidP="0097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6937" w14:textId="77777777" w:rsidR="00973857" w:rsidRDefault="0097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40455"/>
      <w:docPartObj>
        <w:docPartGallery w:val="Watermarks"/>
        <w:docPartUnique/>
      </w:docPartObj>
    </w:sdtPr>
    <w:sdtEndPr/>
    <w:sdtContent>
      <w:p w14:paraId="260333F7" w14:textId="77777777" w:rsidR="00973857" w:rsidRDefault="007604FA">
        <w:pPr>
          <w:pStyle w:val="Header"/>
        </w:pPr>
        <w:r>
          <w:pict w14:anchorId="38F10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427A" w14:textId="77777777" w:rsidR="00973857" w:rsidRDefault="0097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B29"/>
    <w:multiLevelType w:val="multilevel"/>
    <w:tmpl w:val="B066D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12AC0"/>
    <w:multiLevelType w:val="hybridMultilevel"/>
    <w:tmpl w:val="7DCA48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2AF7C41"/>
    <w:multiLevelType w:val="hybridMultilevel"/>
    <w:tmpl w:val="4C002484"/>
    <w:lvl w:ilvl="0" w:tplc="4C7809EE">
      <w:start w:val="3"/>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2"/>
    </w:lvlOverride>
  </w:num>
  <w:num w:numId="6">
    <w:abstractNumId w:val="0"/>
    <w:lvlOverride w:ilvl="0"/>
    <w:lvlOverride w:ilvl="1">
      <w:startOverride w:val="3"/>
    </w:lvlOverride>
  </w:num>
  <w:num w:numId="7">
    <w:abstractNumId w:val="0"/>
    <w:lvlOverride w:ilvl="0">
      <w:startOverride w:val="2"/>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5B"/>
    <w:rsid w:val="000D37B3"/>
    <w:rsid w:val="0010719A"/>
    <w:rsid w:val="00113EF2"/>
    <w:rsid w:val="001A2E77"/>
    <w:rsid w:val="00240061"/>
    <w:rsid w:val="002470DF"/>
    <w:rsid w:val="00265F2A"/>
    <w:rsid w:val="002A09A5"/>
    <w:rsid w:val="002B7523"/>
    <w:rsid w:val="002C033C"/>
    <w:rsid w:val="00310428"/>
    <w:rsid w:val="00310F97"/>
    <w:rsid w:val="00315C11"/>
    <w:rsid w:val="00436CE9"/>
    <w:rsid w:val="00445FFF"/>
    <w:rsid w:val="004939C3"/>
    <w:rsid w:val="004C005B"/>
    <w:rsid w:val="004F3F98"/>
    <w:rsid w:val="0055188B"/>
    <w:rsid w:val="00601A7D"/>
    <w:rsid w:val="006050CD"/>
    <w:rsid w:val="006B5B12"/>
    <w:rsid w:val="006D3DB3"/>
    <w:rsid w:val="006E3059"/>
    <w:rsid w:val="006E4662"/>
    <w:rsid w:val="006F584A"/>
    <w:rsid w:val="00723217"/>
    <w:rsid w:val="00735F42"/>
    <w:rsid w:val="00740B3F"/>
    <w:rsid w:val="007604FA"/>
    <w:rsid w:val="0078693D"/>
    <w:rsid w:val="007A1A3A"/>
    <w:rsid w:val="007C0753"/>
    <w:rsid w:val="009220C3"/>
    <w:rsid w:val="00945A5B"/>
    <w:rsid w:val="00973857"/>
    <w:rsid w:val="00983BBE"/>
    <w:rsid w:val="00A15F05"/>
    <w:rsid w:val="00AA4ED3"/>
    <w:rsid w:val="00AB062D"/>
    <w:rsid w:val="00B56096"/>
    <w:rsid w:val="00B932C1"/>
    <w:rsid w:val="00BB79EE"/>
    <w:rsid w:val="00C31FCB"/>
    <w:rsid w:val="00C53599"/>
    <w:rsid w:val="00CA2731"/>
    <w:rsid w:val="00CA691C"/>
    <w:rsid w:val="00CC520C"/>
    <w:rsid w:val="00D54E44"/>
    <w:rsid w:val="00D97C5F"/>
    <w:rsid w:val="00E445D1"/>
    <w:rsid w:val="00E76E0C"/>
    <w:rsid w:val="00EC4287"/>
    <w:rsid w:val="00F553DF"/>
    <w:rsid w:val="00FA3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0146E"/>
  <w15:chartTrackingRefBased/>
  <w15:docId w15:val="{2FEA302D-D3BC-434D-A8DF-CCAF72B7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2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A2731"/>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uiPriority w:val="99"/>
    <w:unhideWhenUsed/>
    <w:rsid w:val="00CA2731"/>
    <w:rPr>
      <w:rFonts w:ascii="Arial" w:hAnsi="Arial"/>
      <w:color w:val="800000"/>
      <w:sz w:val="20"/>
      <w:u w:val="single"/>
    </w:rPr>
  </w:style>
  <w:style w:type="paragraph" w:customStyle="1" w:styleId="TemplateHeading1">
    <w:name w:val="Template Heading 1"/>
    <w:basedOn w:val="Heading1"/>
    <w:link w:val="TemplateHeading1Char"/>
    <w:qFormat/>
    <w:rsid w:val="00CA2731"/>
    <w:pPr>
      <w:keepLines w:val="0"/>
      <w:spacing w:after="60" w:line="240" w:lineRule="auto"/>
    </w:pPr>
    <w:rPr>
      <w:rFonts w:ascii="Arial" w:eastAsia="Times New Roman" w:hAnsi="Arial" w:cs="Arial"/>
      <w:b/>
      <w:color w:val="auto"/>
      <w:kern w:val="32"/>
      <w:sz w:val="20"/>
      <w:szCs w:val="20"/>
    </w:rPr>
  </w:style>
  <w:style w:type="paragraph" w:customStyle="1" w:styleId="TemplateHeading2">
    <w:name w:val="Template Heading 2"/>
    <w:basedOn w:val="Heading2"/>
    <w:link w:val="TemplateHeading2Char"/>
    <w:qFormat/>
    <w:rsid w:val="00CA2731"/>
    <w:pPr>
      <w:keepLines w:val="0"/>
      <w:spacing w:before="240" w:after="60" w:line="240" w:lineRule="auto"/>
    </w:pPr>
    <w:rPr>
      <w:rFonts w:ascii="Arial" w:eastAsia="Times New Roman" w:hAnsi="Arial" w:cs="Times New Roman"/>
      <w:b/>
      <w:bCs/>
      <w:iCs/>
      <w:color w:val="auto"/>
      <w:sz w:val="20"/>
      <w:szCs w:val="28"/>
    </w:rPr>
  </w:style>
  <w:style w:type="character" w:customStyle="1" w:styleId="TemplateHeading1Char">
    <w:name w:val="Template Heading 1 Char"/>
    <w:link w:val="TemplateHeading1"/>
    <w:rsid w:val="00CA2731"/>
    <w:rPr>
      <w:rFonts w:ascii="Arial" w:eastAsia="Times New Roman" w:hAnsi="Arial" w:cs="Arial"/>
      <w:b/>
      <w:kern w:val="32"/>
      <w:sz w:val="20"/>
      <w:szCs w:val="20"/>
    </w:rPr>
  </w:style>
  <w:style w:type="character" w:customStyle="1" w:styleId="TemplateHeading2Char">
    <w:name w:val="Template Heading 2 Char"/>
    <w:link w:val="TemplateHeading2"/>
    <w:rsid w:val="00CA2731"/>
    <w:rPr>
      <w:rFonts w:ascii="Arial" w:eastAsia="Times New Roman" w:hAnsi="Arial" w:cs="Times New Roman"/>
      <w:b/>
      <w:bCs/>
      <w:iCs/>
      <w:sz w:val="20"/>
      <w:szCs w:val="28"/>
      <w:lang w:val="fr-CA"/>
    </w:rPr>
  </w:style>
  <w:style w:type="character" w:customStyle="1" w:styleId="DefaultTextChar">
    <w:name w:val="Default Text Char"/>
    <w:link w:val="DefaultText"/>
    <w:rsid w:val="00CA2731"/>
    <w:rPr>
      <w:rFonts w:ascii="Arial" w:eastAsia="Times New Roman" w:hAnsi="Arial" w:cs="Times New Roman"/>
      <w:sz w:val="20"/>
      <w:szCs w:val="24"/>
      <w:lang w:val="fr-CA"/>
    </w:rPr>
  </w:style>
  <w:style w:type="character" w:customStyle="1" w:styleId="date-display-single2">
    <w:name w:val="date-display-single2"/>
    <w:rsid w:val="00CA2731"/>
  </w:style>
  <w:style w:type="character" w:customStyle="1" w:styleId="Heading1Char">
    <w:name w:val="Heading 1 Char"/>
    <w:basedOn w:val="DefaultParagraphFont"/>
    <w:link w:val="Heading1"/>
    <w:uiPriority w:val="9"/>
    <w:rsid w:val="00CA27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2731"/>
    <w:rPr>
      <w:rFonts w:asciiTheme="majorHAnsi" w:eastAsiaTheme="majorEastAsia" w:hAnsiTheme="majorHAnsi" w:cstheme="majorBidi"/>
      <w:color w:val="2E74B5" w:themeColor="accent1" w:themeShade="BF"/>
      <w:sz w:val="26"/>
      <w:szCs w:val="26"/>
    </w:rPr>
  </w:style>
  <w:style w:type="character" w:styleId="HTMLKeyboard">
    <w:name w:val="HTML Keyboard"/>
    <w:basedOn w:val="DefaultParagraphFont"/>
    <w:uiPriority w:val="99"/>
    <w:semiHidden/>
    <w:unhideWhenUsed/>
    <w:rsid w:val="00CA2731"/>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CA2731"/>
    <w:rPr>
      <w:i w:val="0"/>
      <w:iCs w:val="0"/>
    </w:rPr>
  </w:style>
  <w:style w:type="character" w:customStyle="1" w:styleId="input-required">
    <w:name w:val="input-required"/>
    <w:basedOn w:val="DefaultParagraphFont"/>
    <w:rsid w:val="00CA2731"/>
  </w:style>
  <w:style w:type="character" w:styleId="Emphasis">
    <w:name w:val="Emphasis"/>
    <w:basedOn w:val="DefaultParagraphFont"/>
    <w:uiPriority w:val="20"/>
    <w:qFormat/>
    <w:rsid w:val="00CA2731"/>
    <w:rPr>
      <w:i/>
      <w:iCs/>
    </w:rPr>
  </w:style>
  <w:style w:type="paragraph" w:styleId="ListParagraph">
    <w:name w:val="List Paragraph"/>
    <w:basedOn w:val="Normal"/>
    <w:uiPriority w:val="34"/>
    <w:qFormat/>
    <w:rsid w:val="00CA2731"/>
    <w:pPr>
      <w:ind w:left="720"/>
      <w:contextualSpacing/>
    </w:pPr>
  </w:style>
  <w:style w:type="paragraph" w:styleId="Header">
    <w:name w:val="header"/>
    <w:basedOn w:val="Normal"/>
    <w:link w:val="HeaderChar"/>
    <w:uiPriority w:val="99"/>
    <w:unhideWhenUsed/>
    <w:rsid w:val="00973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857"/>
  </w:style>
  <w:style w:type="paragraph" w:styleId="Footer">
    <w:name w:val="footer"/>
    <w:basedOn w:val="Normal"/>
    <w:link w:val="FooterChar"/>
    <w:uiPriority w:val="99"/>
    <w:unhideWhenUsed/>
    <w:rsid w:val="0097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857"/>
  </w:style>
  <w:style w:type="table" w:styleId="TableGrid">
    <w:name w:val="Table Grid"/>
    <w:basedOn w:val="TableNormal"/>
    <w:uiPriority w:val="39"/>
    <w:rsid w:val="0094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0DF"/>
    <w:rPr>
      <w:sz w:val="16"/>
      <w:szCs w:val="16"/>
    </w:rPr>
  </w:style>
  <w:style w:type="paragraph" w:styleId="CommentText">
    <w:name w:val="annotation text"/>
    <w:basedOn w:val="Normal"/>
    <w:link w:val="CommentTextChar"/>
    <w:uiPriority w:val="99"/>
    <w:semiHidden/>
    <w:unhideWhenUsed/>
    <w:rsid w:val="002470DF"/>
    <w:pPr>
      <w:spacing w:line="240" w:lineRule="auto"/>
    </w:pPr>
    <w:rPr>
      <w:sz w:val="20"/>
      <w:szCs w:val="20"/>
    </w:rPr>
  </w:style>
  <w:style w:type="character" w:customStyle="1" w:styleId="CommentTextChar">
    <w:name w:val="Comment Text Char"/>
    <w:basedOn w:val="DefaultParagraphFont"/>
    <w:link w:val="CommentText"/>
    <w:uiPriority w:val="99"/>
    <w:semiHidden/>
    <w:rsid w:val="002470DF"/>
    <w:rPr>
      <w:sz w:val="20"/>
      <w:szCs w:val="20"/>
    </w:rPr>
  </w:style>
  <w:style w:type="paragraph" w:styleId="CommentSubject">
    <w:name w:val="annotation subject"/>
    <w:basedOn w:val="CommentText"/>
    <w:next w:val="CommentText"/>
    <w:link w:val="CommentSubjectChar"/>
    <w:uiPriority w:val="99"/>
    <w:semiHidden/>
    <w:unhideWhenUsed/>
    <w:rsid w:val="002470DF"/>
    <w:rPr>
      <w:b/>
      <w:bCs/>
    </w:rPr>
  </w:style>
  <w:style w:type="character" w:customStyle="1" w:styleId="CommentSubjectChar">
    <w:name w:val="Comment Subject Char"/>
    <w:basedOn w:val="CommentTextChar"/>
    <w:link w:val="CommentSubject"/>
    <w:uiPriority w:val="99"/>
    <w:semiHidden/>
    <w:rsid w:val="00247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4479">
      <w:bodyDiv w:val="1"/>
      <w:marLeft w:val="0"/>
      <w:marRight w:val="0"/>
      <w:marTop w:val="0"/>
      <w:marBottom w:val="0"/>
      <w:divBdr>
        <w:top w:val="none" w:sz="0" w:space="0" w:color="auto"/>
        <w:left w:val="none" w:sz="0" w:space="0" w:color="auto"/>
        <w:bottom w:val="none" w:sz="0" w:space="0" w:color="auto"/>
        <w:right w:val="none" w:sz="0" w:space="0" w:color="auto"/>
      </w:divBdr>
      <w:divsChild>
        <w:div w:id="1770618630">
          <w:marLeft w:val="0"/>
          <w:marRight w:val="0"/>
          <w:marTop w:val="0"/>
          <w:marBottom w:val="0"/>
          <w:divBdr>
            <w:top w:val="none" w:sz="0" w:space="0" w:color="auto"/>
            <w:left w:val="none" w:sz="0" w:space="0" w:color="auto"/>
            <w:bottom w:val="none" w:sz="0" w:space="0" w:color="auto"/>
            <w:right w:val="none" w:sz="0" w:space="0" w:color="auto"/>
          </w:divBdr>
          <w:divsChild>
            <w:div w:id="412168635">
              <w:marLeft w:val="0"/>
              <w:marRight w:val="0"/>
              <w:marTop w:val="0"/>
              <w:marBottom w:val="0"/>
              <w:divBdr>
                <w:top w:val="none" w:sz="0" w:space="0" w:color="auto"/>
                <w:left w:val="none" w:sz="0" w:space="0" w:color="auto"/>
                <w:bottom w:val="none" w:sz="0" w:space="0" w:color="auto"/>
                <w:right w:val="none" w:sz="0" w:space="0" w:color="auto"/>
              </w:divBdr>
              <w:divsChild>
                <w:div w:id="1991401102">
                  <w:marLeft w:val="0"/>
                  <w:marRight w:val="0"/>
                  <w:marTop w:val="0"/>
                  <w:marBottom w:val="0"/>
                  <w:divBdr>
                    <w:top w:val="none" w:sz="0" w:space="0" w:color="auto"/>
                    <w:left w:val="none" w:sz="0" w:space="0" w:color="auto"/>
                    <w:bottom w:val="none" w:sz="0" w:space="0" w:color="auto"/>
                    <w:right w:val="none" w:sz="0" w:space="0" w:color="auto"/>
                  </w:divBdr>
                  <w:divsChild>
                    <w:div w:id="259878409">
                      <w:marLeft w:val="0"/>
                      <w:marRight w:val="0"/>
                      <w:marTop w:val="0"/>
                      <w:marBottom w:val="0"/>
                      <w:divBdr>
                        <w:top w:val="none" w:sz="0" w:space="0" w:color="auto"/>
                        <w:left w:val="none" w:sz="0" w:space="0" w:color="auto"/>
                        <w:bottom w:val="none" w:sz="0" w:space="0" w:color="auto"/>
                        <w:right w:val="none" w:sz="0" w:space="0" w:color="auto"/>
                      </w:divBdr>
                      <w:divsChild>
                        <w:div w:id="1880818041">
                          <w:marLeft w:val="0"/>
                          <w:marRight w:val="0"/>
                          <w:marTop w:val="0"/>
                          <w:marBottom w:val="0"/>
                          <w:divBdr>
                            <w:top w:val="none" w:sz="0" w:space="0" w:color="auto"/>
                            <w:left w:val="none" w:sz="0" w:space="0" w:color="auto"/>
                            <w:bottom w:val="none" w:sz="0" w:space="0" w:color="auto"/>
                            <w:right w:val="none" w:sz="0" w:space="0" w:color="auto"/>
                          </w:divBdr>
                          <w:divsChild>
                            <w:div w:id="1606310381">
                              <w:marLeft w:val="0"/>
                              <w:marRight w:val="0"/>
                              <w:marTop w:val="0"/>
                              <w:marBottom w:val="0"/>
                              <w:divBdr>
                                <w:top w:val="none" w:sz="0" w:space="0" w:color="auto"/>
                                <w:left w:val="none" w:sz="0" w:space="0" w:color="auto"/>
                                <w:bottom w:val="none" w:sz="0" w:space="0" w:color="auto"/>
                                <w:right w:val="none" w:sz="0" w:space="0" w:color="auto"/>
                              </w:divBdr>
                              <w:divsChild>
                                <w:div w:id="265385508">
                                  <w:marLeft w:val="0"/>
                                  <w:marRight w:val="0"/>
                                  <w:marTop w:val="0"/>
                                  <w:marBottom w:val="0"/>
                                  <w:divBdr>
                                    <w:top w:val="none" w:sz="0" w:space="0" w:color="auto"/>
                                    <w:left w:val="none" w:sz="0" w:space="0" w:color="auto"/>
                                    <w:bottom w:val="none" w:sz="0" w:space="0" w:color="auto"/>
                                    <w:right w:val="none" w:sz="0" w:space="0" w:color="auto"/>
                                  </w:divBdr>
                                  <w:divsChild>
                                    <w:div w:id="465046055">
                                      <w:marLeft w:val="0"/>
                                      <w:marRight w:val="0"/>
                                      <w:marTop w:val="0"/>
                                      <w:marBottom w:val="0"/>
                                      <w:divBdr>
                                        <w:top w:val="none" w:sz="0" w:space="0" w:color="auto"/>
                                        <w:left w:val="none" w:sz="0" w:space="0" w:color="auto"/>
                                        <w:bottom w:val="none" w:sz="0" w:space="0" w:color="auto"/>
                                        <w:right w:val="none" w:sz="0" w:space="0" w:color="auto"/>
                                      </w:divBdr>
                                      <w:divsChild>
                                        <w:div w:id="495078806">
                                          <w:marLeft w:val="0"/>
                                          <w:marRight w:val="0"/>
                                          <w:marTop w:val="0"/>
                                          <w:marBottom w:val="0"/>
                                          <w:divBdr>
                                            <w:top w:val="none" w:sz="0" w:space="0" w:color="auto"/>
                                            <w:left w:val="none" w:sz="0" w:space="0" w:color="auto"/>
                                            <w:bottom w:val="none" w:sz="0" w:space="0" w:color="auto"/>
                                            <w:right w:val="none" w:sz="0" w:space="0" w:color="auto"/>
                                          </w:divBdr>
                                          <w:divsChild>
                                            <w:div w:id="419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Gouvernement du Canada/Government of Canada</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Sezginalp</dc:creator>
  <cp:keywords/>
  <dc:description/>
  <cp:lastModifiedBy>Baris Bilgen</cp:lastModifiedBy>
  <cp:revision>19</cp:revision>
  <dcterms:created xsi:type="dcterms:W3CDTF">2019-06-26T19:29:00Z</dcterms:created>
  <dcterms:modified xsi:type="dcterms:W3CDTF">2022-09-02T14:37:00Z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1635077599</vt:i4>
  </property>
  <property fmtid="{D5CDD505-2E9C-101B-9397-08002B2CF9AE}" pid="3" name="_NewReviewCycle">
    <vt:lpwstr/>
  </property>
  <property fmtid="{D5CDD505-2E9C-101B-9397-08002B2CF9AE}" pid="4" name="_EmailSubject">
    <vt:lpwstr>Commande(s) : 10450873  [-]  Contrat : 200004105_ProtB</vt:lpwstr>
  </property>
  <property fmtid="{D5CDD505-2E9C-101B-9397-08002B2CF9AE}" pid="5" name="_AuthorEmail">
    <vt:lpwstr>Marc.Lalonde2@tpsgc-pwgsc.gc.ca</vt:lpwstr>
  </property>
  <property fmtid="{D5CDD505-2E9C-101B-9397-08002B2CF9AE}" pid="6" name="_AuthorEmailDisplayName">
    <vt:lpwstr>Marc Lalonde (JR)</vt:lpwstr>
  </property>
  <property fmtid="{D5CDD505-2E9C-101B-9397-08002B2CF9AE}" pid="7" name="_ReviewingToolsShownOnce">
    <vt:lpwstr/>
  </property>
  <property fmtid="{D5CDD505-2E9C-101B-9397-08002B2CF9AE}" pid="8" name="RunPrepV5.0.2">
    <vt:lpwstr>2021-06-02 09:28:49</vt:lpwstr>
  </property>
</Properties>
</file>