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BD7F1" w14:textId="15D9919A" w:rsidR="003D2353" w:rsidRPr="006E3CDE" w:rsidRDefault="00516EBD" w:rsidP="002F0C58">
      <w:pPr>
        <w:spacing w:after="0"/>
        <w:rPr>
          <w:rFonts w:cstheme="minorHAnsi"/>
          <w:b/>
          <w:sz w:val="24"/>
          <w:szCs w:val="24"/>
          <w:lang w:val="fr-CA"/>
        </w:rPr>
      </w:pPr>
      <w:bookmarkStart w:id="0" w:name="_GoBack"/>
      <w:bookmarkEnd w:id="0"/>
      <w:r w:rsidRPr="006E3CDE">
        <w:rPr>
          <w:rFonts w:cstheme="minorHAnsi"/>
          <w:b/>
          <w:sz w:val="24"/>
          <w:szCs w:val="24"/>
          <w:lang w:val="fr-CA"/>
        </w:rPr>
        <w:t>Discussion téléphonique entre Chris</w:t>
      </w:r>
      <w:r w:rsidR="005F436E">
        <w:rPr>
          <w:rFonts w:cstheme="minorHAnsi"/>
          <w:b/>
          <w:sz w:val="24"/>
          <w:szCs w:val="24"/>
          <w:lang w:val="fr-CA"/>
        </w:rPr>
        <w:t> </w:t>
      </w:r>
      <w:r w:rsidRPr="006E3CDE">
        <w:rPr>
          <w:rFonts w:cstheme="minorHAnsi"/>
          <w:b/>
          <w:sz w:val="24"/>
          <w:szCs w:val="24"/>
          <w:lang w:val="fr-CA"/>
        </w:rPr>
        <w:t>Aylward, Debi</w:t>
      </w:r>
      <w:r w:rsidR="005F436E">
        <w:rPr>
          <w:rFonts w:cstheme="minorHAnsi"/>
          <w:b/>
          <w:sz w:val="24"/>
          <w:szCs w:val="24"/>
          <w:lang w:val="fr-CA"/>
        </w:rPr>
        <w:t> </w:t>
      </w:r>
      <w:r w:rsidRPr="006E3CDE">
        <w:rPr>
          <w:rFonts w:cstheme="minorHAnsi"/>
          <w:b/>
          <w:sz w:val="24"/>
          <w:szCs w:val="24"/>
          <w:lang w:val="fr-CA"/>
        </w:rPr>
        <w:t>Daviau et Alex</w:t>
      </w:r>
      <w:r w:rsidR="005F436E">
        <w:rPr>
          <w:rFonts w:cstheme="minorHAnsi"/>
          <w:b/>
          <w:sz w:val="24"/>
          <w:szCs w:val="24"/>
          <w:lang w:val="fr-CA"/>
        </w:rPr>
        <w:t> </w:t>
      </w:r>
      <w:r w:rsidRPr="006E3CDE">
        <w:rPr>
          <w:rFonts w:cstheme="minorHAnsi"/>
          <w:b/>
          <w:sz w:val="24"/>
          <w:szCs w:val="24"/>
          <w:lang w:val="fr-CA"/>
        </w:rPr>
        <w:t>Benay le 28</w:t>
      </w:r>
      <w:r w:rsidR="005F436E">
        <w:rPr>
          <w:rFonts w:cstheme="minorHAnsi"/>
          <w:b/>
          <w:sz w:val="24"/>
          <w:szCs w:val="24"/>
          <w:lang w:val="fr-CA"/>
        </w:rPr>
        <w:t> </w:t>
      </w:r>
      <w:r w:rsidRPr="006E3CDE">
        <w:rPr>
          <w:rFonts w:cstheme="minorHAnsi"/>
          <w:b/>
          <w:sz w:val="24"/>
          <w:szCs w:val="24"/>
          <w:lang w:val="fr-CA"/>
        </w:rPr>
        <w:t>mars</w:t>
      </w:r>
      <w:r w:rsidR="0025637E">
        <w:rPr>
          <w:rFonts w:cstheme="minorHAnsi"/>
          <w:b/>
          <w:sz w:val="24"/>
          <w:szCs w:val="24"/>
          <w:lang w:val="fr-CA"/>
        </w:rPr>
        <w:t>.</w:t>
      </w:r>
    </w:p>
    <w:p w14:paraId="6C57F53E" w14:textId="77777777" w:rsidR="002F0C58" w:rsidRPr="006E3CDE" w:rsidRDefault="0029309C" w:rsidP="002F0C58">
      <w:pPr>
        <w:spacing w:after="0"/>
        <w:rPr>
          <w:rFonts w:cstheme="minorHAnsi"/>
          <w:b/>
          <w:sz w:val="24"/>
          <w:szCs w:val="24"/>
          <w:lang w:val="fr-CA"/>
        </w:rPr>
      </w:pPr>
      <w:r w:rsidRPr="006E3CDE">
        <w:rPr>
          <w:rFonts w:cstheme="minorHAnsi"/>
          <w:b/>
          <w:sz w:val="24"/>
          <w:szCs w:val="24"/>
          <w:lang w:val="fr-CA"/>
        </w:rPr>
        <w:t>Notes d’allocution</w:t>
      </w:r>
    </w:p>
    <w:p w14:paraId="05684151" w14:textId="77777777" w:rsidR="002F0C58" w:rsidRPr="006E3CDE" w:rsidRDefault="00FB55D3" w:rsidP="002F0C58">
      <w:pPr>
        <w:rPr>
          <w:rFonts w:cstheme="minorHAnsi"/>
          <w:b/>
          <w:sz w:val="24"/>
          <w:szCs w:val="24"/>
          <w:lang w:val="fr-CA"/>
        </w:rPr>
      </w:pPr>
    </w:p>
    <w:p w14:paraId="0B9E6239" w14:textId="4ED25D83" w:rsidR="00545A94" w:rsidRPr="006E3CDE" w:rsidRDefault="00CD3970" w:rsidP="002F0C58">
      <w:pPr>
        <w:rPr>
          <w:rFonts w:cstheme="minorHAnsi"/>
          <w:b/>
          <w:sz w:val="24"/>
          <w:szCs w:val="24"/>
          <w:lang w:val="fr-CA"/>
        </w:rPr>
      </w:pPr>
      <w:r w:rsidRPr="006E3CDE">
        <w:rPr>
          <w:rFonts w:cstheme="minorHAnsi"/>
          <w:b/>
          <w:sz w:val="24"/>
          <w:szCs w:val="24"/>
          <w:lang w:val="fr-CA"/>
        </w:rPr>
        <w:t>Point de contrôle</w:t>
      </w:r>
      <w:r w:rsidR="005F436E">
        <w:rPr>
          <w:rFonts w:cstheme="minorHAnsi"/>
          <w:b/>
          <w:sz w:val="24"/>
          <w:szCs w:val="24"/>
          <w:lang w:val="fr-CA"/>
        </w:rPr>
        <w:t xml:space="preserve"> n</w:t>
      </w:r>
      <w:r w:rsidR="005F436E" w:rsidRPr="00096A50">
        <w:rPr>
          <w:rFonts w:cstheme="minorHAnsi"/>
          <w:b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cstheme="minorHAnsi"/>
          <w:b/>
          <w:sz w:val="24"/>
          <w:szCs w:val="24"/>
          <w:lang w:val="fr-CA"/>
        </w:rPr>
        <w:t> </w:t>
      </w:r>
      <w:r w:rsidRPr="006E3CDE">
        <w:rPr>
          <w:rFonts w:cstheme="minorHAnsi"/>
          <w:b/>
          <w:sz w:val="24"/>
          <w:szCs w:val="24"/>
          <w:lang w:val="fr-CA"/>
        </w:rPr>
        <w:t>3</w:t>
      </w:r>
    </w:p>
    <w:p w14:paraId="562AD51C" w14:textId="72DA111C" w:rsidR="005C2774" w:rsidRPr="006E3CDE" w:rsidRDefault="00F42B6A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équipe travaille actuellement au point de contrôle n</w:t>
      </w:r>
      <w:r w:rsidRPr="00096A50">
        <w:rPr>
          <w:rFonts w:asciiTheme="minorHAnsi" w:hAnsiTheme="minorHAnsi" w:cstheme="minorHAnsi"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3 de 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approvisionnement agile, qui a été lancé en mars et fournira deux options d’approvisionnement : 1) un moyen par lequel les organis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ations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du 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>gouvernement du Canada (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GC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>)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peuvent acquérir la trousse de base des </w:t>
      </w:r>
      <w:r w:rsidR="0017772E">
        <w:rPr>
          <w:rFonts w:asciiTheme="minorHAnsi" w:hAnsiTheme="minorHAnsi" w:cstheme="minorHAnsi"/>
          <w:sz w:val="24"/>
          <w:szCs w:val="24"/>
          <w:lang w:val="fr-CA"/>
        </w:rPr>
        <w:t>ressources humaines (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RH</w:t>
      </w:r>
      <w:r w:rsidR="0017772E">
        <w:rPr>
          <w:rFonts w:asciiTheme="minorHAnsi" w:hAnsiTheme="minorHAnsi" w:cstheme="minorHAnsi"/>
          <w:sz w:val="24"/>
          <w:szCs w:val="24"/>
          <w:lang w:val="fr-CA"/>
        </w:rPr>
        <w:t>)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et de la paye de manière efficiente et efficace; et 2) un moyen souple pour acheter des solutions supplémentaires et faire appel à des dispositions de rechange, au besoin, pour faciliter des résultats opérationnels pour les organis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ations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dans le GC.</w:t>
      </w:r>
    </w:p>
    <w:p w14:paraId="443E7A0C" w14:textId="72883F55" w:rsidR="005C2774" w:rsidRPr="006E3CDE" w:rsidRDefault="000B7CB7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Les exigences du point de contrôle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 xml:space="preserve"> n</w:t>
      </w:r>
      <w:r w:rsidR="005F436E" w:rsidRPr="00096A50">
        <w:rPr>
          <w:rFonts w:asciiTheme="minorHAnsi" w:hAnsiTheme="minorHAnsi" w:cstheme="minorHAnsi"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3 comprendront et évalueront la solution numérique, y compris la gestion des données, la mise en 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œ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uvre et la gestion du changement, y compris de 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intégrité et la sécurité des services, des expériences de partenariat, y compris un accord sur les niveaux de service, et 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optimisation des ressources, y compris les coûts et les services à valeur ajoutée.</w:t>
      </w:r>
    </w:p>
    <w:p w14:paraId="2BDD0743" w14:textId="77777777" w:rsidR="005C2774" w:rsidRPr="006E3CDE" w:rsidRDefault="009F204F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Le point de contrôle n</w:t>
      </w:r>
      <w:r w:rsidRPr="00096A50">
        <w:rPr>
          <w:rFonts w:asciiTheme="minorHAnsi" w:hAnsiTheme="minorHAnsi" w:cstheme="minorHAnsi"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3 prendra fin en avril, avec des évaluations et les résultats prévus pour le mois de mai.</w:t>
      </w:r>
    </w:p>
    <w:p w14:paraId="596C5434" w14:textId="77777777" w:rsidR="00545A94" w:rsidRPr="006E3CDE" w:rsidRDefault="00FB55D3" w:rsidP="00545A94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14:paraId="2BE737F1" w14:textId="77777777" w:rsidR="00545A94" w:rsidRPr="006E3CDE" w:rsidRDefault="006F208C" w:rsidP="005C2774">
      <w:pPr>
        <w:rPr>
          <w:rFonts w:cstheme="minorHAnsi"/>
          <w:b/>
          <w:sz w:val="24"/>
          <w:szCs w:val="24"/>
          <w:lang w:val="fr-CA"/>
        </w:rPr>
      </w:pPr>
      <w:r w:rsidRPr="006E3CDE">
        <w:rPr>
          <w:rFonts w:cstheme="minorHAnsi"/>
          <w:b/>
          <w:sz w:val="24"/>
          <w:szCs w:val="24"/>
          <w:lang w:val="fr-CA"/>
        </w:rPr>
        <w:t>Exposition numérique pour les utilisateurs</w:t>
      </w:r>
    </w:p>
    <w:p w14:paraId="6059E55A" w14:textId="77777777" w:rsidR="005C2774" w:rsidRPr="006E3CDE" w:rsidRDefault="00583476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équipe ProGen travaille actuellement sur une exposition numérique pour les utilisateurs en vue d’élargir notre mobilisation auprès des fonctionnaires de tout le Canada.</w:t>
      </w:r>
    </w:p>
    <w:p w14:paraId="73C08E80" w14:textId="618EC378" w:rsidR="005C2774" w:rsidRPr="006E3CDE" w:rsidRDefault="009C55CD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exposition numérique pour les utilisateurs se déroulerait du 8 au 30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avril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2019 (trois</w:t>
      </w:r>
      <w:r w:rsidR="005F436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semaines) afin de coïncider avec le point de contrôle n</w:t>
      </w:r>
      <w:r w:rsidRPr="00096A50">
        <w:rPr>
          <w:rFonts w:asciiTheme="minorHAnsi" w:hAnsiTheme="minorHAnsi" w:cstheme="minorHAnsi"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3 du processus d’approvisionnement agile et tirerait parti du site Web actuel de 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initiative, et des outils comme GCpédia, selon le modèle de prestation.</w:t>
      </w:r>
    </w:p>
    <w:p w14:paraId="3D27B86A" w14:textId="77777777" w:rsidR="005C2774" w:rsidRPr="006E3CDE" w:rsidRDefault="00DE7DA4" w:rsidP="005C27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exposition numérique pour les utilisateurs comprendrait trois activités principales :</w:t>
      </w:r>
    </w:p>
    <w:p w14:paraId="37DA9459" w14:textId="07B77093" w:rsidR="005C2774" w:rsidRPr="006E3CDE" w:rsidRDefault="001C5FFB" w:rsidP="005C2774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Solutions possibles 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– 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E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xpérimente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z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des solutions possibles et faites-nous part de vos commentaires.</w:t>
      </w:r>
    </w:p>
    <w:p w14:paraId="5779EC01" w14:textId="23666676" w:rsidR="005C2774" w:rsidRPr="006E3CDE" w:rsidRDefault="00F23542" w:rsidP="005C2774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Questions et réponses 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– 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P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lateforme en ligne permettant aux fonctionnaires de soumettre leurs questions à l’équipe ProGen.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5F032C" w:rsidRPr="006E3CDE">
        <w:rPr>
          <w:rFonts w:asciiTheme="minorHAnsi" w:hAnsiTheme="minorHAnsi" w:cstheme="minorHAnsi"/>
          <w:sz w:val="24"/>
          <w:szCs w:val="24"/>
          <w:lang w:val="fr-CA"/>
        </w:rPr>
        <w:t>Un manuel des réponses sera élaboré à la suite de cette mobilisation.</w:t>
      </w:r>
    </w:p>
    <w:p w14:paraId="7B5FBBC0" w14:textId="33A71B64" w:rsidR="005C2774" w:rsidRPr="006E3CDE" w:rsidRDefault="00CE2A67" w:rsidP="005C2774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Rétroaction 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– Télécharge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z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notre photo modèle #NextGenHRPay 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(#ProGenRHPaye) 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à partir de notre trousse d</w:t>
      </w:r>
      <w:r w:rsidR="006E3CDE" w:rsidRPr="006E3CDE">
        <w:rPr>
          <w:rFonts w:asciiTheme="minorHAnsi" w:hAnsiTheme="minorHAnsi" w:cstheme="minorHAnsi"/>
          <w:bCs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outils ProGen et présentez vos idées pour une solution de</w:t>
      </w:r>
      <w:r w:rsidR="0025637E">
        <w:rPr>
          <w:rFonts w:asciiTheme="minorHAnsi" w:hAnsiTheme="minorHAnsi" w:cstheme="minorHAnsi"/>
          <w:bCs/>
          <w:sz w:val="24"/>
          <w:szCs w:val="24"/>
          <w:lang w:val="fr-CA"/>
        </w:rPr>
        <w:t>s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ressources hum</w:t>
      </w:r>
      <w:r w:rsidR="007A6285">
        <w:rPr>
          <w:rFonts w:asciiTheme="minorHAnsi" w:hAnsiTheme="minorHAnsi" w:cstheme="minorHAnsi"/>
          <w:bCs/>
          <w:sz w:val="24"/>
          <w:szCs w:val="24"/>
          <w:lang w:val="fr-CA"/>
        </w:rPr>
        <w:t>ai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nes (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RH</w:t>
      </w:r>
      <w:r w:rsidR="005F436E">
        <w:rPr>
          <w:rFonts w:asciiTheme="minorHAnsi" w:hAnsiTheme="minorHAnsi" w:cstheme="minorHAnsi"/>
          <w:bCs/>
          <w:sz w:val="24"/>
          <w:szCs w:val="24"/>
          <w:lang w:val="fr-CA"/>
        </w:rPr>
        <w:t>)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 et de </w:t>
      </w:r>
      <w:r w:rsidR="0025637E">
        <w:rPr>
          <w:rFonts w:asciiTheme="minorHAnsi" w:hAnsiTheme="minorHAnsi" w:cstheme="minorHAnsi"/>
          <w:bCs/>
          <w:sz w:val="24"/>
          <w:szCs w:val="24"/>
          <w:lang w:val="fr-CA"/>
        </w:rPr>
        <w:t xml:space="preserve">la </w:t>
      </w:r>
      <w:r w:rsidRPr="006E3CDE">
        <w:rPr>
          <w:rFonts w:asciiTheme="minorHAnsi" w:hAnsiTheme="minorHAnsi" w:cstheme="minorHAnsi"/>
          <w:bCs/>
          <w:sz w:val="24"/>
          <w:szCs w:val="24"/>
          <w:lang w:val="fr-CA"/>
        </w:rPr>
        <w:t>paye de la prochaine génération.</w:t>
      </w:r>
    </w:p>
    <w:p w14:paraId="22B2A957" w14:textId="77777777" w:rsidR="005C2774" w:rsidRPr="006E3CDE" w:rsidRDefault="00FB55D3" w:rsidP="005C2774">
      <w:pPr>
        <w:pStyle w:val="ListParagraph"/>
        <w:rPr>
          <w:rFonts w:asciiTheme="minorHAnsi" w:hAnsiTheme="minorHAnsi" w:cstheme="minorHAnsi"/>
          <w:sz w:val="24"/>
          <w:szCs w:val="24"/>
          <w:lang w:val="fr-CA"/>
        </w:rPr>
      </w:pPr>
    </w:p>
    <w:p w14:paraId="3B173A5C" w14:textId="77777777" w:rsidR="005C2774" w:rsidRPr="006E3CDE" w:rsidRDefault="003069F5" w:rsidP="00545A94">
      <w:pPr>
        <w:rPr>
          <w:rFonts w:cstheme="minorHAnsi"/>
          <w:b/>
          <w:sz w:val="24"/>
          <w:szCs w:val="24"/>
          <w:lang w:val="fr-CA"/>
        </w:rPr>
      </w:pPr>
      <w:r w:rsidRPr="006E3CDE">
        <w:rPr>
          <w:rFonts w:cstheme="minorHAnsi"/>
          <w:b/>
          <w:sz w:val="24"/>
          <w:szCs w:val="24"/>
          <w:lang w:val="fr-CA"/>
        </w:rPr>
        <w:t>Budget de 2019</w:t>
      </w:r>
    </w:p>
    <w:p w14:paraId="0526A767" w14:textId="632F2D2D" w:rsidR="00C82D27" w:rsidRPr="006E3CDE" w:rsidRDefault="005F5170" w:rsidP="00C82D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Dans le cadre du 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B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udget de 2019, le gouvernement a signalé le travail continu de l’Initiative de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s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RH et de 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 xml:space="preserve">la 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paye de la prochaine génération visant à déterminer les options pour une solution de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s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 RH et de 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 xml:space="preserve">la 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paye de la prochaine génération.</w:t>
      </w:r>
    </w:p>
    <w:p w14:paraId="36F0D4F0" w14:textId="04E25201" w:rsidR="00C82D27" w:rsidRPr="006E3CDE" w:rsidRDefault="0039225F" w:rsidP="00C82D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lastRenderedPageBreak/>
        <w:t xml:space="preserve">À titre de prochaine étape, le 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B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udget de 2019 a so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uligné la nécessité des projets-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pilotes afin de tester davantage les solutions possibles avec certains ministères et organismes.</w:t>
      </w:r>
    </w:p>
    <w:p w14:paraId="5025CFB5" w14:textId="6F86F514" w:rsidR="00C82D27" w:rsidRPr="006E3CDE" w:rsidRDefault="00A21379" w:rsidP="00C82D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 xml:space="preserve">Même si le 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B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udget de 2019 n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a pas attribué des fonds pour poursuivre ces prochaines étapes, les éléments de preuve nécessaires pour obtenir le financement deviendront disponibles au moyen du point de contrôle n</w:t>
      </w:r>
      <w:r w:rsidRPr="00096A50">
        <w:rPr>
          <w:rFonts w:asciiTheme="minorHAnsi" w:hAnsiTheme="minorHAnsi" w:cstheme="minorHAnsi"/>
          <w:sz w:val="24"/>
          <w:szCs w:val="24"/>
          <w:vertAlign w:val="superscript"/>
          <w:lang w:val="fr-CA"/>
        </w:rPr>
        <w:t>o</w:t>
      </w:r>
      <w:r w:rsidR="006E3CDE" w:rsidRPr="006E3CDE">
        <w:rPr>
          <w:rFonts w:asciiTheme="minorHAnsi" w:hAnsiTheme="minorHAnsi" w:cstheme="minorHAnsi"/>
          <w:sz w:val="24"/>
          <w:szCs w:val="24"/>
          <w:lang w:val="fr-CA"/>
        </w:rPr>
        <w:t> 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3 du processus d’approvisionnement agile.</w:t>
      </w:r>
    </w:p>
    <w:p w14:paraId="559E2865" w14:textId="00F338D6" w:rsidR="00C82D27" w:rsidRPr="006E3CDE" w:rsidRDefault="008C043B" w:rsidP="00C82D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6E3CDE">
        <w:rPr>
          <w:rFonts w:asciiTheme="minorHAnsi" w:hAnsiTheme="minorHAnsi" w:cstheme="minorHAnsi"/>
          <w:sz w:val="24"/>
          <w:szCs w:val="24"/>
          <w:lang w:val="fr-CA"/>
        </w:rPr>
        <w:t>Une fois que les renseign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ements pour valider les projets-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pilotes et les coûts seront disponibles, l’équipe ProGen cherchera à obtenir une décision de financement sur la prochaine phase des travaux dans le cadre de cette initiative, y compris le financement des ressources et des activités pour appuye</w:t>
      </w:r>
      <w:r w:rsidR="0025637E">
        <w:rPr>
          <w:rFonts w:asciiTheme="minorHAnsi" w:hAnsiTheme="minorHAnsi" w:cstheme="minorHAnsi"/>
          <w:sz w:val="24"/>
          <w:szCs w:val="24"/>
          <w:lang w:val="fr-CA"/>
        </w:rPr>
        <w:t>r le travail durant les projets-</w:t>
      </w:r>
      <w:r w:rsidRPr="006E3CDE">
        <w:rPr>
          <w:rFonts w:asciiTheme="minorHAnsi" w:hAnsiTheme="minorHAnsi" w:cstheme="minorHAnsi"/>
          <w:sz w:val="24"/>
          <w:szCs w:val="24"/>
          <w:lang w:val="fr-CA"/>
        </w:rPr>
        <w:t>pilotes proposés.</w:t>
      </w:r>
    </w:p>
    <w:p w14:paraId="2F809C22" w14:textId="77777777" w:rsidR="002F0C58" w:rsidRPr="006E3CDE" w:rsidRDefault="00FB55D3">
      <w:pPr>
        <w:rPr>
          <w:rFonts w:cstheme="minorHAnsi"/>
          <w:sz w:val="24"/>
          <w:szCs w:val="24"/>
          <w:lang w:val="fr-CA"/>
        </w:rPr>
      </w:pPr>
    </w:p>
    <w:sectPr w:rsidR="002F0C58" w:rsidRPr="006E3CDE" w:rsidSect="00715E8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DF61" w14:textId="77777777" w:rsidR="00FB55D3" w:rsidRDefault="00FB55D3">
      <w:pPr>
        <w:spacing w:after="0" w:line="240" w:lineRule="auto"/>
      </w:pPr>
      <w:r>
        <w:separator/>
      </w:r>
    </w:p>
  </w:endnote>
  <w:endnote w:type="continuationSeparator" w:id="0">
    <w:p w14:paraId="5E233E59" w14:textId="77777777" w:rsidR="00FB55D3" w:rsidRDefault="00F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141A" w14:textId="77777777" w:rsidR="00FB55D3" w:rsidRDefault="00FB55D3">
      <w:pPr>
        <w:spacing w:after="0" w:line="240" w:lineRule="auto"/>
      </w:pPr>
      <w:r>
        <w:separator/>
      </w:r>
    </w:p>
  </w:footnote>
  <w:footnote w:type="continuationSeparator" w:id="0">
    <w:p w14:paraId="5F29D1F3" w14:textId="77777777" w:rsidR="00FB55D3" w:rsidRDefault="00F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64D6" w14:textId="77777777" w:rsidR="00715E89" w:rsidRDefault="00FB55D3" w:rsidP="00715E89">
    <w:pPr>
      <w:pStyle w:val="Header"/>
    </w:pPr>
    <w:bookmarkStart w:id="1" w:name="TITUS1HeaderEvenPages"/>
  </w:p>
  <w:bookmarkEnd w:id="1"/>
  <w:p w14:paraId="7B15438D" w14:textId="77777777" w:rsidR="00715E89" w:rsidRDefault="00FB55D3" w:rsidP="00715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6624" w14:textId="77777777" w:rsidR="00715E89" w:rsidRDefault="00FB55D3" w:rsidP="00715E89">
    <w:pPr>
      <w:pStyle w:val="Header"/>
    </w:pPr>
    <w:bookmarkStart w:id="2" w:name="TITUS1HeaderPrimary"/>
  </w:p>
  <w:bookmarkEnd w:id="2"/>
  <w:p w14:paraId="69E25C33" w14:textId="77777777" w:rsidR="00715E89" w:rsidRDefault="00FB5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9AB5" w14:textId="77777777" w:rsidR="00715E89" w:rsidRDefault="00FB55D3" w:rsidP="00715E89">
    <w:pPr>
      <w:pStyle w:val="Header"/>
    </w:pPr>
    <w:bookmarkStart w:id="3" w:name="TITUS1HeaderFirstPage"/>
  </w:p>
  <w:bookmarkEnd w:id="3"/>
  <w:p w14:paraId="483AE500" w14:textId="77777777" w:rsidR="00715E89" w:rsidRDefault="00FB55D3" w:rsidP="00715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C0858"/>
    <w:multiLevelType w:val="hybridMultilevel"/>
    <w:tmpl w:val="A56229BE"/>
    <w:lvl w:ilvl="0" w:tplc="617A2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C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0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8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9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2D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CD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3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26F984-A378-40BF-8629-F4A9E48BCBCE}"/>
    <w:docVar w:name="dgnword-eventsink" w:val="791163968"/>
  </w:docVars>
  <w:rsids>
    <w:rsidRoot w:val="00516EBD"/>
    <w:rsid w:val="00030A78"/>
    <w:rsid w:val="00096A50"/>
    <w:rsid w:val="0009718E"/>
    <w:rsid w:val="000B7CB7"/>
    <w:rsid w:val="0017772E"/>
    <w:rsid w:val="001C5FFB"/>
    <w:rsid w:val="0025637E"/>
    <w:rsid w:val="0029309C"/>
    <w:rsid w:val="002939B8"/>
    <w:rsid w:val="002B7494"/>
    <w:rsid w:val="003069F5"/>
    <w:rsid w:val="0039225F"/>
    <w:rsid w:val="003D3420"/>
    <w:rsid w:val="003F01D0"/>
    <w:rsid w:val="00404B47"/>
    <w:rsid w:val="0042297D"/>
    <w:rsid w:val="00516EBD"/>
    <w:rsid w:val="00583476"/>
    <w:rsid w:val="005F032C"/>
    <w:rsid w:val="005F436E"/>
    <w:rsid w:val="005F5170"/>
    <w:rsid w:val="006038C1"/>
    <w:rsid w:val="006E3CDE"/>
    <w:rsid w:val="006F208C"/>
    <w:rsid w:val="007A6285"/>
    <w:rsid w:val="008C043B"/>
    <w:rsid w:val="00901504"/>
    <w:rsid w:val="009C55CD"/>
    <w:rsid w:val="009E2EBA"/>
    <w:rsid w:val="009F204F"/>
    <w:rsid w:val="00A21379"/>
    <w:rsid w:val="00A85965"/>
    <w:rsid w:val="00CD3970"/>
    <w:rsid w:val="00CE2A67"/>
    <w:rsid w:val="00DE7DA4"/>
    <w:rsid w:val="00F23542"/>
    <w:rsid w:val="00F42B6A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5C5E"/>
  <w15:chartTrackingRefBased/>
  <w15:docId w15:val="{AD4B8067-1E42-4B27-8EFB-6FE5ED3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5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89"/>
  </w:style>
  <w:style w:type="paragraph" w:styleId="Footer">
    <w:name w:val="footer"/>
    <w:basedOn w:val="Normal"/>
    <w:link w:val="FooterChar"/>
    <w:uiPriority w:val="99"/>
    <w:unhideWhenUsed/>
    <w:rsid w:val="0071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89"/>
  </w:style>
  <w:style w:type="character" w:styleId="CommentReference">
    <w:name w:val="annotation reference"/>
    <w:basedOn w:val="DefaultParagraphFont"/>
    <w:uiPriority w:val="99"/>
    <w:semiHidden/>
    <w:unhideWhenUsed/>
    <w:rsid w:val="005F4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Kyra</dc:creator>
  <cp:lastModifiedBy>Leblanc, Isabelle</cp:lastModifiedBy>
  <cp:revision>2</cp:revision>
  <cp:lastPrinted>2019-03-27T19:51:00Z</cp:lastPrinted>
  <dcterms:created xsi:type="dcterms:W3CDTF">2019-04-16T16:11:00Z</dcterms:created>
  <dcterms:modified xsi:type="dcterms:W3CDTF">2019-04-16T16:11:00Z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CLASS">
    <vt:lpwstr>CLASSU</vt:lpwstr>
  </property>
  <property fmtid="{D5CDD505-2E9C-101B-9397-08002B2CF9AE}" pid="3" name="TitusGUID">
    <vt:lpwstr>35850df4-0830-4238-a74b-0ea4a052124e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