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D3" w:rsidRPr="00F62708" w:rsidRDefault="009E78E9" w:rsidP="00E62BD3">
      <w:pPr>
        <w:spacing w:line="240" w:lineRule="auto"/>
        <w:jc w:val="center"/>
        <w:rPr>
          <w:rFonts w:cs="Arial"/>
          <w:b/>
          <w:caps/>
          <w:sz w:val="28"/>
          <w:szCs w:val="28"/>
        </w:rPr>
      </w:pPr>
      <w:bookmarkStart w:id="0" w:name="lt_pId000"/>
      <w:r w:rsidRPr="00F62708">
        <w:rPr>
          <w:b/>
          <w:caps/>
          <w:sz w:val="32"/>
          <w:szCs w:val="32"/>
        </w:rPr>
        <w:t>INITIATIVE DES RH ET de la PAYE DE LA PROCHAINE GÉNÉRATION</w:t>
      </w:r>
      <w:bookmarkEnd w:id="0"/>
    </w:p>
    <w:p w:rsidR="00CD16FD" w:rsidRPr="005D619B" w:rsidRDefault="009E78E9" w:rsidP="00E62BD3">
      <w:pPr>
        <w:spacing w:line="240" w:lineRule="auto"/>
        <w:rPr>
          <w:rFonts w:cs="Arial"/>
          <w:b/>
          <w:caps/>
          <w:sz w:val="28"/>
          <w:szCs w:val="28"/>
          <w:u w:val="single"/>
        </w:rPr>
      </w:pPr>
      <w:bookmarkStart w:id="1" w:name="lt_pId001"/>
      <w:r w:rsidRPr="00F62708">
        <w:rPr>
          <w:b/>
          <w:sz w:val="28"/>
          <w:szCs w:val="28"/>
          <w:u w:val="single"/>
        </w:rPr>
        <w:t>Question</w:t>
      </w:r>
      <w:bookmarkEnd w:id="1"/>
    </w:p>
    <w:p w:rsidR="00AF37AD" w:rsidRPr="005D619B" w:rsidRDefault="009E78E9" w:rsidP="00AF37AD">
      <w:pPr>
        <w:pStyle w:val="NormalWeb"/>
        <w:spacing w:after="200"/>
        <w:rPr>
          <w:rFonts w:asciiTheme="minorHAnsi" w:eastAsiaTheme="minorHAnsi" w:hAnsiTheme="minorHAnsi" w:cs="Arial"/>
          <w:sz w:val="28"/>
          <w:szCs w:val="28"/>
        </w:rPr>
      </w:pPr>
      <w:bookmarkStart w:id="2" w:name="lt_pId002"/>
      <w:r w:rsidRPr="005D619B">
        <w:rPr>
          <w:rFonts w:asciiTheme="minorHAnsi" w:hAnsiTheme="minorHAnsi"/>
          <w:sz w:val="28"/>
          <w:szCs w:val="28"/>
        </w:rPr>
        <w:t>Le Secrétariat du Conseil du T</w:t>
      </w:r>
      <w:r w:rsidR="00842005">
        <w:rPr>
          <w:rFonts w:asciiTheme="minorHAnsi" w:hAnsiTheme="minorHAnsi"/>
          <w:sz w:val="28"/>
          <w:szCs w:val="28"/>
        </w:rPr>
        <w:t>résor du Canada (SCT) dirige l’I</w:t>
      </w:r>
      <w:r w:rsidRPr="005D619B">
        <w:rPr>
          <w:rFonts w:asciiTheme="minorHAnsi" w:hAnsiTheme="minorHAnsi"/>
          <w:sz w:val="28"/>
          <w:szCs w:val="28"/>
        </w:rPr>
        <w:t>nitiative des RH et de la paye de la prochaine génération pour l’élaboration d’une solution de remplacement du système de paye Phénix actuel.</w:t>
      </w:r>
      <w:bookmarkEnd w:id="2"/>
      <w:r w:rsidRPr="005D619B">
        <w:rPr>
          <w:rFonts w:asciiTheme="minorHAnsi" w:hAnsiTheme="minorHAnsi"/>
          <w:sz w:val="28"/>
          <w:szCs w:val="28"/>
        </w:rPr>
        <w:t xml:space="preserve"> </w:t>
      </w:r>
      <w:bookmarkStart w:id="3" w:name="lt_pId003"/>
      <w:bookmarkEnd w:id="3"/>
    </w:p>
    <w:p w:rsidR="00CD16FD" w:rsidRPr="00F62708" w:rsidRDefault="009E78E9" w:rsidP="00F778CF">
      <w:pPr>
        <w:spacing w:line="240" w:lineRule="auto"/>
        <w:rPr>
          <w:rFonts w:cs="Arial"/>
          <w:b/>
          <w:sz w:val="28"/>
          <w:szCs w:val="28"/>
          <w:u w:val="single"/>
        </w:rPr>
      </w:pPr>
      <w:bookmarkStart w:id="4" w:name="lt_pId004"/>
      <w:r w:rsidRPr="00F62708">
        <w:rPr>
          <w:b/>
          <w:sz w:val="28"/>
          <w:szCs w:val="28"/>
          <w:u w:val="single"/>
        </w:rPr>
        <w:t>Contexte</w:t>
      </w:r>
      <w:bookmarkEnd w:id="4"/>
    </w:p>
    <w:p w:rsidR="0084694B" w:rsidRPr="005D619B" w:rsidRDefault="009E78E9" w:rsidP="00AF37AD">
      <w:pPr>
        <w:spacing w:line="240" w:lineRule="auto"/>
        <w:rPr>
          <w:rFonts w:cs="Arial"/>
          <w:sz w:val="28"/>
          <w:szCs w:val="28"/>
        </w:rPr>
      </w:pPr>
      <w:bookmarkStart w:id="5" w:name="lt_pId005"/>
      <w:r w:rsidRPr="00F62708">
        <w:rPr>
          <w:sz w:val="28"/>
          <w:szCs w:val="28"/>
        </w:rPr>
        <w:t>Depuis que les problèmes du système de paye Phénix ont commencé à faire surface au début de 2016, le gouvernement s’efforce de stabiliser le système.</w:t>
      </w:r>
      <w:bookmarkEnd w:id="5"/>
      <w:r w:rsidRPr="00F62708">
        <w:rPr>
          <w:sz w:val="28"/>
          <w:szCs w:val="28"/>
        </w:rPr>
        <w:t xml:space="preserve"> </w:t>
      </w:r>
      <w:bookmarkStart w:id="6" w:name="lt_pId006"/>
      <w:r w:rsidRPr="00F62708">
        <w:rPr>
          <w:sz w:val="28"/>
          <w:szCs w:val="28"/>
        </w:rPr>
        <w:t>Bien que ces travaux requis se poursuivent, le gouvernement du Canada s’est engagé à trouver des solutions pour une autre solution de</w:t>
      </w:r>
      <w:r w:rsidR="00842005" w:rsidRPr="00F62708">
        <w:rPr>
          <w:sz w:val="28"/>
          <w:szCs w:val="28"/>
        </w:rPr>
        <w:t>s</w:t>
      </w:r>
      <w:r w:rsidRPr="00F62708">
        <w:rPr>
          <w:sz w:val="28"/>
          <w:szCs w:val="28"/>
        </w:rPr>
        <w:t xml:space="preserve"> RH et de </w:t>
      </w:r>
      <w:r w:rsidR="00842005" w:rsidRPr="00F62708">
        <w:rPr>
          <w:sz w:val="28"/>
          <w:szCs w:val="28"/>
        </w:rPr>
        <w:t xml:space="preserve">la </w:t>
      </w:r>
      <w:r w:rsidRPr="00F62708">
        <w:rPr>
          <w:sz w:val="28"/>
          <w:szCs w:val="28"/>
        </w:rPr>
        <w:t>paye de la prochaine génération qui est durable et soutenable.</w:t>
      </w:r>
      <w:bookmarkEnd w:id="6"/>
      <w:r w:rsidRPr="00F62708">
        <w:rPr>
          <w:sz w:val="28"/>
          <w:szCs w:val="28"/>
        </w:rPr>
        <w:t xml:space="preserve"> </w:t>
      </w:r>
      <w:bookmarkStart w:id="7" w:name="lt_pId007"/>
      <w:r w:rsidRPr="00F62708">
        <w:rPr>
          <w:sz w:val="28"/>
          <w:szCs w:val="28"/>
        </w:rPr>
        <w:t xml:space="preserve">Dans le </w:t>
      </w:r>
      <w:r w:rsidR="00842005" w:rsidRPr="00F62708">
        <w:rPr>
          <w:sz w:val="28"/>
          <w:szCs w:val="28"/>
        </w:rPr>
        <w:t>B</w:t>
      </w:r>
      <w:r w:rsidRPr="00F62708">
        <w:rPr>
          <w:sz w:val="28"/>
          <w:szCs w:val="28"/>
        </w:rPr>
        <w:t>udget fédéral de 2018, une allocation de 16 millions de dollars sur deux ans a été annoncée à l’appui de ces efforts.</w:t>
      </w:r>
      <w:bookmarkEnd w:id="7"/>
    </w:p>
    <w:p w:rsidR="000526E3" w:rsidRPr="005D619B" w:rsidRDefault="009E78E9" w:rsidP="00AF37AD">
      <w:pPr>
        <w:spacing w:line="240" w:lineRule="auto"/>
        <w:rPr>
          <w:rFonts w:cs="Arial"/>
          <w:sz w:val="28"/>
          <w:szCs w:val="28"/>
        </w:rPr>
      </w:pPr>
      <w:bookmarkStart w:id="8" w:name="lt_pId008"/>
      <w:r w:rsidRPr="00F62708">
        <w:rPr>
          <w:sz w:val="28"/>
          <w:szCs w:val="28"/>
        </w:rPr>
        <w:t>En juillet 2018, l’</w:t>
      </w:r>
      <w:r w:rsidR="00842005" w:rsidRPr="00F62708">
        <w:rPr>
          <w:sz w:val="28"/>
          <w:szCs w:val="28"/>
        </w:rPr>
        <w:t>É</w:t>
      </w:r>
      <w:r w:rsidRPr="00F62708">
        <w:rPr>
          <w:sz w:val="28"/>
          <w:szCs w:val="28"/>
        </w:rPr>
        <w:t>quipe des RH et de la paye de la prochaine génération a été mise sur pied, relevant du dirigeant principal de l’information du Canada, en collaboration avec la dirigeante principale des ressources humaines.</w:t>
      </w:r>
      <w:bookmarkEnd w:id="8"/>
      <w:r w:rsidRPr="00F62708">
        <w:rPr>
          <w:sz w:val="28"/>
          <w:szCs w:val="28"/>
        </w:rPr>
        <w:t xml:space="preserve"> </w:t>
      </w:r>
      <w:bookmarkStart w:id="9" w:name="lt_pId009"/>
      <w:r w:rsidRPr="00F62708">
        <w:rPr>
          <w:sz w:val="28"/>
          <w:szCs w:val="28"/>
        </w:rPr>
        <w:t xml:space="preserve">Cette </w:t>
      </w:r>
      <w:r w:rsidR="00842005" w:rsidRPr="00F62708">
        <w:rPr>
          <w:sz w:val="28"/>
          <w:szCs w:val="28"/>
        </w:rPr>
        <w:t>É</w:t>
      </w:r>
      <w:r w:rsidRPr="00F62708">
        <w:rPr>
          <w:sz w:val="28"/>
          <w:szCs w:val="28"/>
        </w:rPr>
        <w:t>quipe a reçu le mandat de présenter des options recommandées pour une nouvelle solution de</w:t>
      </w:r>
      <w:r w:rsidR="00842005" w:rsidRPr="00F62708">
        <w:rPr>
          <w:sz w:val="28"/>
          <w:szCs w:val="28"/>
        </w:rPr>
        <w:t>s</w:t>
      </w:r>
      <w:r w:rsidRPr="00F62708">
        <w:rPr>
          <w:sz w:val="28"/>
          <w:szCs w:val="28"/>
        </w:rPr>
        <w:t xml:space="preserve"> RH et de </w:t>
      </w:r>
      <w:r w:rsidR="00842005" w:rsidRPr="00F62708">
        <w:rPr>
          <w:sz w:val="28"/>
          <w:szCs w:val="28"/>
        </w:rPr>
        <w:t xml:space="preserve">la </w:t>
      </w:r>
      <w:r w:rsidRPr="00F62708">
        <w:rPr>
          <w:sz w:val="28"/>
          <w:szCs w:val="28"/>
        </w:rPr>
        <w:t>paye afin de remplacer le système de paye Phénix actuel.</w:t>
      </w:r>
      <w:bookmarkEnd w:id="9"/>
      <w:r w:rsidRPr="00F62708">
        <w:rPr>
          <w:sz w:val="28"/>
          <w:szCs w:val="28"/>
        </w:rPr>
        <w:t xml:space="preserve"> </w:t>
      </w:r>
      <w:bookmarkStart w:id="10" w:name="lt_pId010"/>
      <w:r w:rsidRPr="00F62708">
        <w:rPr>
          <w:sz w:val="28"/>
          <w:szCs w:val="28"/>
        </w:rPr>
        <w:t>À la lumière des leçons que nous avons tirées de Phénix, cette solution tiendra compte à la fois des RH et de la paye, car ces fonctions sont si étroitement liées qu’une solution intégrée est nécessaire à la réussite de la mise en œuvre.</w:t>
      </w:r>
      <w:bookmarkEnd w:id="10"/>
    </w:p>
    <w:p w:rsidR="0084694B" w:rsidRPr="005D619B" w:rsidRDefault="009E78E9" w:rsidP="00AF37AD">
      <w:pPr>
        <w:spacing w:line="240" w:lineRule="auto"/>
        <w:rPr>
          <w:rFonts w:cs="Arial"/>
          <w:sz w:val="28"/>
          <w:szCs w:val="28"/>
        </w:rPr>
      </w:pPr>
      <w:bookmarkStart w:id="11" w:name="lt_pId011"/>
      <w:r w:rsidRPr="00F62708">
        <w:rPr>
          <w:sz w:val="28"/>
          <w:szCs w:val="28"/>
        </w:rPr>
        <w:t>Afin d’éclairer les options recommandées futures, l’</w:t>
      </w:r>
      <w:r w:rsidR="00842005" w:rsidRPr="00F62708">
        <w:rPr>
          <w:sz w:val="28"/>
          <w:szCs w:val="28"/>
        </w:rPr>
        <w:t>É</w:t>
      </w:r>
      <w:r w:rsidRPr="00F62708">
        <w:rPr>
          <w:sz w:val="28"/>
          <w:szCs w:val="28"/>
        </w:rPr>
        <w:t>quipe des RH et de la paye de la prochaine génération suit actuellement un processus agile. Des conversations itératives ont lieu avec l’industrie et les intervenants pour comprendre les solutions technologies possibles qui sont disponibles.</w:t>
      </w:r>
      <w:bookmarkEnd w:id="11"/>
      <w:r w:rsidRPr="00F62708">
        <w:rPr>
          <w:sz w:val="28"/>
          <w:szCs w:val="28"/>
        </w:rPr>
        <w:t xml:space="preserve"> </w:t>
      </w:r>
      <w:bookmarkStart w:id="12" w:name="lt_pId012"/>
      <w:r w:rsidRPr="00F62708">
        <w:rPr>
          <w:sz w:val="28"/>
          <w:szCs w:val="28"/>
        </w:rPr>
        <w:t>La rétroaction obtenue pendant ces conversations éclairera alors les exigences opérationnelles du gouvernement du Canada, permettant des changements de trajectoire tout au long du processus d’approvisionnement à mesure que des renseignements sont présentés ou découverts (vous trouverez ci-joint une annexe exposant plus de détails sur ce processus d’approvisionnement agile avec points de contrôle).</w:t>
      </w:r>
      <w:bookmarkEnd w:id="12"/>
    </w:p>
    <w:p w:rsidR="00443DB8" w:rsidRPr="005D619B" w:rsidRDefault="009E78E9" w:rsidP="00443DB8">
      <w:pPr>
        <w:spacing w:line="240" w:lineRule="auto"/>
        <w:rPr>
          <w:rFonts w:cs="Arial"/>
          <w:sz w:val="28"/>
          <w:szCs w:val="28"/>
        </w:rPr>
      </w:pPr>
      <w:bookmarkStart w:id="13" w:name="lt_pId013"/>
      <w:r w:rsidRPr="005D619B">
        <w:rPr>
          <w:sz w:val="28"/>
          <w:szCs w:val="28"/>
        </w:rPr>
        <w:t xml:space="preserve">Pendant que les travaux visant à trouver un remplacement à Phénix sont en cours, il est essentiel, pour assurer le succès d’une nouvelle solution, de </w:t>
      </w:r>
      <w:r w:rsidRPr="005D619B">
        <w:rPr>
          <w:sz w:val="28"/>
          <w:szCs w:val="28"/>
        </w:rPr>
        <w:lastRenderedPageBreak/>
        <w:t>comprendre le niveau de gestion du changement et de transformation opérationnelle qui pourrait être nécessaire.</w:t>
      </w:r>
      <w:bookmarkEnd w:id="13"/>
      <w:r w:rsidRPr="005D619B">
        <w:rPr>
          <w:sz w:val="28"/>
          <w:szCs w:val="28"/>
        </w:rPr>
        <w:t xml:space="preserve"> </w:t>
      </w:r>
      <w:bookmarkStart w:id="14" w:name="lt_pId014"/>
      <w:r w:rsidRPr="005D619B">
        <w:rPr>
          <w:sz w:val="28"/>
          <w:szCs w:val="28"/>
        </w:rPr>
        <w:t>À cette fin, le Bureau de la dirigeante principale des ressources humaines dirigera l’élaboration d’un cadre de transformation opérationnelle pour qu’il soit possible de fournir des conseils sur le niveau de changement pouvant être requis en fonction d’une ou de plusieurs nouvelles solutions.</w:t>
      </w:r>
      <w:bookmarkEnd w:id="14"/>
    </w:p>
    <w:p w:rsidR="002B1587" w:rsidRPr="005D619B" w:rsidRDefault="009E78E9" w:rsidP="00AF37AD">
      <w:pPr>
        <w:pStyle w:val="NormalWeb"/>
        <w:spacing w:after="200"/>
        <w:rPr>
          <w:rFonts w:asciiTheme="minorHAnsi" w:eastAsiaTheme="minorHAnsi" w:hAnsiTheme="minorHAnsi" w:cs="Arial"/>
          <w:sz w:val="28"/>
          <w:szCs w:val="28"/>
        </w:rPr>
      </w:pPr>
      <w:bookmarkStart w:id="15" w:name="lt_pId015"/>
      <w:r w:rsidRPr="00F62708">
        <w:rPr>
          <w:rFonts w:asciiTheme="minorHAnsi" w:hAnsiTheme="minorHAnsi"/>
          <w:sz w:val="28"/>
          <w:szCs w:val="28"/>
          <w:lang w:eastAsia="en-US"/>
        </w:rPr>
        <w:t>De plus, pour veiller à ce que la technologie ne soit pas la force motrice de la solution de</w:t>
      </w:r>
      <w:r w:rsidR="00842005" w:rsidRPr="00F62708">
        <w:rPr>
          <w:rFonts w:asciiTheme="minorHAnsi" w:hAnsiTheme="minorHAnsi"/>
          <w:sz w:val="28"/>
          <w:szCs w:val="28"/>
          <w:lang w:eastAsia="en-US"/>
        </w:rPr>
        <w:t>s</w:t>
      </w:r>
      <w:r w:rsidRPr="00F62708">
        <w:rPr>
          <w:rFonts w:asciiTheme="minorHAnsi" w:hAnsiTheme="minorHAnsi"/>
          <w:sz w:val="28"/>
          <w:szCs w:val="28"/>
          <w:lang w:eastAsia="en-US"/>
        </w:rPr>
        <w:t xml:space="preserve"> RH et de </w:t>
      </w:r>
      <w:r w:rsidR="00842005" w:rsidRPr="00F62708">
        <w:rPr>
          <w:rFonts w:asciiTheme="minorHAnsi" w:hAnsiTheme="minorHAnsi"/>
          <w:sz w:val="28"/>
          <w:szCs w:val="28"/>
          <w:lang w:eastAsia="en-US"/>
        </w:rPr>
        <w:t xml:space="preserve">la </w:t>
      </w:r>
      <w:r w:rsidRPr="00F62708">
        <w:rPr>
          <w:rFonts w:asciiTheme="minorHAnsi" w:hAnsiTheme="minorHAnsi"/>
          <w:sz w:val="28"/>
          <w:szCs w:val="28"/>
          <w:lang w:eastAsia="en-US"/>
        </w:rPr>
        <w:t>paye de la prochaine génération et à ce que l’utilisateur soit au cœur du processus, l’</w:t>
      </w:r>
      <w:r w:rsidR="00842005" w:rsidRPr="00F62708">
        <w:rPr>
          <w:rFonts w:asciiTheme="minorHAnsi" w:hAnsiTheme="minorHAnsi"/>
          <w:sz w:val="28"/>
          <w:szCs w:val="28"/>
          <w:lang w:eastAsia="en-US"/>
        </w:rPr>
        <w:t>É</w:t>
      </w:r>
      <w:r w:rsidRPr="00F62708">
        <w:rPr>
          <w:rFonts w:asciiTheme="minorHAnsi" w:hAnsiTheme="minorHAnsi"/>
          <w:sz w:val="28"/>
          <w:szCs w:val="28"/>
          <w:lang w:eastAsia="en-US"/>
        </w:rPr>
        <w:t>quipe des RH et de la paye de la prochaine génération mobilise actuellement les utilisateurs, y compris, sans toutefois s’y limiter : les employés, les spécialistes des RH, les conseillers en rémunération, les gestionnaires et les agents négociateurs.</w:t>
      </w:r>
      <w:bookmarkEnd w:id="15"/>
      <w:r w:rsidRPr="00F62708">
        <w:rPr>
          <w:rFonts w:asciiTheme="minorHAnsi" w:hAnsiTheme="minorHAnsi"/>
          <w:sz w:val="28"/>
          <w:szCs w:val="28"/>
          <w:lang w:eastAsia="en-US"/>
        </w:rPr>
        <w:t xml:space="preserve"> </w:t>
      </w:r>
      <w:bookmarkStart w:id="16" w:name="lt_pId016"/>
      <w:r w:rsidRPr="00F62708">
        <w:rPr>
          <w:rFonts w:asciiTheme="minorHAnsi" w:hAnsiTheme="minorHAnsi"/>
          <w:sz w:val="28"/>
          <w:szCs w:val="28"/>
          <w:lang w:eastAsia="en-US"/>
        </w:rPr>
        <w:t>La mobilisation des chefs des RH, des dirigeants principaux de l’information (DPI) et des dirigeants principaux des finances (DPF) se produit également de manière à comprendre comment la mise en œuvre d’une nouvelle solution de</w:t>
      </w:r>
      <w:r w:rsidR="00842005" w:rsidRPr="00F62708">
        <w:rPr>
          <w:rFonts w:asciiTheme="minorHAnsi" w:hAnsiTheme="minorHAnsi"/>
          <w:sz w:val="28"/>
          <w:szCs w:val="28"/>
          <w:lang w:eastAsia="en-US"/>
        </w:rPr>
        <w:t>s</w:t>
      </w:r>
      <w:r w:rsidRPr="00F62708">
        <w:rPr>
          <w:rFonts w:asciiTheme="minorHAnsi" w:hAnsiTheme="minorHAnsi"/>
          <w:sz w:val="28"/>
          <w:szCs w:val="28"/>
          <w:lang w:eastAsia="en-US"/>
        </w:rPr>
        <w:t xml:space="preserve"> RH et de </w:t>
      </w:r>
      <w:r w:rsidR="00842005" w:rsidRPr="00F62708">
        <w:rPr>
          <w:rFonts w:asciiTheme="minorHAnsi" w:hAnsiTheme="minorHAnsi"/>
          <w:sz w:val="28"/>
          <w:szCs w:val="28"/>
          <w:lang w:eastAsia="en-US"/>
        </w:rPr>
        <w:t xml:space="preserve">la </w:t>
      </w:r>
      <w:r w:rsidRPr="00F62708">
        <w:rPr>
          <w:rFonts w:asciiTheme="minorHAnsi" w:hAnsiTheme="minorHAnsi"/>
          <w:sz w:val="28"/>
          <w:szCs w:val="28"/>
          <w:lang w:eastAsia="en-US"/>
        </w:rPr>
        <w:t>paye fonctionnera et quel serait le degré d’effort nécessaire en termes de gestion du changement, de migration de données et de transformations, de sorte que la nouvelle solution puisse être mise en œuvre avec succès.</w:t>
      </w:r>
      <w:bookmarkEnd w:id="16"/>
      <w:r w:rsidRPr="005D619B">
        <w:rPr>
          <w:rFonts w:asciiTheme="minorHAnsi" w:hAnsiTheme="minorHAnsi"/>
          <w:sz w:val="28"/>
          <w:szCs w:val="28"/>
          <w:lang w:eastAsia="en-US"/>
        </w:rPr>
        <w:t xml:space="preserve">  </w:t>
      </w:r>
    </w:p>
    <w:p w:rsidR="00E62BD3" w:rsidRPr="00F62708" w:rsidRDefault="009E78E9" w:rsidP="00E62BD3">
      <w:pPr>
        <w:spacing w:line="240" w:lineRule="auto"/>
        <w:rPr>
          <w:rFonts w:cs="Arial"/>
          <w:b/>
          <w:sz w:val="28"/>
          <w:szCs w:val="28"/>
          <w:u w:val="single"/>
        </w:rPr>
      </w:pPr>
      <w:bookmarkStart w:id="17" w:name="lt_pId017"/>
      <w:r w:rsidRPr="00F62708">
        <w:rPr>
          <w:b/>
          <w:sz w:val="28"/>
          <w:szCs w:val="28"/>
          <w:u w:val="single"/>
        </w:rPr>
        <w:t>Considérations</w:t>
      </w:r>
      <w:bookmarkEnd w:id="17"/>
      <w:r w:rsidRPr="00F62708">
        <w:rPr>
          <w:b/>
          <w:sz w:val="28"/>
          <w:szCs w:val="28"/>
          <w:u w:val="single"/>
        </w:rPr>
        <w:t xml:space="preserve"> </w:t>
      </w:r>
    </w:p>
    <w:p w:rsidR="009C7D20" w:rsidRPr="00F62708" w:rsidRDefault="009E78E9" w:rsidP="00AF37AD">
      <w:pPr>
        <w:spacing w:line="240" w:lineRule="auto"/>
        <w:rPr>
          <w:rFonts w:cs="Arial"/>
          <w:sz w:val="28"/>
          <w:szCs w:val="28"/>
        </w:rPr>
      </w:pPr>
      <w:bookmarkStart w:id="18" w:name="lt_pId018"/>
      <w:r w:rsidRPr="00F62708">
        <w:rPr>
          <w:sz w:val="28"/>
          <w:szCs w:val="28"/>
        </w:rPr>
        <w:t>Le processus d’approvisionnement agile visant à acquérir une solution technologique (qui sera un logiciel comme service) en est à son dernier point de contrôle et devrait être conclu en avril 2019.</w:t>
      </w:r>
      <w:bookmarkEnd w:id="18"/>
      <w:r w:rsidRPr="00F62708">
        <w:rPr>
          <w:sz w:val="28"/>
          <w:szCs w:val="28"/>
        </w:rPr>
        <w:t xml:space="preserve"> </w:t>
      </w:r>
      <w:bookmarkStart w:id="19" w:name="lt_pId019"/>
      <w:r w:rsidRPr="00F62708">
        <w:rPr>
          <w:sz w:val="28"/>
          <w:szCs w:val="28"/>
        </w:rPr>
        <w:t>À la fin de ce processus, les options recommandées viseront à déterminer un maximum de trois fournisseurs et systèmes possibles. Ces derniers seront ensuite mis à l’essai avec certains ministères ou organismes.</w:t>
      </w:r>
      <w:bookmarkEnd w:id="19"/>
      <w:r w:rsidRPr="00F62708">
        <w:rPr>
          <w:sz w:val="28"/>
          <w:szCs w:val="28"/>
        </w:rPr>
        <w:t xml:space="preserve"> </w:t>
      </w:r>
      <w:bookmarkStart w:id="20" w:name="lt_pId020"/>
      <w:r w:rsidRPr="00F62708">
        <w:rPr>
          <w:sz w:val="28"/>
          <w:szCs w:val="28"/>
        </w:rPr>
        <w:t>La portée et la détermination des possibles ministères ou organismes pilotes restent à déterminer et seront le point de mire des efforts au cours des quatre prochaines semaines.</w:t>
      </w:r>
      <w:bookmarkEnd w:id="20"/>
    </w:p>
    <w:p w:rsidR="009C7D20" w:rsidRPr="00DF4AB1" w:rsidRDefault="009E78E9" w:rsidP="00AF37AD">
      <w:pPr>
        <w:spacing w:line="240" w:lineRule="auto"/>
        <w:rPr>
          <w:rFonts w:cs="Arial"/>
          <w:sz w:val="28"/>
          <w:szCs w:val="28"/>
        </w:rPr>
      </w:pPr>
      <w:bookmarkStart w:id="21" w:name="lt_pId021"/>
      <w:r w:rsidRPr="00F62708">
        <w:rPr>
          <w:sz w:val="28"/>
          <w:szCs w:val="28"/>
        </w:rPr>
        <w:t>Pour mettre à l’essai les options, il faudra un financement supplémentaire.</w:t>
      </w:r>
      <w:bookmarkEnd w:id="21"/>
      <w:r w:rsidRPr="00F62708">
        <w:rPr>
          <w:sz w:val="28"/>
          <w:szCs w:val="28"/>
        </w:rPr>
        <w:t xml:space="preserve"> </w:t>
      </w:r>
      <w:bookmarkStart w:id="22" w:name="lt_pId022"/>
      <w:r w:rsidRPr="00F62708">
        <w:rPr>
          <w:sz w:val="28"/>
          <w:szCs w:val="28"/>
        </w:rPr>
        <w:t xml:space="preserve">Même si le financement actuel prévu dans le </w:t>
      </w:r>
      <w:r w:rsidR="00842005" w:rsidRPr="00F62708">
        <w:rPr>
          <w:sz w:val="28"/>
          <w:szCs w:val="28"/>
        </w:rPr>
        <w:t>B</w:t>
      </w:r>
      <w:r w:rsidRPr="00F62708">
        <w:rPr>
          <w:sz w:val="28"/>
          <w:szCs w:val="28"/>
        </w:rPr>
        <w:t xml:space="preserve">udget de 2018 sera utilisé (8 millions de dollars pour 2019-2020), les discussions avec le ministère des Finances dans le contexte du </w:t>
      </w:r>
      <w:r w:rsidR="00842005" w:rsidRPr="00F62708">
        <w:rPr>
          <w:sz w:val="28"/>
          <w:szCs w:val="28"/>
        </w:rPr>
        <w:t>B</w:t>
      </w:r>
      <w:r w:rsidRPr="00F62708">
        <w:rPr>
          <w:sz w:val="28"/>
          <w:szCs w:val="28"/>
        </w:rPr>
        <w:t>udget de 2019 se poursuivent.</w:t>
      </w:r>
      <w:bookmarkEnd w:id="22"/>
      <w:r w:rsidRPr="00F62708">
        <w:rPr>
          <w:sz w:val="28"/>
          <w:szCs w:val="28"/>
        </w:rPr>
        <w:t xml:space="preserve"> </w:t>
      </w:r>
      <w:bookmarkStart w:id="23" w:name="lt_pId023"/>
      <w:r w:rsidR="00842005" w:rsidRPr="00F62708">
        <w:rPr>
          <w:sz w:val="28"/>
          <w:szCs w:val="28"/>
        </w:rPr>
        <w:t>Les coûts associés au projet-</w:t>
      </w:r>
      <w:r w:rsidRPr="00F62708">
        <w:rPr>
          <w:sz w:val="28"/>
          <w:szCs w:val="28"/>
        </w:rPr>
        <w:t xml:space="preserve">pilote comprendraient, sans toutefois s’y limiter, ceux liés à la gestion du changement, à la gestion de projet, à la mise en œuvre et à la transition, de même que les coûts </w:t>
      </w:r>
      <w:r w:rsidRPr="00DF4AB1">
        <w:rPr>
          <w:sz w:val="28"/>
          <w:szCs w:val="28"/>
        </w:rPr>
        <w:t>des vendeurs.</w:t>
      </w:r>
      <w:bookmarkEnd w:id="23"/>
      <w:r w:rsidRPr="00DF4AB1">
        <w:rPr>
          <w:sz w:val="28"/>
          <w:szCs w:val="28"/>
        </w:rPr>
        <w:t xml:space="preserve"> </w:t>
      </w:r>
      <w:bookmarkStart w:id="24" w:name="lt_pId024"/>
      <w:r w:rsidRPr="00DF4AB1">
        <w:rPr>
          <w:sz w:val="28"/>
          <w:szCs w:val="28"/>
        </w:rPr>
        <w:t xml:space="preserve">L’accès à ce financement supplémentaire ainsi que les autorisations </w:t>
      </w:r>
      <w:r w:rsidRPr="00DF4AB1">
        <w:rPr>
          <w:sz w:val="28"/>
          <w:szCs w:val="28"/>
        </w:rPr>
        <w:lastRenderedPageBreak/>
        <w:t>de projet et de passation de marché néce</w:t>
      </w:r>
      <w:r w:rsidR="00842005" w:rsidRPr="00DF4AB1">
        <w:rPr>
          <w:sz w:val="28"/>
          <w:szCs w:val="28"/>
        </w:rPr>
        <w:t>ssaires pour réaliser le projet-</w:t>
      </w:r>
      <w:r w:rsidRPr="00DF4AB1">
        <w:rPr>
          <w:sz w:val="28"/>
          <w:szCs w:val="28"/>
        </w:rPr>
        <w:t>pilote proposé seraient demandés</w:t>
      </w:r>
      <w:bookmarkEnd w:id="24"/>
      <w:r w:rsidR="00F62708" w:rsidRPr="00DF4AB1">
        <w:rPr>
          <w:sz w:val="28"/>
          <w:szCs w:val="28"/>
        </w:rPr>
        <w:t>.</w:t>
      </w:r>
    </w:p>
    <w:p w:rsidR="006B2965" w:rsidRPr="00DF4AB1" w:rsidRDefault="009E78E9" w:rsidP="00F778CF">
      <w:pPr>
        <w:pStyle w:val="NormalWeb"/>
        <w:spacing w:after="200"/>
        <w:rPr>
          <w:rFonts w:asciiTheme="minorHAnsi" w:eastAsiaTheme="minorHAnsi" w:hAnsiTheme="minorHAnsi" w:cs="Arial"/>
          <w:b/>
          <w:sz w:val="28"/>
          <w:szCs w:val="28"/>
          <w:u w:val="single"/>
        </w:rPr>
      </w:pPr>
      <w:bookmarkStart w:id="25" w:name="lt_pId025"/>
      <w:r w:rsidRPr="00DF4AB1">
        <w:rPr>
          <w:rFonts w:asciiTheme="minorHAnsi" w:hAnsiTheme="minorHAnsi"/>
          <w:b/>
          <w:sz w:val="28"/>
          <w:szCs w:val="28"/>
          <w:u w:val="single"/>
          <w:lang w:eastAsia="en-US"/>
        </w:rPr>
        <w:t>Prochaines étapes</w:t>
      </w:r>
      <w:bookmarkEnd w:id="25"/>
    </w:p>
    <w:p w:rsidR="006B2965" w:rsidRPr="00DF4AB1" w:rsidRDefault="009E78E9" w:rsidP="00AF37AD">
      <w:pPr>
        <w:pStyle w:val="NormalWeb"/>
        <w:spacing w:after="200"/>
        <w:rPr>
          <w:rFonts w:asciiTheme="minorHAnsi" w:eastAsiaTheme="minorHAnsi" w:hAnsiTheme="minorHAnsi" w:cs="Arial"/>
          <w:sz w:val="28"/>
          <w:szCs w:val="28"/>
        </w:rPr>
      </w:pPr>
      <w:bookmarkStart w:id="26" w:name="lt_pId026"/>
      <w:r w:rsidRPr="00DF4AB1">
        <w:rPr>
          <w:rFonts w:asciiTheme="minorHAnsi" w:hAnsiTheme="minorHAnsi"/>
          <w:sz w:val="28"/>
          <w:szCs w:val="28"/>
          <w:lang w:eastAsia="en-US"/>
        </w:rPr>
        <w:t xml:space="preserve">Une fois que le point de contrôle 3 du processus d’approvisionnement agile sera achevé, des options seront présentées à </w:t>
      </w:r>
      <w:r w:rsidR="00842005" w:rsidRPr="00DF4AB1">
        <w:rPr>
          <w:rFonts w:asciiTheme="minorHAnsi" w:hAnsiTheme="minorHAnsi"/>
          <w:sz w:val="28"/>
          <w:szCs w:val="28"/>
          <w:lang w:eastAsia="en-US"/>
        </w:rPr>
        <w:t>propos de la portée des projets-</w:t>
      </w:r>
      <w:r w:rsidRPr="00DF4AB1">
        <w:rPr>
          <w:rFonts w:asciiTheme="minorHAnsi" w:hAnsiTheme="minorHAnsi"/>
          <w:sz w:val="28"/>
          <w:szCs w:val="28"/>
          <w:lang w:eastAsia="en-US"/>
        </w:rPr>
        <w:t>pilotes et des ministères et organismes proposés pour</w:t>
      </w:r>
      <w:r w:rsidR="00842005" w:rsidRPr="00DF4AB1">
        <w:rPr>
          <w:rFonts w:asciiTheme="minorHAnsi" w:hAnsiTheme="minorHAnsi"/>
          <w:sz w:val="28"/>
          <w:szCs w:val="28"/>
          <w:lang w:eastAsia="en-US"/>
        </w:rPr>
        <w:t xml:space="preserve"> les projets-</w:t>
      </w:r>
      <w:r w:rsidRPr="00DF4AB1">
        <w:rPr>
          <w:rFonts w:asciiTheme="minorHAnsi" w:hAnsiTheme="minorHAnsi"/>
          <w:sz w:val="28"/>
          <w:szCs w:val="28"/>
          <w:lang w:eastAsia="en-US"/>
        </w:rPr>
        <w:t>pilotes.</w:t>
      </w:r>
      <w:bookmarkEnd w:id="26"/>
      <w:r w:rsidRPr="00DF4AB1">
        <w:rPr>
          <w:rFonts w:asciiTheme="minorHAnsi" w:hAnsiTheme="minorHAnsi"/>
          <w:sz w:val="28"/>
          <w:szCs w:val="28"/>
          <w:lang w:eastAsia="en-US"/>
        </w:rPr>
        <w:t xml:space="preserve"> </w:t>
      </w:r>
    </w:p>
    <w:p w:rsidR="006B2965" w:rsidRPr="005D619B" w:rsidRDefault="009E78E9" w:rsidP="00AF37AD">
      <w:pPr>
        <w:pStyle w:val="NormalWeb"/>
        <w:spacing w:after="200"/>
        <w:rPr>
          <w:rFonts w:asciiTheme="minorHAnsi" w:eastAsiaTheme="minorHAnsi" w:hAnsiTheme="minorHAnsi" w:cs="Arial"/>
          <w:sz w:val="28"/>
          <w:szCs w:val="28"/>
        </w:rPr>
      </w:pPr>
      <w:bookmarkStart w:id="27" w:name="lt_pId027"/>
      <w:r w:rsidRPr="00DF4AB1">
        <w:rPr>
          <w:rFonts w:asciiTheme="minorHAnsi" w:hAnsiTheme="minorHAnsi"/>
          <w:sz w:val="28"/>
          <w:szCs w:val="28"/>
          <w:lang w:eastAsia="en-US"/>
        </w:rPr>
        <w:t xml:space="preserve">En attendant un financement supplémentaire, votre approbation </w:t>
      </w:r>
      <w:r w:rsidR="00DF4AB1" w:rsidRPr="00DF4AB1">
        <w:rPr>
          <w:rFonts w:asciiTheme="minorHAnsi" w:hAnsiTheme="minorHAnsi"/>
          <w:sz w:val="28"/>
          <w:szCs w:val="28"/>
          <w:lang w:eastAsia="en-US"/>
        </w:rPr>
        <w:t xml:space="preserve">sera demandée </w:t>
      </w:r>
      <w:r w:rsidRPr="00DF4AB1">
        <w:rPr>
          <w:rFonts w:asciiTheme="minorHAnsi" w:hAnsiTheme="minorHAnsi"/>
          <w:sz w:val="28"/>
          <w:szCs w:val="28"/>
          <w:lang w:eastAsia="en-US"/>
        </w:rPr>
        <w:t>afin d’obtenir des autorisations de projet et de passation de m</w:t>
      </w:r>
      <w:r w:rsidR="00842005" w:rsidRPr="00DF4AB1">
        <w:rPr>
          <w:rFonts w:asciiTheme="minorHAnsi" w:hAnsiTheme="minorHAnsi"/>
          <w:sz w:val="28"/>
          <w:szCs w:val="28"/>
          <w:lang w:eastAsia="en-US"/>
        </w:rPr>
        <w:t>arché pour procéder aux projets-</w:t>
      </w:r>
      <w:r w:rsidRPr="00DF4AB1">
        <w:rPr>
          <w:rFonts w:asciiTheme="minorHAnsi" w:hAnsiTheme="minorHAnsi"/>
          <w:sz w:val="28"/>
          <w:szCs w:val="28"/>
          <w:lang w:eastAsia="en-US"/>
        </w:rPr>
        <w:t>pilotes sélectionnés.</w:t>
      </w:r>
      <w:bookmarkEnd w:id="27"/>
    </w:p>
    <w:p w:rsidR="006B2965" w:rsidRPr="005D619B" w:rsidRDefault="009E78E9">
      <w:pPr>
        <w:spacing w:after="160" w:line="259" w:lineRule="auto"/>
        <w:rPr>
          <w:rFonts w:cs="Arial"/>
          <w:b/>
          <w:caps/>
          <w:sz w:val="32"/>
          <w:szCs w:val="32"/>
        </w:rPr>
      </w:pPr>
      <w:r w:rsidRPr="005D619B">
        <w:br w:type="page"/>
      </w:r>
    </w:p>
    <w:p w:rsidR="000526E3" w:rsidRPr="00DF4AB1" w:rsidRDefault="009E78E9" w:rsidP="000526E3">
      <w:pPr>
        <w:spacing w:line="240" w:lineRule="auto"/>
        <w:rPr>
          <w:rFonts w:cs="Arial"/>
          <w:b/>
          <w:caps/>
          <w:sz w:val="28"/>
          <w:szCs w:val="28"/>
        </w:rPr>
      </w:pPr>
      <w:bookmarkStart w:id="28" w:name="lt_pId028"/>
      <w:r w:rsidRPr="005D619B">
        <w:rPr>
          <w:b/>
          <w:caps/>
          <w:sz w:val="32"/>
          <w:szCs w:val="32"/>
        </w:rPr>
        <w:lastRenderedPageBreak/>
        <w:t xml:space="preserve">ANNEXE A – Aperçu du (processus d’approvisionnement agile </w:t>
      </w:r>
      <w:r w:rsidRPr="00DF4AB1">
        <w:rPr>
          <w:b/>
          <w:caps/>
          <w:sz w:val="32"/>
          <w:szCs w:val="32"/>
        </w:rPr>
        <w:t>des RH et de la paye de la prochaine génération)</w:t>
      </w:r>
      <w:bookmarkEnd w:id="28"/>
    </w:p>
    <w:p w:rsidR="002B1587" w:rsidRPr="00DF4AB1" w:rsidRDefault="009E78E9" w:rsidP="002B1587">
      <w:pPr>
        <w:pStyle w:val="ListParagraph"/>
        <w:numPr>
          <w:ilvl w:val="0"/>
          <w:numId w:val="5"/>
        </w:numPr>
        <w:spacing w:line="240" w:lineRule="auto"/>
        <w:ind w:left="360"/>
        <w:contextualSpacing w:val="0"/>
        <w:rPr>
          <w:rFonts w:cs="Arial"/>
          <w:sz w:val="28"/>
          <w:szCs w:val="28"/>
        </w:rPr>
      </w:pPr>
      <w:bookmarkStart w:id="29" w:name="lt_pId029"/>
      <w:r w:rsidRPr="00DF4AB1">
        <w:rPr>
          <w:b/>
          <w:sz w:val="28"/>
          <w:szCs w:val="28"/>
        </w:rPr>
        <w:t>Le point de contrôle 1 a été lancé le 1</w:t>
      </w:r>
      <w:r w:rsidRPr="00DF4AB1">
        <w:rPr>
          <w:b/>
          <w:sz w:val="28"/>
          <w:szCs w:val="28"/>
          <w:vertAlign w:val="superscript"/>
        </w:rPr>
        <w:t>er</w:t>
      </w:r>
      <w:r w:rsidR="00842005" w:rsidRPr="00DF4AB1">
        <w:rPr>
          <w:b/>
          <w:sz w:val="28"/>
          <w:szCs w:val="28"/>
        </w:rPr>
        <w:t xml:space="preserve"> </w:t>
      </w:r>
      <w:r w:rsidRPr="00DF4AB1">
        <w:rPr>
          <w:b/>
          <w:sz w:val="28"/>
          <w:szCs w:val="28"/>
        </w:rPr>
        <w:t>octobre 2018 et conclu le 13 novembre 2018.</w:t>
      </w:r>
      <w:bookmarkEnd w:id="29"/>
      <w:r w:rsidRPr="00DF4AB1">
        <w:rPr>
          <w:sz w:val="28"/>
          <w:szCs w:val="28"/>
        </w:rPr>
        <w:t xml:space="preserve"> </w:t>
      </w:r>
      <w:bookmarkStart w:id="30" w:name="lt_pId030"/>
      <w:r w:rsidRPr="00DF4AB1">
        <w:rPr>
          <w:sz w:val="28"/>
          <w:szCs w:val="28"/>
        </w:rPr>
        <w:t>Le point de contrôle a conduit à cinq soumissionnaires retenus qui étaient admissibles à participer à l’invitation à se qualifier (IQ) pour le point de contrôle 2.</w:t>
      </w:r>
      <w:bookmarkEnd w:id="30"/>
      <w:r w:rsidRPr="00DF4AB1">
        <w:rPr>
          <w:sz w:val="28"/>
          <w:szCs w:val="28"/>
        </w:rPr>
        <w:t xml:space="preserve"> </w:t>
      </w:r>
      <w:bookmarkStart w:id="31" w:name="lt_pId031"/>
      <w:r w:rsidRPr="00DF4AB1">
        <w:rPr>
          <w:sz w:val="28"/>
          <w:szCs w:val="28"/>
        </w:rPr>
        <w:t>Le deuxième point de contrôle du processus d’approvisionnement agile était plus précis et difficile pour les soumissionnaires.</w:t>
      </w:r>
      <w:bookmarkEnd w:id="31"/>
      <w:r w:rsidRPr="00DF4AB1">
        <w:rPr>
          <w:sz w:val="28"/>
          <w:szCs w:val="28"/>
        </w:rPr>
        <w:t xml:space="preserve"> </w:t>
      </w:r>
      <w:bookmarkStart w:id="32" w:name="lt_pId032"/>
      <w:r w:rsidRPr="00DF4AB1">
        <w:rPr>
          <w:sz w:val="28"/>
          <w:szCs w:val="28"/>
        </w:rPr>
        <w:t>Il comprenait 47 critères cotés, répartis selon trois aspects d’évaluation clés :</w:t>
      </w:r>
      <w:bookmarkEnd w:id="32"/>
    </w:p>
    <w:p w:rsidR="002B1587" w:rsidRPr="00DF4AB1" w:rsidRDefault="009E78E9" w:rsidP="002B1587">
      <w:pPr>
        <w:pStyle w:val="ListParagraph"/>
        <w:numPr>
          <w:ilvl w:val="1"/>
          <w:numId w:val="5"/>
        </w:numPr>
        <w:spacing w:line="240" w:lineRule="auto"/>
        <w:contextualSpacing w:val="0"/>
        <w:rPr>
          <w:rFonts w:cs="Arial"/>
          <w:sz w:val="28"/>
          <w:szCs w:val="28"/>
        </w:rPr>
      </w:pPr>
      <w:bookmarkStart w:id="33" w:name="lt_pId033"/>
      <w:r w:rsidRPr="00DF4AB1">
        <w:rPr>
          <w:sz w:val="28"/>
          <w:szCs w:val="28"/>
        </w:rPr>
        <w:t>la capacité du système d’offrir les capacités opérationnelles requises;</w:t>
      </w:r>
      <w:bookmarkEnd w:id="33"/>
    </w:p>
    <w:p w:rsidR="002B1587" w:rsidRPr="00DF4AB1" w:rsidRDefault="009E78E9" w:rsidP="002B1587">
      <w:pPr>
        <w:pStyle w:val="ListParagraph"/>
        <w:numPr>
          <w:ilvl w:val="1"/>
          <w:numId w:val="5"/>
        </w:numPr>
        <w:spacing w:line="240" w:lineRule="auto"/>
        <w:contextualSpacing w:val="0"/>
        <w:rPr>
          <w:rFonts w:cs="Arial"/>
          <w:sz w:val="28"/>
          <w:szCs w:val="28"/>
        </w:rPr>
      </w:pPr>
      <w:bookmarkStart w:id="34" w:name="lt_pId034"/>
      <w:r w:rsidRPr="00DF4AB1">
        <w:rPr>
          <w:sz w:val="28"/>
          <w:szCs w:val="28"/>
        </w:rPr>
        <w:t>la technologie, la maturité et la robustesse sous-jacentes du système;</w:t>
      </w:r>
      <w:bookmarkEnd w:id="34"/>
    </w:p>
    <w:p w:rsidR="002B1587" w:rsidRPr="00DF4AB1" w:rsidRDefault="009E78E9" w:rsidP="002B1587">
      <w:pPr>
        <w:pStyle w:val="ListParagraph"/>
        <w:numPr>
          <w:ilvl w:val="1"/>
          <w:numId w:val="5"/>
        </w:numPr>
        <w:spacing w:line="240" w:lineRule="auto"/>
        <w:contextualSpacing w:val="0"/>
        <w:rPr>
          <w:rFonts w:cs="Arial"/>
          <w:sz w:val="28"/>
          <w:szCs w:val="28"/>
        </w:rPr>
      </w:pPr>
      <w:bookmarkStart w:id="35" w:name="lt_pId035"/>
      <w:r w:rsidRPr="00DF4AB1">
        <w:rPr>
          <w:sz w:val="28"/>
          <w:szCs w:val="28"/>
        </w:rPr>
        <w:t>l’expérience de mise en œuvre du soumissionnaire, la maturité de l’approche de celui-ci et l’aptitude du soumissionnaire à devenir un partenaire stratégique à long terme pour les RH et la paye.</w:t>
      </w:r>
      <w:bookmarkEnd w:id="35"/>
    </w:p>
    <w:p w:rsidR="002B1587" w:rsidRPr="005D619B" w:rsidRDefault="009E78E9" w:rsidP="002B1587">
      <w:pPr>
        <w:pStyle w:val="ListParagraph"/>
        <w:numPr>
          <w:ilvl w:val="0"/>
          <w:numId w:val="5"/>
        </w:numPr>
        <w:spacing w:line="240" w:lineRule="auto"/>
        <w:ind w:left="360"/>
        <w:contextualSpacing w:val="0"/>
        <w:rPr>
          <w:rFonts w:cs="Arial"/>
          <w:sz w:val="28"/>
          <w:szCs w:val="28"/>
        </w:rPr>
      </w:pPr>
      <w:bookmarkStart w:id="36" w:name="lt_pId036"/>
      <w:r w:rsidRPr="00DF4AB1">
        <w:rPr>
          <w:sz w:val="28"/>
          <w:szCs w:val="28"/>
        </w:rPr>
        <w:t xml:space="preserve">Le </w:t>
      </w:r>
      <w:r w:rsidRPr="00DF4AB1">
        <w:rPr>
          <w:b/>
          <w:sz w:val="28"/>
          <w:szCs w:val="28"/>
        </w:rPr>
        <w:t>point de contrôle 2</w:t>
      </w:r>
      <w:r w:rsidRPr="00DF4AB1">
        <w:rPr>
          <w:sz w:val="28"/>
          <w:szCs w:val="28"/>
        </w:rPr>
        <w:t xml:space="preserve"> a été lancé le 23 novembre 2018 et a pris fin</w:t>
      </w:r>
      <w:r w:rsidRPr="005D619B">
        <w:rPr>
          <w:sz w:val="28"/>
          <w:szCs w:val="28"/>
        </w:rPr>
        <w:t xml:space="preserve"> le 4 février 2019.</w:t>
      </w:r>
      <w:bookmarkEnd w:id="36"/>
      <w:r w:rsidRPr="005D619B">
        <w:rPr>
          <w:sz w:val="28"/>
          <w:szCs w:val="28"/>
        </w:rPr>
        <w:t xml:space="preserve">  </w:t>
      </w:r>
      <w:bookmarkStart w:id="37" w:name="lt_pId037"/>
      <w:r w:rsidRPr="005D619B">
        <w:rPr>
          <w:sz w:val="28"/>
          <w:szCs w:val="28"/>
        </w:rPr>
        <w:t>Il a permis la sélection de trois soumissionnaires, qui sont admissibles au point de contrôle 3.</w:t>
      </w:r>
      <w:bookmarkEnd w:id="37"/>
      <w:r w:rsidRPr="005D619B">
        <w:rPr>
          <w:sz w:val="28"/>
          <w:szCs w:val="28"/>
        </w:rPr>
        <w:t xml:space="preserve"> </w:t>
      </w:r>
      <w:bookmarkStart w:id="38" w:name="lt_pId038"/>
      <w:r w:rsidRPr="005D619B">
        <w:rPr>
          <w:sz w:val="28"/>
          <w:szCs w:val="28"/>
        </w:rPr>
        <w:t>On a procédé à l’évaluation du point de contrôle 2 à l’aide d’une stratégie d’évaluation novatrice comportant les quatre méthodes suivantes :</w:t>
      </w:r>
      <w:bookmarkEnd w:id="38"/>
    </w:p>
    <w:p w:rsidR="002B1587" w:rsidRPr="00DF4AB1" w:rsidRDefault="009E78E9" w:rsidP="002B1587">
      <w:pPr>
        <w:pStyle w:val="ListParagraph"/>
        <w:numPr>
          <w:ilvl w:val="1"/>
          <w:numId w:val="5"/>
        </w:numPr>
        <w:spacing w:line="240" w:lineRule="auto"/>
        <w:contextualSpacing w:val="0"/>
        <w:rPr>
          <w:rFonts w:cs="Arial"/>
          <w:sz w:val="28"/>
          <w:szCs w:val="28"/>
        </w:rPr>
      </w:pPr>
      <w:bookmarkStart w:id="39" w:name="lt_pId039"/>
      <w:r w:rsidRPr="005D619B">
        <w:rPr>
          <w:sz w:val="28"/>
          <w:szCs w:val="28"/>
        </w:rPr>
        <w:t>Évaluation des soumissions :</w:t>
      </w:r>
      <w:bookmarkEnd w:id="39"/>
      <w:r w:rsidRPr="005D619B">
        <w:rPr>
          <w:sz w:val="28"/>
          <w:szCs w:val="28"/>
        </w:rPr>
        <w:t xml:space="preserve"> </w:t>
      </w:r>
      <w:bookmarkStart w:id="40" w:name="lt_pId040"/>
      <w:r w:rsidR="00842005">
        <w:rPr>
          <w:sz w:val="28"/>
          <w:szCs w:val="28"/>
        </w:rPr>
        <w:t>U</w:t>
      </w:r>
      <w:r w:rsidRPr="005D619B">
        <w:rPr>
          <w:sz w:val="28"/>
          <w:szCs w:val="28"/>
        </w:rPr>
        <w:t xml:space="preserve">ne évaluation des soumissions plus </w:t>
      </w:r>
      <w:bookmarkStart w:id="41" w:name="_GoBack"/>
      <w:bookmarkEnd w:id="41"/>
      <w:r w:rsidRPr="00DF4AB1">
        <w:rPr>
          <w:sz w:val="28"/>
          <w:szCs w:val="28"/>
        </w:rPr>
        <w:t>traditionnelle menée par une équipe multidisciplinaire d’évaluateurs.</w:t>
      </w:r>
      <w:bookmarkEnd w:id="40"/>
    </w:p>
    <w:p w:rsidR="002B1587" w:rsidRPr="00DF4AB1" w:rsidRDefault="009E78E9" w:rsidP="002B1587">
      <w:pPr>
        <w:pStyle w:val="ListParagraph"/>
        <w:numPr>
          <w:ilvl w:val="1"/>
          <w:numId w:val="5"/>
        </w:numPr>
        <w:spacing w:line="240" w:lineRule="auto"/>
        <w:contextualSpacing w:val="0"/>
        <w:rPr>
          <w:rFonts w:cs="Arial"/>
          <w:sz w:val="28"/>
          <w:szCs w:val="28"/>
        </w:rPr>
      </w:pPr>
      <w:bookmarkStart w:id="42" w:name="lt_pId041"/>
      <w:r w:rsidRPr="00DF4AB1">
        <w:rPr>
          <w:sz w:val="28"/>
          <w:szCs w:val="28"/>
        </w:rPr>
        <w:t>Examen des experts en la matière :</w:t>
      </w:r>
      <w:bookmarkEnd w:id="42"/>
      <w:r w:rsidRPr="00DF4AB1">
        <w:rPr>
          <w:sz w:val="28"/>
          <w:szCs w:val="28"/>
        </w:rPr>
        <w:t xml:space="preserve"> </w:t>
      </w:r>
      <w:bookmarkStart w:id="43" w:name="lt_pId042"/>
      <w:r w:rsidR="00842005" w:rsidRPr="00DF4AB1">
        <w:rPr>
          <w:sz w:val="28"/>
          <w:szCs w:val="28"/>
        </w:rPr>
        <w:t>U</w:t>
      </w:r>
      <w:r w:rsidRPr="00DF4AB1">
        <w:rPr>
          <w:sz w:val="28"/>
          <w:szCs w:val="28"/>
        </w:rPr>
        <w:t>ne séance d’évaluation interactive au cours de laquelle les soumissionnaires ont présenté leur proposition de solution à des experts en la matière clés de l’ensemble du gouvernement du Canada.</w:t>
      </w:r>
      <w:bookmarkEnd w:id="43"/>
    </w:p>
    <w:p w:rsidR="002B1587" w:rsidRPr="00DF4AB1" w:rsidRDefault="009E78E9" w:rsidP="002B1587">
      <w:pPr>
        <w:pStyle w:val="ListParagraph"/>
        <w:numPr>
          <w:ilvl w:val="1"/>
          <w:numId w:val="5"/>
        </w:numPr>
        <w:spacing w:line="240" w:lineRule="auto"/>
        <w:contextualSpacing w:val="0"/>
        <w:rPr>
          <w:rFonts w:cs="Arial"/>
          <w:sz w:val="28"/>
          <w:szCs w:val="28"/>
        </w:rPr>
      </w:pPr>
      <w:bookmarkStart w:id="44" w:name="lt_pId043"/>
      <w:r w:rsidRPr="00DF4AB1">
        <w:rPr>
          <w:sz w:val="28"/>
          <w:szCs w:val="28"/>
        </w:rPr>
        <w:t>Évaluation de l’expérience utilisateur :</w:t>
      </w:r>
      <w:bookmarkEnd w:id="44"/>
      <w:r w:rsidRPr="00DF4AB1">
        <w:rPr>
          <w:sz w:val="28"/>
          <w:szCs w:val="28"/>
        </w:rPr>
        <w:t xml:space="preserve"> </w:t>
      </w:r>
      <w:bookmarkStart w:id="45" w:name="lt_pId044"/>
      <w:r w:rsidR="00842005" w:rsidRPr="00DF4AB1">
        <w:rPr>
          <w:sz w:val="28"/>
          <w:szCs w:val="28"/>
        </w:rPr>
        <w:t>U</w:t>
      </w:r>
      <w:r w:rsidRPr="00DF4AB1">
        <w:rPr>
          <w:sz w:val="28"/>
          <w:szCs w:val="28"/>
        </w:rPr>
        <w:t>ne évaluation pratique des solutions proposées menée par 200 fonctionnaires d’un océan à l’autre.</w:t>
      </w:r>
      <w:bookmarkEnd w:id="45"/>
    </w:p>
    <w:p w:rsidR="002B1587" w:rsidRPr="00DF4AB1" w:rsidRDefault="009E78E9" w:rsidP="002B1587">
      <w:pPr>
        <w:pStyle w:val="ListParagraph"/>
        <w:numPr>
          <w:ilvl w:val="1"/>
          <w:numId w:val="5"/>
        </w:numPr>
        <w:spacing w:line="240" w:lineRule="auto"/>
        <w:contextualSpacing w:val="0"/>
        <w:rPr>
          <w:rFonts w:cs="Arial"/>
          <w:sz w:val="28"/>
          <w:szCs w:val="28"/>
        </w:rPr>
      </w:pPr>
      <w:bookmarkStart w:id="46" w:name="lt_pId045"/>
      <w:r w:rsidRPr="00DF4AB1">
        <w:rPr>
          <w:sz w:val="28"/>
          <w:szCs w:val="28"/>
        </w:rPr>
        <w:t>Autres examens des fournisseurs :</w:t>
      </w:r>
      <w:bookmarkEnd w:id="46"/>
      <w:r w:rsidRPr="00DF4AB1">
        <w:rPr>
          <w:sz w:val="28"/>
          <w:szCs w:val="28"/>
        </w:rPr>
        <w:t xml:space="preserve"> </w:t>
      </w:r>
      <w:bookmarkStart w:id="47" w:name="lt_pId046"/>
      <w:r w:rsidRPr="00DF4AB1">
        <w:rPr>
          <w:sz w:val="28"/>
          <w:szCs w:val="28"/>
        </w:rPr>
        <w:t xml:space="preserve">Le niveau de difficulté a augmenté tout au long des points de contrôle à mesure que d’autres mesures et contenus étaient diffusés afin de mieux communiquer la </w:t>
      </w:r>
      <w:r w:rsidRPr="00DF4AB1">
        <w:rPr>
          <w:sz w:val="28"/>
          <w:szCs w:val="28"/>
        </w:rPr>
        <w:lastRenderedPageBreak/>
        <w:t>complexité et la réalité du contexte des RH et de la paye du gouvernement fédéral.</w:t>
      </w:r>
      <w:bookmarkEnd w:id="47"/>
    </w:p>
    <w:p w:rsidR="002B1587" w:rsidRPr="00DF4AB1" w:rsidRDefault="009E78E9" w:rsidP="002B1587">
      <w:pPr>
        <w:pStyle w:val="ListParagraph"/>
        <w:numPr>
          <w:ilvl w:val="0"/>
          <w:numId w:val="5"/>
        </w:numPr>
        <w:spacing w:line="240" w:lineRule="auto"/>
        <w:ind w:left="360"/>
        <w:contextualSpacing w:val="0"/>
        <w:rPr>
          <w:rFonts w:cs="Arial"/>
          <w:sz w:val="28"/>
          <w:szCs w:val="28"/>
        </w:rPr>
      </w:pPr>
      <w:bookmarkStart w:id="48" w:name="lt_pId047"/>
      <w:r w:rsidRPr="00DF4AB1">
        <w:rPr>
          <w:sz w:val="28"/>
          <w:szCs w:val="28"/>
        </w:rPr>
        <w:t xml:space="preserve">Le lancement du </w:t>
      </w:r>
      <w:r w:rsidRPr="00DF4AB1">
        <w:rPr>
          <w:b/>
          <w:sz w:val="28"/>
          <w:szCs w:val="28"/>
        </w:rPr>
        <w:t>point de contrôle 3</w:t>
      </w:r>
      <w:r w:rsidRPr="00DF4AB1">
        <w:rPr>
          <w:sz w:val="28"/>
          <w:szCs w:val="28"/>
        </w:rPr>
        <w:t xml:space="preserve"> aura bientôt lieu.</w:t>
      </w:r>
      <w:bookmarkEnd w:id="48"/>
      <w:r w:rsidRPr="00DF4AB1">
        <w:rPr>
          <w:sz w:val="28"/>
          <w:szCs w:val="28"/>
        </w:rPr>
        <w:t xml:space="preserve"> </w:t>
      </w:r>
      <w:bookmarkStart w:id="49" w:name="lt_pId048"/>
      <w:r w:rsidRPr="00DF4AB1">
        <w:rPr>
          <w:sz w:val="28"/>
          <w:szCs w:val="28"/>
        </w:rPr>
        <w:t>Voici de possibles critères :</w:t>
      </w:r>
      <w:bookmarkEnd w:id="49"/>
    </w:p>
    <w:p w:rsidR="002B1587" w:rsidRPr="00DF4AB1" w:rsidRDefault="009E78E9" w:rsidP="002B1587">
      <w:pPr>
        <w:pStyle w:val="ListParagraph"/>
        <w:numPr>
          <w:ilvl w:val="1"/>
          <w:numId w:val="5"/>
        </w:numPr>
        <w:spacing w:line="240" w:lineRule="auto"/>
        <w:contextualSpacing w:val="0"/>
        <w:rPr>
          <w:rFonts w:cs="Arial"/>
          <w:sz w:val="28"/>
          <w:szCs w:val="28"/>
        </w:rPr>
      </w:pPr>
      <w:bookmarkStart w:id="50" w:name="lt_pId049"/>
      <w:r w:rsidRPr="00DF4AB1">
        <w:rPr>
          <w:sz w:val="28"/>
          <w:szCs w:val="28"/>
        </w:rPr>
        <w:t>Modèles de déploiement possibles et feuille de route</w:t>
      </w:r>
      <w:bookmarkEnd w:id="50"/>
      <w:r w:rsidR="00842005" w:rsidRPr="00DF4AB1">
        <w:rPr>
          <w:sz w:val="28"/>
          <w:szCs w:val="28"/>
        </w:rPr>
        <w:t>.</w:t>
      </w:r>
    </w:p>
    <w:p w:rsidR="002B1587" w:rsidRPr="00DF4AB1" w:rsidRDefault="009E78E9" w:rsidP="002B1587">
      <w:pPr>
        <w:pStyle w:val="ListParagraph"/>
        <w:numPr>
          <w:ilvl w:val="1"/>
          <w:numId w:val="5"/>
        </w:numPr>
        <w:spacing w:line="240" w:lineRule="auto"/>
        <w:contextualSpacing w:val="0"/>
        <w:rPr>
          <w:rFonts w:cs="Arial"/>
          <w:sz w:val="28"/>
          <w:szCs w:val="28"/>
        </w:rPr>
      </w:pPr>
      <w:bookmarkStart w:id="51" w:name="lt_pId050"/>
      <w:r w:rsidRPr="00DF4AB1">
        <w:rPr>
          <w:sz w:val="28"/>
          <w:szCs w:val="28"/>
        </w:rPr>
        <w:t>Approche en matière d’épuration, de migration et de gouvernance des données</w:t>
      </w:r>
      <w:bookmarkEnd w:id="51"/>
      <w:r w:rsidR="00842005" w:rsidRPr="00DF4AB1">
        <w:rPr>
          <w:sz w:val="28"/>
          <w:szCs w:val="28"/>
        </w:rPr>
        <w:t>.</w:t>
      </w:r>
    </w:p>
    <w:p w:rsidR="002B1587" w:rsidRPr="00DF4AB1" w:rsidRDefault="009E78E9" w:rsidP="002B1587">
      <w:pPr>
        <w:pStyle w:val="ListParagraph"/>
        <w:numPr>
          <w:ilvl w:val="1"/>
          <w:numId w:val="5"/>
        </w:numPr>
        <w:spacing w:line="240" w:lineRule="auto"/>
        <w:contextualSpacing w:val="0"/>
        <w:rPr>
          <w:rFonts w:cs="Arial"/>
          <w:sz w:val="28"/>
          <w:szCs w:val="28"/>
        </w:rPr>
      </w:pPr>
      <w:bookmarkStart w:id="52" w:name="lt_pId051"/>
      <w:r w:rsidRPr="00DF4AB1">
        <w:rPr>
          <w:sz w:val="28"/>
          <w:szCs w:val="28"/>
        </w:rPr>
        <w:t>Mise à l’essai des règles sur la paye et du chargement de la paye</w:t>
      </w:r>
      <w:bookmarkEnd w:id="52"/>
      <w:r w:rsidR="00842005" w:rsidRPr="00DF4AB1">
        <w:rPr>
          <w:sz w:val="28"/>
          <w:szCs w:val="28"/>
        </w:rPr>
        <w:t>.</w:t>
      </w:r>
    </w:p>
    <w:p w:rsidR="002B1587" w:rsidRPr="00DF4AB1" w:rsidRDefault="009E78E9" w:rsidP="002B1587">
      <w:pPr>
        <w:pStyle w:val="ListParagraph"/>
        <w:numPr>
          <w:ilvl w:val="1"/>
          <w:numId w:val="5"/>
        </w:numPr>
        <w:spacing w:line="240" w:lineRule="auto"/>
        <w:contextualSpacing w:val="0"/>
        <w:rPr>
          <w:rFonts w:cs="Arial"/>
          <w:sz w:val="28"/>
          <w:szCs w:val="28"/>
        </w:rPr>
      </w:pPr>
      <w:bookmarkStart w:id="53" w:name="lt_pId052"/>
      <w:r w:rsidRPr="00DF4AB1">
        <w:rPr>
          <w:sz w:val="28"/>
          <w:szCs w:val="28"/>
        </w:rPr>
        <w:t>Modalités contractuelles</w:t>
      </w:r>
      <w:bookmarkEnd w:id="53"/>
      <w:r w:rsidR="00842005" w:rsidRPr="00DF4AB1">
        <w:rPr>
          <w:sz w:val="28"/>
          <w:szCs w:val="28"/>
        </w:rPr>
        <w:t>.</w:t>
      </w:r>
    </w:p>
    <w:p w:rsidR="002B1587" w:rsidRPr="00DF4AB1" w:rsidRDefault="009E78E9" w:rsidP="002B1587">
      <w:pPr>
        <w:pStyle w:val="ListParagraph"/>
        <w:numPr>
          <w:ilvl w:val="1"/>
          <w:numId w:val="5"/>
        </w:numPr>
        <w:spacing w:line="240" w:lineRule="auto"/>
        <w:contextualSpacing w:val="0"/>
        <w:rPr>
          <w:rFonts w:cs="Arial"/>
          <w:sz w:val="28"/>
          <w:szCs w:val="28"/>
        </w:rPr>
      </w:pPr>
      <w:bookmarkStart w:id="54" w:name="lt_pId053"/>
      <w:r w:rsidRPr="00DF4AB1">
        <w:rPr>
          <w:sz w:val="28"/>
          <w:szCs w:val="28"/>
        </w:rPr>
        <w:t>Capacité et stratégie de gestion du changement</w:t>
      </w:r>
      <w:bookmarkEnd w:id="54"/>
      <w:r w:rsidR="00842005" w:rsidRPr="00DF4AB1">
        <w:rPr>
          <w:sz w:val="28"/>
          <w:szCs w:val="28"/>
        </w:rPr>
        <w:t>.</w:t>
      </w:r>
    </w:p>
    <w:p w:rsidR="002B1587" w:rsidRPr="00DF4AB1" w:rsidRDefault="009E78E9" w:rsidP="002B1587">
      <w:pPr>
        <w:pStyle w:val="ListParagraph"/>
        <w:numPr>
          <w:ilvl w:val="1"/>
          <w:numId w:val="5"/>
        </w:numPr>
        <w:spacing w:line="240" w:lineRule="auto"/>
        <w:contextualSpacing w:val="0"/>
        <w:rPr>
          <w:rFonts w:cs="Arial"/>
          <w:sz w:val="28"/>
          <w:szCs w:val="28"/>
        </w:rPr>
      </w:pPr>
      <w:bookmarkStart w:id="55" w:name="lt_pId054"/>
      <w:r w:rsidRPr="00DF4AB1">
        <w:rPr>
          <w:sz w:val="28"/>
          <w:szCs w:val="28"/>
        </w:rPr>
        <w:t>Accord sur les niveaux de service</w:t>
      </w:r>
      <w:bookmarkEnd w:id="55"/>
      <w:r w:rsidR="00842005" w:rsidRPr="00DF4AB1">
        <w:rPr>
          <w:sz w:val="28"/>
          <w:szCs w:val="28"/>
        </w:rPr>
        <w:t>.</w:t>
      </w:r>
    </w:p>
    <w:p w:rsidR="002B1587" w:rsidRPr="00DF4AB1" w:rsidRDefault="009E78E9" w:rsidP="002B1587">
      <w:pPr>
        <w:pStyle w:val="ListParagraph"/>
        <w:numPr>
          <w:ilvl w:val="1"/>
          <w:numId w:val="5"/>
        </w:numPr>
        <w:spacing w:line="240" w:lineRule="auto"/>
        <w:contextualSpacing w:val="0"/>
        <w:rPr>
          <w:rFonts w:cs="Arial"/>
          <w:sz w:val="28"/>
          <w:szCs w:val="28"/>
        </w:rPr>
      </w:pPr>
      <w:bookmarkStart w:id="56" w:name="lt_pId055"/>
      <w:r w:rsidRPr="00DF4AB1">
        <w:rPr>
          <w:sz w:val="28"/>
          <w:szCs w:val="28"/>
        </w:rPr>
        <w:t>Coûts de mise en œuvre organisationn</w:t>
      </w:r>
      <w:r w:rsidR="00842005" w:rsidRPr="00DF4AB1">
        <w:rPr>
          <w:sz w:val="28"/>
          <w:szCs w:val="28"/>
        </w:rPr>
        <w:t>elle et des systèmes et projets-</w:t>
      </w:r>
      <w:r w:rsidRPr="00DF4AB1">
        <w:rPr>
          <w:sz w:val="28"/>
          <w:szCs w:val="28"/>
        </w:rPr>
        <w:t>pilotes</w:t>
      </w:r>
      <w:bookmarkEnd w:id="56"/>
      <w:r w:rsidR="00842005" w:rsidRPr="00DF4AB1">
        <w:rPr>
          <w:sz w:val="28"/>
          <w:szCs w:val="28"/>
        </w:rPr>
        <w:t>.</w:t>
      </w:r>
    </w:p>
    <w:p w:rsidR="002B1587" w:rsidRPr="00DF4AB1" w:rsidRDefault="009E78E9" w:rsidP="002B1587">
      <w:pPr>
        <w:pStyle w:val="ListParagraph"/>
        <w:numPr>
          <w:ilvl w:val="1"/>
          <w:numId w:val="5"/>
        </w:numPr>
        <w:spacing w:line="240" w:lineRule="auto"/>
        <w:contextualSpacing w:val="0"/>
        <w:rPr>
          <w:rFonts w:cs="Arial"/>
          <w:sz w:val="28"/>
          <w:szCs w:val="28"/>
        </w:rPr>
      </w:pPr>
      <w:bookmarkStart w:id="57" w:name="lt_pId056"/>
      <w:r w:rsidRPr="00DF4AB1">
        <w:rPr>
          <w:sz w:val="28"/>
          <w:szCs w:val="28"/>
        </w:rPr>
        <w:t>Coûts de maintenance et coûts permanents</w:t>
      </w:r>
      <w:bookmarkEnd w:id="57"/>
      <w:r w:rsidR="00842005" w:rsidRPr="00DF4AB1">
        <w:rPr>
          <w:sz w:val="28"/>
          <w:szCs w:val="28"/>
        </w:rPr>
        <w:t>.</w:t>
      </w:r>
    </w:p>
    <w:p w:rsidR="002B1587" w:rsidRPr="00DF4AB1" w:rsidRDefault="009E78E9" w:rsidP="000526E3">
      <w:pPr>
        <w:pStyle w:val="ListParagraph"/>
        <w:numPr>
          <w:ilvl w:val="0"/>
          <w:numId w:val="5"/>
        </w:numPr>
        <w:spacing w:line="240" w:lineRule="auto"/>
        <w:ind w:left="360"/>
        <w:contextualSpacing w:val="0"/>
        <w:rPr>
          <w:rFonts w:cs="Arial"/>
          <w:sz w:val="28"/>
          <w:szCs w:val="28"/>
        </w:rPr>
      </w:pPr>
      <w:bookmarkStart w:id="58" w:name="lt_pId057"/>
      <w:r w:rsidRPr="00DF4AB1">
        <w:rPr>
          <w:sz w:val="28"/>
          <w:szCs w:val="28"/>
        </w:rPr>
        <w:t>Dans le cadre des efforts de mobilisation des utilisateurs, l’</w:t>
      </w:r>
      <w:r w:rsidR="00842005" w:rsidRPr="00DF4AB1">
        <w:rPr>
          <w:sz w:val="28"/>
          <w:szCs w:val="28"/>
        </w:rPr>
        <w:t>É</w:t>
      </w:r>
      <w:r w:rsidRPr="00DF4AB1">
        <w:rPr>
          <w:sz w:val="28"/>
          <w:szCs w:val="28"/>
        </w:rPr>
        <w:t>quipe des RH et de la paye de la prochaine génération a organisé un certain nombre d’expositions des utilisateurs dans la région de la capitale nationale et dans les régions.</w:t>
      </w:r>
      <w:bookmarkEnd w:id="58"/>
      <w:r w:rsidRPr="00DF4AB1">
        <w:rPr>
          <w:sz w:val="28"/>
          <w:szCs w:val="28"/>
        </w:rPr>
        <w:t xml:space="preserve"> </w:t>
      </w:r>
      <w:bookmarkStart w:id="59" w:name="lt_pId058"/>
      <w:r w:rsidRPr="00DF4AB1">
        <w:rPr>
          <w:sz w:val="28"/>
          <w:szCs w:val="28"/>
        </w:rPr>
        <w:t>Au total, 14 séances de mobilisation ont eu lieu à Ottawa, à Gatineau, à Montréal, à Dartmouth, à Victoria, à Edmonton et à Winnipeg du 14 janvier 2019 au 11 février 2019.</w:t>
      </w:r>
      <w:bookmarkEnd w:id="59"/>
      <w:r w:rsidRPr="00DF4AB1">
        <w:rPr>
          <w:sz w:val="28"/>
          <w:szCs w:val="28"/>
        </w:rPr>
        <w:t xml:space="preserve"> </w:t>
      </w:r>
    </w:p>
    <w:p w:rsidR="002B1587" w:rsidRPr="00DF4AB1" w:rsidRDefault="009E78E9" w:rsidP="000526E3">
      <w:pPr>
        <w:pStyle w:val="ListParagraph"/>
        <w:numPr>
          <w:ilvl w:val="0"/>
          <w:numId w:val="5"/>
        </w:numPr>
        <w:spacing w:line="240" w:lineRule="auto"/>
        <w:ind w:left="360"/>
        <w:contextualSpacing w:val="0"/>
        <w:rPr>
          <w:rFonts w:cs="Arial"/>
          <w:sz w:val="28"/>
          <w:szCs w:val="28"/>
        </w:rPr>
      </w:pPr>
      <w:bookmarkStart w:id="60" w:name="lt_pId059"/>
      <w:r w:rsidRPr="00DF4AB1">
        <w:rPr>
          <w:sz w:val="28"/>
          <w:szCs w:val="28"/>
        </w:rPr>
        <w:t>Les efforts de mobilisation comprenaient aussi la collaboration d’autres gouvernements et de grandes entreprises qui ont entrepris des transformations semblables des RH et de la paye dans leur propre organisation.</w:t>
      </w:r>
      <w:bookmarkEnd w:id="60"/>
      <w:r w:rsidRPr="00DF4AB1">
        <w:rPr>
          <w:sz w:val="28"/>
          <w:szCs w:val="28"/>
        </w:rPr>
        <w:t xml:space="preserve"> </w:t>
      </w:r>
      <w:bookmarkStart w:id="61" w:name="lt_pId060"/>
      <w:r w:rsidRPr="00DF4AB1">
        <w:rPr>
          <w:sz w:val="28"/>
          <w:szCs w:val="28"/>
        </w:rPr>
        <w:t>Il s’agit entre autres de leçons tirées des gouvernements de l’Alberta, de la Californie et de l’Australie.</w:t>
      </w:r>
      <w:bookmarkEnd w:id="61"/>
      <w:r w:rsidRPr="00DF4AB1">
        <w:rPr>
          <w:sz w:val="28"/>
          <w:szCs w:val="28"/>
        </w:rPr>
        <w:t xml:space="preserve"> </w:t>
      </w:r>
      <w:bookmarkStart w:id="62" w:name="lt_pId061"/>
      <w:r w:rsidRPr="00DF4AB1">
        <w:rPr>
          <w:sz w:val="28"/>
          <w:szCs w:val="28"/>
        </w:rPr>
        <w:t>Au cours de ces travaux, l’</w:t>
      </w:r>
      <w:r w:rsidR="00842005" w:rsidRPr="00DF4AB1">
        <w:rPr>
          <w:sz w:val="28"/>
          <w:szCs w:val="28"/>
        </w:rPr>
        <w:t>É</w:t>
      </w:r>
      <w:r w:rsidRPr="00DF4AB1">
        <w:rPr>
          <w:sz w:val="28"/>
          <w:szCs w:val="28"/>
        </w:rPr>
        <w:t>quipe des RH et de la paye de la prochaine génération est aussi à examiner et à évaluer des recommandations d’un certain nombre de rapports de tiers, dont des rapports du vérificateur général du Canada, de Goss Gilroy et de comités parlementaires.</w:t>
      </w:r>
      <w:bookmarkEnd w:id="62"/>
      <w:r w:rsidRPr="00DF4AB1">
        <w:rPr>
          <w:sz w:val="28"/>
          <w:szCs w:val="28"/>
        </w:rPr>
        <w:t xml:space="preserve">   </w:t>
      </w:r>
    </w:p>
    <w:p w:rsidR="002B1587" w:rsidRPr="00DF4AB1" w:rsidRDefault="00B6420E" w:rsidP="00DF4AB1">
      <w:pPr>
        <w:spacing w:line="240" w:lineRule="auto"/>
        <w:rPr>
          <w:rFonts w:cs="Arial"/>
          <w:sz w:val="28"/>
          <w:szCs w:val="28"/>
        </w:rPr>
      </w:pPr>
    </w:p>
    <w:sectPr w:rsidR="002B1587" w:rsidRPr="00DF4AB1" w:rsidSect="00F778CF">
      <w:headerReference w:type="even" r:id="rId8"/>
      <w:headerReference w:type="default" r:id="rId9"/>
      <w:footerReference w:type="default" r:id="rId10"/>
      <w:headerReference w:type="first" r:id="rId11"/>
      <w:footerReference w:type="firs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0E" w:rsidRDefault="00B6420E">
      <w:pPr>
        <w:spacing w:after="0" w:line="240" w:lineRule="auto"/>
      </w:pPr>
      <w:r>
        <w:separator/>
      </w:r>
    </w:p>
  </w:endnote>
  <w:endnote w:type="continuationSeparator" w:id="0">
    <w:p w:rsidR="00B6420E" w:rsidRDefault="00B6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628297"/>
      <w:docPartObj>
        <w:docPartGallery w:val="Page Numbers (Bottom of Page)"/>
        <w:docPartUnique/>
      </w:docPartObj>
    </w:sdtPr>
    <w:sdtEndPr>
      <w:rPr>
        <w:noProof/>
      </w:rPr>
    </w:sdtEndPr>
    <w:sdtContent>
      <w:p w:rsidR="009E1E8B" w:rsidRDefault="009E78E9">
        <w:pPr>
          <w:pStyle w:val="Footer"/>
          <w:jc w:val="right"/>
        </w:pPr>
        <w:r>
          <w:fldChar w:fldCharType="begin"/>
        </w:r>
        <w:r>
          <w:instrText xml:space="preserve"> PAGE   \* MERGEFORMAT </w:instrText>
        </w:r>
        <w:r>
          <w:fldChar w:fldCharType="separate"/>
        </w:r>
        <w:r w:rsidR="00DF4AB1">
          <w:rPr>
            <w:noProof/>
          </w:rPr>
          <w:t>5</w:t>
        </w:r>
        <w:r>
          <w:fldChar w:fldCharType="end"/>
        </w:r>
      </w:p>
    </w:sdtContent>
  </w:sdt>
  <w:p w:rsidR="009E1E8B" w:rsidRDefault="00B64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6"/>
        <w:szCs w:val="36"/>
      </w:rPr>
      <w:id w:val="1707299851"/>
      <w:docPartObj>
        <w:docPartGallery w:val="Page Numbers (Bottom of Page)"/>
        <w:docPartUnique/>
      </w:docPartObj>
    </w:sdtPr>
    <w:sdtEndPr>
      <w:rPr>
        <w:noProof/>
      </w:rPr>
    </w:sdtEndPr>
    <w:sdtContent>
      <w:p w:rsidR="00FB3C96" w:rsidRPr="00FB3C96" w:rsidRDefault="009E78E9">
        <w:pPr>
          <w:pStyle w:val="Footer"/>
          <w:jc w:val="right"/>
          <w:rPr>
            <w:sz w:val="36"/>
            <w:szCs w:val="36"/>
          </w:rPr>
        </w:pPr>
        <w:r w:rsidRPr="00FB3C96">
          <w:rPr>
            <w:sz w:val="36"/>
            <w:szCs w:val="36"/>
          </w:rPr>
          <w:fldChar w:fldCharType="begin"/>
        </w:r>
        <w:r w:rsidRPr="00FB3C96">
          <w:rPr>
            <w:sz w:val="36"/>
            <w:szCs w:val="36"/>
          </w:rPr>
          <w:instrText xml:space="preserve"> PAGE   \* MERGEFORMAT </w:instrText>
        </w:r>
        <w:r w:rsidRPr="00FB3C96">
          <w:rPr>
            <w:sz w:val="36"/>
            <w:szCs w:val="36"/>
          </w:rPr>
          <w:fldChar w:fldCharType="separate"/>
        </w:r>
        <w:r>
          <w:rPr>
            <w:sz w:val="36"/>
            <w:szCs w:val="36"/>
          </w:rPr>
          <w:t>1</w:t>
        </w:r>
        <w:r w:rsidRPr="00FB3C96">
          <w:rPr>
            <w:sz w:val="36"/>
            <w:szCs w:val="36"/>
          </w:rPr>
          <w:fldChar w:fldCharType="end"/>
        </w:r>
      </w:p>
    </w:sdtContent>
  </w:sdt>
  <w:p w:rsidR="00CD16FD" w:rsidRDefault="00B64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0E" w:rsidRDefault="00B6420E">
      <w:pPr>
        <w:spacing w:after="0" w:line="240" w:lineRule="auto"/>
      </w:pPr>
      <w:r>
        <w:separator/>
      </w:r>
    </w:p>
  </w:footnote>
  <w:footnote w:type="continuationSeparator" w:id="0">
    <w:p w:rsidR="00B6420E" w:rsidRDefault="00B64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FD" w:rsidRDefault="00B6420E" w:rsidP="00CD16FD">
    <w:pPr>
      <w:pStyle w:val="Header"/>
    </w:pPr>
    <w:bookmarkStart w:id="63" w:name="TITUS1HeaderEvenPages"/>
  </w:p>
  <w:bookmarkEnd w:id="63"/>
  <w:p w:rsidR="00CD16FD" w:rsidRDefault="00B64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FD" w:rsidRDefault="00B6420E" w:rsidP="00CD16FD">
    <w:pPr>
      <w:pStyle w:val="Header"/>
    </w:pPr>
    <w:bookmarkStart w:id="64" w:name="TITUS1HeaderPrimary"/>
  </w:p>
  <w:bookmarkEnd w:id="64"/>
  <w:p w:rsidR="00CD16FD" w:rsidRDefault="00B64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FD" w:rsidRDefault="00B6420E" w:rsidP="00CD16FD">
    <w:pPr>
      <w:pStyle w:val="Header"/>
    </w:pPr>
    <w:bookmarkStart w:id="65" w:name="TITUS1HeaderFirstPage"/>
  </w:p>
  <w:bookmarkEnd w:id="65"/>
  <w:p w:rsidR="00CD16FD" w:rsidRDefault="00B6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0CB"/>
    <w:multiLevelType w:val="hybridMultilevel"/>
    <w:tmpl w:val="532896C8"/>
    <w:lvl w:ilvl="0" w:tplc="B204FB18">
      <w:start w:val="1"/>
      <w:numFmt w:val="bullet"/>
      <w:lvlText w:val=""/>
      <w:lvlJc w:val="left"/>
      <w:pPr>
        <w:ind w:left="360" w:hanging="360"/>
      </w:pPr>
      <w:rPr>
        <w:rFonts w:ascii="Symbol" w:hAnsi="Symbol" w:hint="default"/>
      </w:rPr>
    </w:lvl>
    <w:lvl w:ilvl="1" w:tplc="595A6D7A">
      <w:start w:val="1"/>
      <w:numFmt w:val="bullet"/>
      <w:lvlText w:val="o"/>
      <w:lvlJc w:val="left"/>
      <w:pPr>
        <w:ind w:left="1080" w:hanging="360"/>
      </w:pPr>
      <w:rPr>
        <w:rFonts w:ascii="Courier New" w:hAnsi="Courier New" w:cs="Courier New" w:hint="default"/>
      </w:rPr>
    </w:lvl>
    <w:lvl w:ilvl="2" w:tplc="4C5A7C4C" w:tentative="1">
      <w:start w:val="1"/>
      <w:numFmt w:val="bullet"/>
      <w:lvlText w:val=""/>
      <w:lvlJc w:val="left"/>
      <w:pPr>
        <w:ind w:left="1800" w:hanging="360"/>
      </w:pPr>
      <w:rPr>
        <w:rFonts w:ascii="Wingdings" w:hAnsi="Wingdings" w:hint="default"/>
      </w:rPr>
    </w:lvl>
    <w:lvl w:ilvl="3" w:tplc="D36EB054" w:tentative="1">
      <w:start w:val="1"/>
      <w:numFmt w:val="bullet"/>
      <w:lvlText w:val=""/>
      <w:lvlJc w:val="left"/>
      <w:pPr>
        <w:ind w:left="2520" w:hanging="360"/>
      </w:pPr>
      <w:rPr>
        <w:rFonts w:ascii="Symbol" w:hAnsi="Symbol" w:hint="default"/>
      </w:rPr>
    </w:lvl>
    <w:lvl w:ilvl="4" w:tplc="2FB24E7A" w:tentative="1">
      <w:start w:val="1"/>
      <w:numFmt w:val="bullet"/>
      <w:lvlText w:val="o"/>
      <w:lvlJc w:val="left"/>
      <w:pPr>
        <w:ind w:left="3240" w:hanging="360"/>
      </w:pPr>
      <w:rPr>
        <w:rFonts w:ascii="Courier New" w:hAnsi="Courier New" w:cs="Courier New" w:hint="default"/>
      </w:rPr>
    </w:lvl>
    <w:lvl w:ilvl="5" w:tplc="1430E530" w:tentative="1">
      <w:start w:val="1"/>
      <w:numFmt w:val="bullet"/>
      <w:lvlText w:val=""/>
      <w:lvlJc w:val="left"/>
      <w:pPr>
        <w:ind w:left="3960" w:hanging="360"/>
      </w:pPr>
      <w:rPr>
        <w:rFonts w:ascii="Wingdings" w:hAnsi="Wingdings" w:hint="default"/>
      </w:rPr>
    </w:lvl>
    <w:lvl w:ilvl="6" w:tplc="149AC3F0" w:tentative="1">
      <w:start w:val="1"/>
      <w:numFmt w:val="bullet"/>
      <w:lvlText w:val=""/>
      <w:lvlJc w:val="left"/>
      <w:pPr>
        <w:ind w:left="4680" w:hanging="360"/>
      </w:pPr>
      <w:rPr>
        <w:rFonts w:ascii="Symbol" w:hAnsi="Symbol" w:hint="default"/>
      </w:rPr>
    </w:lvl>
    <w:lvl w:ilvl="7" w:tplc="61EAD7CC" w:tentative="1">
      <w:start w:val="1"/>
      <w:numFmt w:val="bullet"/>
      <w:lvlText w:val="o"/>
      <w:lvlJc w:val="left"/>
      <w:pPr>
        <w:ind w:left="5400" w:hanging="360"/>
      </w:pPr>
      <w:rPr>
        <w:rFonts w:ascii="Courier New" w:hAnsi="Courier New" w:cs="Courier New" w:hint="default"/>
      </w:rPr>
    </w:lvl>
    <w:lvl w:ilvl="8" w:tplc="5862F9B6" w:tentative="1">
      <w:start w:val="1"/>
      <w:numFmt w:val="bullet"/>
      <w:lvlText w:val=""/>
      <w:lvlJc w:val="left"/>
      <w:pPr>
        <w:ind w:left="6120" w:hanging="360"/>
      </w:pPr>
      <w:rPr>
        <w:rFonts w:ascii="Wingdings" w:hAnsi="Wingdings" w:hint="default"/>
      </w:rPr>
    </w:lvl>
  </w:abstractNum>
  <w:abstractNum w:abstractNumId="1" w15:restartNumberingAfterBreak="0">
    <w:nsid w:val="2A681549"/>
    <w:multiLevelType w:val="hybridMultilevel"/>
    <w:tmpl w:val="87E24810"/>
    <w:lvl w:ilvl="0" w:tplc="459E0FAE">
      <w:start w:val="1"/>
      <w:numFmt w:val="bullet"/>
      <w:lvlText w:val=""/>
      <w:lvlJc w:val="left"/>
      <w:pPr>
        <w:ind w:left="720" w:hanging="360"/>
      </w:pPr>
      <w:rPr>
        <w:rFonts w:ascii="Symbol" w:hAnsi="Symbol" w:hint="default"/>
      </w:rPr>
    </w:lvl>
    <w:lvl w:ilvl="1" w:tplc="E1505356" w:tentative="1">
      <w:start w:val="1"/>
      <w:numFmt w:val="bullet"/>
      <w:lvlText w:val="o"/>
      <w:lvlJc w:val="left"/>
      <w:pPr>
        <w:ind w:left="1440" w:hanging="360"/>
      </w:pPr>
      <w:rPr>
        <w:rFonts w:ascii="Courier New" w:hAnsi="Courier New" w:cs="Courier New" w:hint="default"/>
      </w:rPr>
    </w:lvl>
    <w:lvl w:ilvl="2" w:tplc="88B05A2E" w:tentative="1">
      <w:start w:val="1"/>
      <w:numFmt w:val="bullet"/>
      <w:lvlText w:val=""/>
      <w:lvlJc w:val="left"/>
      <w:pPr>
        <w:ind w:left="2160" w:hanging="360"/>
      </w:pPr>
      <w:rPr>
        <w:rFonts w:ascii="Wingdings" w:hAnsi="Wingdings" w:hint="default"/>
      </w:rPr>
    </w:lvl>
    <w:lvl w:ilvl="3" w:tplc="32569510" w:tentative="1">
      <w:start w:val="1"/>
      <w:numFmt w:val="bullet"/>
      <w:lvlText w:val=""/>
      <w:lvlJc w:val="left"/>
      <w:pPr>
        <w:ind w:left="2880" w:hanging="360"/>
      </w:pPr>
      <w:rPr>
        <w:rFonts w:ascii="Symbol" w:hAnsi="Symbol" w:hint="default"/>
      </w:rPr>
    </w:lvl>
    <w:lvl w:ilvl="4" w:tplc="F3CA2976" w:tentative="1">
      <w:start w:val="1"/>
      <w:numFmt w:val="bullet"/>
      <w:lvlText w:val="o"/>
      <w:lvlJc w:val="left"/>
      <w:pPr>
        <w:ind w:left="3600" w:hanging="360"/>
      </w:pPr>
      <w:rPr>
        <w:rFonts w:ascii="Courier New" w:hAnsi="Courier New" w:cs="Courier New" w:hint="default"/>
      </w:rPr>
    </w:lvl>
    <w:lvl w:ilvl="5" w:tplc="0F6AA512" w:tentative="1">
      <w:start w:val="1"/>
      <w:numFmt w:val="bullet"/>
      <w:lvlText w:val=""/>
      <w:lvlJc w:val="left"/>
      <w:pPr>
        <w:ind w:left="4320" w:hanging="360"/>
      </w:pPr>
      <w:rPr>
        <w:rFonts w:ascii="Wingdings" w:hAnsi="Wingdings" w:hint="default"/>
      </w:rPr>
    </w:lvl>
    <w:lvl w:ilvl="6" w:tplc="33385774" w:tentative="1">
      <w:start w:val="1"/>
      <w:numFmt w:val="bullet"/>
      <w:lvlText w:val=""/>
      <w:lvlJc w:val="left"/>
      <w:pPr>
        <w:ind w:left="5040" w:hanging="360"/>
      </w:pPr>
      <w:rPr>
        <w:rFonts w:ascii="Symbol" w:hAnsi="Symbol" w:hint="default"/>
      </w:rPr>
    </w:lvl>
    <w:lvl w:ilvl="7" w:tplc="50D20C66" w:tentative="1">
      <w:start w:val="1"/>
      <w:numFmt w:val="bullet"/>
      <w:lvlText w:val="o"/>
      <w:lvlJc w:val="left"/>
      <w:pPr>
        <w:ind w:left="5760" w:hanging="360"/>
      </w:pPr>
      <w:rPr>
        <w:rFonts w:ascii="Courier New" w:hAnsi="Courier New" w:cs="Courier New" w:hint="default"/>
      </w:rPr>
    </w:lvl>
    <w:lvl w:ilvl="8" w:tplc="ED8A8454" w:tentative="1">
      <w:start w:val="1"/>
      <w:numFmt w:val="bullet"/>
      <w:lvlText w:val=""/>
      <w:lvlJc w:val="left"/>
      <w:pPr>
        <w:ind w:left="6480" w:hanging="360"/>
      </w:pPr>
      <w:rPr>
        <w:rFonts w:ascii="Wingdings" w:hAnsi="Wingdings" w:hint="default"/>
      </w:rPr>
    </w:lvl>
  </w:abstractNum>
  <w:abstractNum w:abstractNumId="2" w15:restartNumberingAfterBreak="0">
    <w:nsid w:val="50AE7519"/>
    <w:multiLevelType w:val="hybridMultilevel"/>
    <w:tmpl w:val="0D26C2D6"/>
    <w:lvl w:ilvl="0" w:tplc="9BDCBE78">
      <w:start w:val="1"/>
      <w:numFmt w:val="bullet"/>
      <w:lvlText w:val=""/>
      <w:lvlJc w:val="left"/>
      <w:pPr>
        <w:ind w:left="720" w:hanging="360"/>
      </w:pPr>
      <w:rPr>
        <w:rFonts w:ascii="Symbol" w:hAnsi="Symbol" w:hint="default"/>
      </w:rPr>
    </w:lvl>
    <w:lvl w:ilvl="1" w:tplc="8D2C4C4C" w:tentative="1">
      <w:start w:val="1"/>
      <w:numFmt w:val="bullet"/>
      <w:lvlText w:val="o"/>
      <w:lvlJc w:val="left"/>
      <w:pPr>
        <w:ind w:left="1440" w:hanging="360"/>
      </w:pPr>
      <w:rPr>
        <w:rFonts w:ascii="Courier New" w:hAnsi="Courier New" w:cs="Courier New" w:hint="default"/>
      </w:rPr>
    </w:lvl>
    <w:lvl w:ilvl="2" w:tplc="7DE8B1B8" w:tentative="1">
      <w:start w:val="1"/>
      <w:numFmt w:val="bullet"/>
      <w:lvlText w:val=""/>
      <w:lvlJc w:val="left"/>
      <w:pPr>
        <w:ind w:left="2160" w:hanging="360"/>
      </w:pPr>
      <w:rPr>
        <w:rFonts w:ascii="Wingdings" w:hAnsi="Wingdings" w:hint="default"/>
      </w:rPr>
    </w:lvl>
    <w:lvl w:ilvl="3" w:tplc="96A85712" w:tentative="1">
      <w:start w:val="1"/>
      <w:numFmt w:val="bullet"/>
      <w:lvlText w:val=""/>
      <w:lvlJc w:val="left"/>
      <w:pPr>
        <w:ind w:left="2880" w:hanging="360"/>
      </w:pPr>
      <w:rPr>
        <w:rFonts w:ascii="Symbol" w:hAnsi="Symbol" w:hint="default"/>
      </w:rPr>
    </w:lvl>
    <w:lvl w:ilvl="4" w:tplc="B8563878" w:tentative="1">
      <w:start w:val="1"/>
      <w:numFmt w:val="bullet"/>
      <w:lvlText w:val="o"/>
      <w:lvlJc w:val="left"/>
      <w:pPr>
        <w:ind w:left="3600" w:hanging="360"/>
      </w:pPr>
      <w:rPr>
        <w:rFonts w:ascii="Courier New" w:hAnsi="Courier New" w:cs="Courier New" w:hint="default"/>
      </w:rPr>
    </w:lvl>
    <w:lvl w:ilvl="5" w:tplc="AA40F2A0" w:tentative="1">
      <w:start w:val="1"/>
      <w:numFmt w:val="bullet"/>
      <w:lvlText w:val=""/>
      <w:lvlJc w:val="left"/>
      <w:pPr>
        <w:ind w:left="4320" w:hanging="360"/>
      </w:pPr>
      <w:rPr>
        <w:rFonts w:ascii="Wingdings" w:hAnsi="Wingdings" w:hint="default"/>
      </w:rPr>
    </w:lvl>
    <w:lvl w:ilvl="6" w:tplc="72FEFE80" w:tentative="1">
      <w:start w:val="1"/>
      <w:numFmt w:val="bullet"/>
      <w:lvlText w:val=""/>
      <w:lvlJc w:val="left"/>
      <w:pPr>
        <w:ind w:left="5040" w:hanging="360"/>
      </w:pPr>
      <w:rPr>
        <w:rFonts w:ascii="Symbol" w:hAnsi="Symbol" w:hint="default"/>
      </w:rPr>
    </w:lvl>
    <w:lvl w:ilvl="7" w:tplc="38488FAE" w:tentative="1">
      <w:start w:val="1"/>
      <w:numFmt w:val="bullet"/>
      <w:lvlText w:val="o"/>
      <w:lvlJc w:val="left"/>
      <w:pPr>
        <w:ind w:left="5760" w:hanging="360"/>
      </w:pPr>
      <w:rPr>
        <w:rFonts w:ascii="Courier New" w:hAnsi="Courier New" w:cs="Courier New" w:hint="default"/>
      </w:rPr>
    </w:lvl>
    <w:lvl w:ilvl="8" w:tplc="A1443A92" w:tentative="1">
      <w:start w:val="1"/>
      <w:numFmt w:val="bullet"/>
      <w:lvlText w:val=""/>
      <w:lvlJc w:val="left"/>
      <w:pPr>
        <w:ind w:left="6480" w:hanging="360"/>
      </w:pPr>
      <w:rPr>
        <w:rFonts w:ascii="Wingdings" w:hAnsi="Wingdings" w:hint="default"/>
      </w:rPr>
    </w:lvl>
  </w:abstractNum>
  <w:abstractNum w:abstractNumId="3" w15:restartNumberingAfterBreak="0">
    <w:nsid w:val="56F35D89"/>
    <w:multiLevelType w:val="hybridMultilevel"/>
    <w:tmpl w:val="1B46BD20"/>
    <w:lvl w:ilvl="0" w:tplc="D15E86D8">
      <w:start w:val="1"/>
      <w:numFmt w:val="bullet"/>
      <w:lvlText w:val=""/>
      <w:lvlJc w:val="left"/>
      <w:pPr>
        <w:ind w:left="720" w:hanging="360"/>
      </w:pPr>
      <w:rPr>
        <w:rFonts w:ascii="Symbol" w:hAnsi="Symbol" w:hint="default"/>
      </w:rPr>
    </w:lvl>
    <w:lvl w:ilvl="1" w:tplc="6EE4B924" w:tentative="1">
      <w:start w:val="1"/>
      <w:numFmt w:val="bullet"/>
      <w:lvlText w:val="o"/>
      <w:lvlJc w:val="left"/>
      <w:pPr>
        <w:ind w:left="1440" w:hanging="360"/>
      </w:pPr>
      <w:rPr>
        <w:rFonts w:ascii="Courier New" w:hAnsi="Courier New" w:cs="Courier New" w:hint="default"/>
      </w:rPr>
    </w:lvl>
    <w:lvl w:ilvl="2" w:tplc="5322CFF6" w:tentative="1">
      <w:start w:val="1"/>
      <w:numFmt w:val="bullet"/>
      <w:lvlText w:val=""/>
      <w:lvlJc w:val="left"/>
      <w:pPr>
        <w:ind w:left="2160" w:hanging="360"/>
      </w:pPr>
      <w:rPr>
        <w:rFonts w:ascii="Wingdings" w:hAnsi="Wingdings" w:hint="default"/>
      </w:rPr>
    </w:lvl>
    <w:lvl w:ilvl="3" w:tplc="986CDF92" w:tentative="1">
      <w:start w:val="1"/>
      <w:numFmt w:val="bullet"/>
      <w:lvlText w:val=""/>
      <w:lvlJc w:val="left"/>
      <w:pPr>
        <w:ind w:left="2880" w:hanging="360"/>
      </w:pPr>
      <w:rPr>
        <w:rFonts w:ascii="Symbol" w:hAnsi="Symbol" w:hint="default"/>
      </w:rPr>
    </w:lvl>
    <w:lvl w:ilvl="4" w:tplc="A4C229C6" w:tentative="1">
      <w:start w:val="1"/>
      <w:numFmt w:val="bullet"/>
      <w:lvlText w:val="o"/>
      <w:lvlJc w:val="left"/>
      <w:pPr>
        <w:ind w:left="3600" w:hanging="360"/>
      </w:pPr>
      <w:rPr>
        <w:rFonts w:ascii="Courier New" w:hAnsi="Courier New" w:cs="Courier New" w:hint="default"/>
      </w:rPr>
    </w:lvl>
    <w:lvl w:ilvl="5" w:tplc="FA30CB78" w:tentative="1">
      <w:start w:val="1"/>
      <w:numFmt w:val="bullet"/>
      <w:lvlText w:val=""/>
      <w:lvlJc w:val="left"/>
      <w:pPr>
        <w:ind w:left="4320" w:hanging="360"/>
      </w:pPr>
      <w:rPr>
        <w:rFonts w:ascii="Wingdings" w:hAnsi="Wingdings" w:hint="default"/>
      </w:rPr>
    </w:lvl>
    <w:lvl w:ilvl="6" w:tplc="47FAA0D2" w:tentative="1">
      <w:start w:val="1"/>
      <w:numFmt w:val="bullet"/>
      <w:lvlText w:val=""/>
      <w:lvlJc w:val="left"/>
      <w:pPr>
        <w:ind w:left="5040" w:hanging="360"/>
      </w:pPr>
      <w:rPr>
        <w:rFonts w:ascii="Symbol" w:hAnsi="Symbol" w:hint="default"/>
      </w:rPr>
    </w:lvl>
    <w:lvl w:ilvl="7" w:tplc="248C8EEE" w:tentative="1">
      <w:start w:val="1"/>
      <w:numFmt w:val="bullet"/>
      <w:lvlText w:val="o"/>
      <w:lvlJc w:val="left"/>
      <w:pPr>
        <w:ind w:left="5760" w:hanging="360"/>
      </w:pPr>
      <w:rPr>
        <w:rFonts w:ascii="Courier New" w:hAnsi="Courier New" w:cs="Courier New" w:hint="default"/>
      </w:rPr>
    </w:lvl>
    <w:lvl w:ilvl="8" w:tplc="AA2611C2" w:tentative="1">
      <w:start w:val="1"/>
      <w:numFmt w:val="bullet"/>
      <w:lvlText w:val=""/>
      <w:lvlJc w:val="left"/>
      <w:pPr>
        <w:ind w:left="6480" w:hanging="360"/>
      </w:pPr>
      <w:rPr>
        <w:rFonts w:ascii="Wingdings" w:hAnsi="Wingdings" w:hint="default"/>
      </w:rPr>
    </w:lvl>
  </w:abstractNum>
  <w:abstractNum w:abstractNumId="4" w15:restartNumberingAfterBreak="0">
    <w:nsid w:val="5CFD1D9A"/>
    <w:multiLevelType w:val="hybridMultilevel"/>
    <w:tmpl w:val="90A805E0"/>
    <w:lvl w:ilvl="0" w:tplc="0D886EEC">
      <w:start w:val="1"/>
      <w:numFmt w:val="bullet"/>
      <w:lvlText w:val=""/>
      <w:lvlJc w:val="left"/>
      <w:pPr>
        <w:ind w:left="360" w:hanging="360"/>
      </w:pPr>
      <w:rPr>
        <w:rFonts w:ascii="Symbol" w:hAnsi="Symbol" w:hint="default"/>
      </w:rPr>
    </w:lvl>
    <w:lvl w:ilvl="1" w:tplc="EABCF4DE" w:tentative="1">
      <w:start w:val="1"/>
      <w:numFmt w:val="bullet"/>
      <w:lvlText w:val="o"/>
      <w:lvlJc w:val="left"/>
      <w:pPr>
        <w:ind w:left="1080" w:hanging="360"/>
      </w:pPr>
      <w:rPr>
        <w:rFonts w:ascii="Courier New" w:hAnsi="Courier New" w:cs="Courier New" w:hint="default"/>
      </w:rPr>
    </w:lvl>
    <w:lvl w:ilvl="2" w:tplc="7C30B906" w:tentative="1">
      <w:start w:val="1"/>
      <w:numFmt w:val="bullet"/>
      <w:lvlText w:val=""/>
      <w:lvlJc w:val="left"/>
      <w:pPr>
        <w:ind w:left="1800" w:hanging="360"/>
      </w:pPr>
      <w:rPr>
        <w:rFonts w:ascii="Wingdings" w:hAnsi="Wingdings" w:hint="default"/>
      </w:rPr>
    </w:lvl>
    <w:lvl w:ilvl="3" w:tplc="A932702A" w:tentative="1">
      <w:start w:val="1"/>
      <w:numFmt w:val="bullet"/>
      <w:lvlText w:val=""/>
      <w:lvlJc w:val="left"/>
      <w:pPr>
        <w:ind w:left="2520" w:hanging="360"/>
      </w:pPr>
      <w:rPr>
        <w:rFonts w:ascii="Symbol" w:hAnsi="Symbol" w:hint="default"/>
      </w:rPr>
    </w:lvl>
    <w:lvl w:ilvl="4" w:tplc="8A2C1F94" w:tentative="1">
      <w:start w:val="1"/>
      <w:numFmt w:val="bullet"/>
      <w:lvlText w:val="o"/>
      <w:lvlJc w:val="left"/>
      <w:pPr>
        <w:ind w:left="3240" w:hanging="360"/>
      </w:pPr>
      <w:rPr>
        <w:rFonts w:ascii="Courier New" w:hAnsi="Courier New" w:cs="Courier New" w:hint="default"/>
      </w:rPr>
    </w:lvl>
    <w:lvl w:ilvl="5" w:tplc="BE3EC108" w:tentative="1">
      <w:start w:val="1"/>
      <w:numFmt w:val="bullet"/>
      <w:lvlText w:val=""/>
      <w:lvlJc w:val="left"/>
      <w:pPr>
        <w:ind w:left="3960" w:hanging="360"/>
      </w:pPr>
      <w:rPr>
        <w:rFonts w:ascii="Wingdings" w:hAnsi="Wingdings" w:hint="default"/>
      </w:rPr>
    </w:lvl>
    <w:lvl w:ilvl="6" w:tplc="0BF2B710" w:tentative="1">
      <w:start w:val="1"/>
      <w:numFmt w:val="bullet"/>
      <w:lvlText w:val=""/>
      <w:lvlJc w:val="left"/>
      <w:pPr>
        <w:ind w:left="4680" w:hanging="360"/>
      </w:pPr>
      <w:rPr>
        <w:rFonts w:ascii="Symbol" w:hAnsi="Symbol" w:hint="default"/>
      </w:rPr>
    </w:lvl>
    <w:lvl w:ilvl="7" w:tplc="6D782F42" w:tentative="1">
      <w:start w:val="1"/>
      <w:numFmt w:val="bullet"/>
      <w:lvlText w:val="o"/>
      <w:lvlJc w:val="left"/>
      <w:pPr>
        <w:ind w:left="5400" w:hanging="360"/>
      </w:pPr>
      <w:rPr>
        <w:rFonts w:ascii="Courier New" w:hAnsi="Courier New" w:cs="Courier New" w:hint="default"/>
      </w:rPr>
    </w:lvl>
    <w:lvl w:ilvl="8" w:tplc="871A65EA" w:tentative="1">
      <w:start w:val="1"/>
      <w:numFmt w:val="bullet"/>
      <w:lvlText w:val=""/>
      <w:lvlJc w:val="left"/>
      <w:pPr>
        <w:ind w:left="6120" w:hanging="360"/>
      </w:pPr>
      <w:rPr>
        <w:rFonts w:ascii="Wingdings" w:hAnsi="Wingdings" w:hint="default"/>
      </w:rPr>
    </w:lvl>
  </w:abstractNum>
  <w:abstractNum w:abstractNumId="5" w15:restartNumberingAfterBreak="0">
    <w:nsid w:val="635C051C"/>
    <w:multiLevelType w:val="hybridMultilevel"/>
    <w:tmpl w:val="D714AD52"/>
    <w:lvl w:ilvl="0" w:tplc="54744206">
      <w:start w:val="1"/>
      <w:numFmt w:val="bullet"/>
      <w:lvlText w:val=""/>
      <w:lvlJc w:val="left"/>
      <w:pPr>
        <w:ind w:left="720" w:hanging="360"/>
      </w:pPr>
      <w:rPr>
        <w:rFonts w:ascii="Symbol" w:hAnsi="Symbol" w:hint="default"/>
      </w:rPr>
    </w:lvl>
    <w:lvl w:ilvl="1" w:tplc="404E39EE">
      <w:start w:val="1"/>
      <w:numFmt w:val="bullet"/>
      <w:lvlText w:val="o"/>
      <w:lvlJc w:val="left"/>
      <w:pPr>
        <w:ind w:left="1440" w:hanging="360"/>
      </w:pPr>
      <w:rPr>
        <w:rFonts w:ascii="Courier New" w:hAnsi="Courier New" w:cs="Courier New" w:hint="default"/>
      </w:rPr>
    </w:lvl>
    <w:lvl w:ilvl="2" w:tplc="EF5AF7B0">
      <w:start w:val="1"/>
      <w:numFmt w:val="bullet"/>
      <w:lvlText w:val=""/>
      <w:lvlJc w:val="left"/>
      <w:pPr>
        <w:ind w:left="2160" w:hanging="360"/>
      </w:pPr>
      <w:rPr>
        <w:rFonts w:ascii="Wingdings" w:hAnsi="Wingdings" w:hint="default"/>
      </w:rPr>
    </w:lvl>
    <w:lvl w:ilvl="3" w:tplc="A27AB61E" w:tentative="1">
      <w:start w:val="1"/>
      <w:numFmt w:val="bullet"/>
      <w:lvlText w:val=""/>
      <w:lvlJc w:val="left"/>
      <w:pPr>
        <w:ind w:left="2880" w:hanging="360"/>
      </w:pPr>
      <w:rPr>
        <w:rFonts w:ascii="Symbol" w:hAnsi="Symbol" w:hint="default"/>
      </w:rPr>
    </w:lvl>
    <w:lvl w:ilvl="4" w:tplc="31609626" w:tentative="1">
      <w:start w:val="1"/>
      <w:numFmt w:val="bullet"/>
      <w:lvlText w:val="o"/>
      <w:lvlJc w:val="left"/>
      <w:pPr>
        <w:ind w:left="3600" w:hanging="360"/>
      </w:pPr>
      <w:rPr>
        <w:rFonts w:ascii="Courier New" w:hAnsi="Courier New" w:cs="Courier New" w:hint="default"/>
      </w:rPr>
    </w:lvl>
    <w:lvl w:ilvl="5" w:tplc="BCA6A952" w:tentative="1">
      <w:start w:val="1"/>
      <w:numFmt w:val="bullet"/>
      <w:lvlText w:val=""/>
      <w:lvlJc w:val="left"/>
      <w:pPr>
        <w:ind w:left="4320" w:hanging="360"/>
      </w:pPr>
      <w:rPr>
        <w:rFonts w:ascii="Wingdings" w:hAnsi="Wingdings" w:hint="default"/>
      </w:rPr>
    </w:lvl>
    <w:lvl w:ilvl="6" w:tplc="180828E8" w:tentative="1">
      <w:start w:val="1"/>
      <w:numFmt w:val="bullet"/>
      <w:lvlText w:val=""/>
      <w:lvlJc w:val="left"/>
      <w:pPr>
        <w:ind w:left="5040" w:hanging="360"/>
      </w:pPr>
      <w:rPr>
        <w:rFonts w:ascii="Symbol" w:hAnsi="Symbol" w:hint="default"/>
      </w:rPr>
    </w:lvl>
    <w:lvl w:ilvl="7" w:tplc="9152A374" w:tentative="1">
      <w:start w:val="1"/>
      <w:numFmt w:val="bullet"/>
      <w:lvlText w:val="o"/>
      <w:lvlJc w:val="left"/>
      <w:pPr>
        <w:ind w:left="5760" w:hanging="360"/>
      </w:pPr>
      <w:rPr>
        <w:rFonts w:ascii="Courier New" w:hAnsi="Courier New" w:cs="Courier New" w:hint="default"/>
      </w:rPr>
    </w:lvl>
    <w:lvl w:ilvl="8" w:tplc="064CFB10" w:tentative="1">
      <w:start w:val="1"/>
      <w:numFmt w:val="bullet"/>
      <w:lvlText w:val=""/>
      <w:lvlJc w:val="left"/>
      <w:pPr>
        <w:ind w:left="6480" w:hanging="360"/>
      </w:pPr>
      <w:rPr>
        <w:rFonts w:ascii="Wingdings" w:hAnsi="Wingdings" w:hint="default"/>
      </w:rPr>
    </w:lvl>
  </w:abstractNum>
  <w:abstractNum w:abstractNumId="6" w15:restartNumberingAfterBreak="0">
    <w:nsid w:val="63EB01EC"/>
    <w:multiLevelType w:val="hybridMultilevel"/>
    <w:tmpl w:val="F0B0306C"/>
    <w:lvl w:ilvl="0" w:tplc="76BC8B3A">
      <w:start w:val="1"/>
      <w:numFmt w:val="bullet"/>
      <w:lvlText w:val=""/>
      <w:lvlJc w:val="left"/>
      <w:pPr>
        <w:ind w:left="720" w:hanging="360"/>
      </w:pPr>
      <w:rPr>
        <w:rFonts w:ascii="Symbol" w:hAnsi="Symbol" w:hint="default"/>
      </w:rPr>
    </w:lvl>
    <w:lvl w:ilvl="1" w:tplc="B0B0DAAE" w:tentative="1">
      <w:start w:val="1"/>
      <w:numFmt w:val="bullet"/>
      <w:lvlText w:val="o"/>
      <w:lvlJc w:val="left"/>
      <w:pPr>
        <w:ind w:left="1440" w:hanging="360"/>
      </w:pPr>
      <w:rPr>
        <w:rFonts w:ascii="Courier New" w:hAnsi="Courier New" w:cs="Courier New" w:hint="default"/>
      </w:rPr>
    </w:lvl>
    <w:lvl w:ilvl="2" w:tplc="F17CA67C" w:tentative="1">
      <w:start w:val="1"/>
      <w:numFmt w:val="bullet"/>
      <w:lvlText w:val=""/>
      <w:lvlJc w:val="left"/>
      <w:pPr>
        <w:ind w:left="2160" w:hanging="360"/>
      </w:pPr>
      <w:rPr>
        <w:rFonts w:ascii="Wingdings" w:hAnsi="Wingdings" w:hint="default"/>
      </w:rPr>
    </w:lvl>
    <w:lvl w:ilvl="3" w:tplc="91AAC430" w:tentative="1">
      <w:start w:val="1"/>
      <w:numFmt w:val="bullet"/>
      <w:lvlText w:val=""/>
      <w:lvlJc w:val="left"/>
      <w:pPr>
        <w:ind w:left="2880" w:hanging="360"/>
      </w:pPr>
      <w:rPr>
        <w:rFonts w:ascii="Symbol" w:hAnsi="Symbol" w:hint="default"/>
      </w:rPr>
    </w:lvl>
    <w:lvl w:ilvl="4" w:tplc="151A086E" w:tentative="1">
      <w:start w:val="1"/>
      <w:numFmt w:val="bullet"/>
      <w:lvlText w:val="o"/>
      <w:lvlJc w:val="left"/>
      <w:pPr>
        <w:ind w:left="3600" w:hanging="360"/>
      </w:pPr>
      <w:rPr>
        <w:rFonts w:ascii="Courier New" w:hAnsi="Courier New" w:cs="Courier New" w:hint="default"/>
      </w:rPr>
    </w:lvl>
    <w:lvl w:ilvl="5" w:tplc="CD5AB164" w:tentative="1">
      <w:start w:val="1"/>
      <w:numFmt w:val="bullet"/>
      <w:lvlText w:val=""/>
      <w:lvlJc w:val="left"/>
      <w:pPr>
        <w:ind w:left="4320" w:hanging="360"/>
      </w:pPr>
      <w:rPr>
        <w:rFonts w:ascii="Wingdings" w:hAnsi="Wingdings" w:hint="default"/>
      </w:rPr>
    </w:lvl>
    <w:lvl w:ilvl="6" w:tplc="EE886AFE" w:tentative="1">
      <w:start w:val="1"/>
      <w:numFmt w:val="bullet"/>
      <w:lvlText w:val=""/>
      <w:lvlJc w:val="left"/>
      <w:pPr>
        <w:ind w:left="5040" w:hanging="360"/>
      </w:pPr>
      <w:rPr>
        <w:rFonts w:ascii="Symbol" w:hAnsi="Symbol" w:hint="default"/>
      </w:rPr>
    </w:lvl>
    <w:lvl w:ilvl="7" w:tplc="0BECA2D2" w:tentative="1">
      <w:start w:val="1"/>
      <w:numFmt w:val="bullet"/>
      <w:lvlText w:val="o"/>
      <w:lvlJc w:val="left"/>
      <w:pPr>
        <w:ind w:left="5760" w:hanging="360"/>
      </w:pPr>
      <w:rPr>
        <w:rFonts w:ascii="Courier New" w:hAnsi="Courier New" w:cs="Courier New" w:hint="default"/>
      </w:rPr>
    </w:lvl>
    <w:lvl w:ilvl="8" w:tplc="C5968C5E" w:tentative="1">
      <w:start w:val="1"/>
      <w:numFmt w:val="bullet"/>
      <w:lvlText w:val=""/>
      <w:lvlJc w:val="left"/>
      <w:pPr>
        <w:ind w:left="6480" w:hanging="360"/>
      </w:pPr>
      <w:rPr>
        <w:rFonts w:ascii="Wingdings" w:hAnsi="Wingdings" w:hint="default"/>
      </w:rPr>
    </w:lvl>
  </w:abstractNum>
  <w:abstractNum w:abstractNumId="7" w15:restartNumberingAfterBreak="0">
    <w:nsid w:val="66534C0F"/>
    <w:multiLevelType w:val="hybridMultilevel"/>
    <w:tmpl w:val="5D564A1E"/>
    <w:lvl w:ilvl="0" w:tplc="C0A89CD4">
      <w:start w:val="1"/>
      <w:numFmt w:val="bullet"/>
      <w:lvlText w:val=""/>
      <w:lvlJc w:val="left"/>
      <w:pPr>
        <w:ind w:left="720" w:hanging="360"/>
      </w:pPr>
      <w:rPr>
        <w:rFonts w:ascii="Symbol" w:hAnsi="Symbol" w:hint="default"/>
      </w:rPr>
    </w:lvl>
    <w:lvl w:ilvl="1" w:tplc="E5CECC12" w:tentative="1">
      <w:start w:val="1"/>
      <w:numFmt w:val="bullet"/>
      <w:lvlText w:val="o"/>
      <w:lvlJc w:val="left"/>
      <w:pPr>
        <w:ind w:left="1440" w:hanging="360"/>
      </w:pPr>
      <w:rPr>
        <w:rFonts w:ascii="Courier New" w:hAnsi="Courier New" w:cs="Courier New" w:hint="default"/>
      </w:rPr>
    </w:lvl>
    <w:lvl w:ilvl="2" w:tplc="87BE1450" w:tentative="1">
      <w:start w:val="1"/>
      <w:numFmt w:val="bullet"/>
      <w:lvlText w:val=""/>
      <w:lvlJc w:val="left"/>
      <w:pPr>
        <w:ind w:left="2160" w:hanging="360"/>
      </w:pPr>
      <w:rPr>
        <w:rFonts w:ascii="Wingdings" w:hAnsi="Wingdings" w:hint="default"/>
      </w:rPr>
    </w:lvl>
    <w:lvl w:ilvl="3" w:tplc="A98859B4" w:tentative="1">
      <w:start w:val="1"/>
      <w:numFmt w:val="bullet"/>
      <w:lvlText w:val=""/>
      <w:lvlJc w:val="left"/>
      <w:pPr>
        <w:ind w:left="2880" w:hanging="360"/>
      </w:pPr>
      <w:rPr>
        <w:rFonts w:ascii="Symbol" w:hAnsi="Symbol" w:hint="default"/>
      </w:rPr>
    </w:lvl>
    <w:lvl w:ilvl="4" w:tplc="BFE8BD84" w:tentative="1">
      <w:start w:val="1"/>
      <w:numFmt w:val="bullet"/>
      <w:lvlText w:val="o"/>
      <w:lvlJc w:val="left"/>
      <w:pPr>
        <w:ind w:left="3600" w:hanging="360"/>
      </w:pPr>
      <w:rPr>
        <w:rFonts w:ascii="Courier New" w:hAnsi="Courier New" w:cs="Courier New" w:hint="default"/>
      </w:rPr>
    </w:lvl>
    <w:lvl w:ilvl="5" w:tplc="E10AC420" w:tentative="1">
      <w:start w:val="1"/>
      <w:numFmt w:val="bullet"/>
      <w:lvlText w:val=""/>
      <w:lvlJc w:val="left"/>
      <w:pPr>
        <w:ind w:left="4320" w:hanging="360"/>
      </w:pPr>
      <w:rPr>
        <w:rFonts w:ascii="Wingdings" w:hAnsi="Wingdings" w:hint="default"/>
      </w:rPr>
    </w:lvl>
    <w:lvl w:ilvl="6" w:tplc="B7BAE872" w:tentative="1">
      <w:start w:val="1"/>
      <w:numFmt w:val="bullet"/>
      <w:lvlText w:val=""/>
      <w:lvlJc w:val="left"/>
      <w:pPr>
        <w:ind w:left="5040" w:hanging="360"/>
      </w:pPr>
      <w:rPr>
        <w:rFonts w:ascii="Symbol" w:hAnsi="Symbol" w:hint="default"/>
      </w:rPr>
    </w:lvl>
    <w:lvl w:ilvl="7" w:tplc="E6120284" w:tentative="1">
      <w:start w:val="1"/>
      <w:numFmt w:val="bullet"/>
      <w:lvlText w:val="o"/>
      <w:lvlJc w:val="left"/>
      <w:pPr>
        <w:ind w:left="5760" w:hanging="360"/>
      </w:pPr>
      <w:rPr>
        <w:rFonts w:ascii="Courier New" w:hAnsi="Courier New" w:cs="Courier New" w:hint="default"/>
      </w:rPr>
    </w:lvl>
    <w:lvl w:ilvl="8" w:tplc="E7ECF6FA" w:tentative="1">
      <w:start w:val="1"/>
      <w:numFmt w:val="bullet"/>
      <w:lvlText w:val=""/>
      <w:lvlJc w:val="left"/>
      <w:pPr>
        <w:ind w:left="6480" w:hanging="360"/>
      </w:pPr>
      <w:rPr>
        <w:rFonts w:ascii="Wingdings" w:hAnsi="Wingdings" w:hint="default"/>
      </w:rPr>
    </w:lvl>
  </w:abstractNum>
  <w:abstractNum w:abstractNumId="8" w15:restartNumberingAfterBreak="0">
    <w:nsid w:val="6B026C0E"/>
    <w:multiLevelType w:val="hybridMultilevel"/>
    <w:tmpl w:val="21A870EE"/>
    <w:lvl w:ilvl="0" w:tplc="E5F8E0EC">
      <w:start w:val="1"/>
      <w:numFmt w:val="bullet"/>
      <w:lvlText w:val=""/>
      <w:lvlJc w:val="left"/>
      <w:pPr>
        <w:ind w:left="1080" w:hanging="360"/>
      </w:pPr>
      <w:rPr>
        <w:rFonts w:ascii="Symbol" w:hAnsi="Symbol" w:hint="default"/>
      </w:rPr>
    </w:lvl>
    <w:lvl w:ilvl="1" w:tplc="575CEE4C" w:tentative="1">
      <w:start w:val="1"/>
      <w:numFmt w:val="bullet"/>
      <w:lvlText w:val="o"/>
      <w:lvlJc w:val="left"/>
      <w:pPr>
        <w:ind w:left="1800" w:hanging="360"/>
      </w:pPr>
      <w:rPr>
        <w:rFonts w:ascii="Courier New" w:hAnsi="Courier New" w:cs="Courier New" w:hint="default"/>
      </w:rPr>
    </w:lvl>
    <w:lvl w:ilvl="2" w:tplc="717643C0" w:tentative="1">
      <w:start w:val="1"/>
      <w:numFmt w:val="bullet"/>
      <w:lvlText w:val=""/>
      <w:lvlJc w:val="left"/>
      <w:pPr>
        <w:ind w:left="2520" w:hanging="360"/>
      </w:pPr>
      <w:rPr>
        <w:rFonts w:ascii="Wingdings" w:hAnsi="Wingdings" w:hint="default"/>
      </w:rPr>
    </w:lvl>
    <w:lvl w:ilvl="3" w:tplc="B262C8D6" w:tentative="1">
      <w:start w:val="1"/>
      <w:numFmt w:val="bullet"/>
      <w:lvlText w:val=""/>
      <w:lvlJc w:val="left"/>
      <w:pPr>
        <w:ind w:left="3240" w:hanging="360"/>
      </w:pPr>
      <w:rPr>
        <w:rFonts w:ascii="Symbol" w:hAnsi="Symbol" w:hint="default"/>
      </w:rPr>
    </w:lvl>
    <w:lvl w:ilvl="4" w:tplc="6186B5F2" w:tentative="1">
      <w:start w:val="1"/>
      <w:numFmt w:val="bullet"/>
      <w:lvlText w:val="o"/>
      <w:lvlJc w:val="left"/>
      <w:pPr>
        <w:ind w:left="3960" w:hanging="360"/>
      </w:pPr>
      <w:rPr>
        <w:rFonts w:ascii="Courier New" w:hAnsi="Courier New" w:cs="Courier New" w:hint="default"/>
      </w:rPr>
    </w:lvl>
    <w:lvl w:ilvl="5" w:tplc="87126660" w:tentative="1">
      <w:start w:val="1"/>
      <w:numFmt w:val="bullet"/>
      <w:lvlText w:val=""/>
      <w:lvlJc w:val="left"/>
      <w:pPr>
        <w:ind w:left="4680" w:hanging="360"/>
      </w:pPr>
      <w:rPr>
        <w:rFonts w:ascii="Wingdings" w:hAnsi="Wingdings" w:hint="default"/>
      </w:rPr>
    </w:lvl>
    <w:lvl w:ilvl="6" w:tplc="D46CAC54" w:tentative="1">
      <w:start w:val="1"/>
      <w:numFmt w:val="bullet"/>
      <w:lvlText w:val=""/>
      <w:lvlJc w:val="left"/>
      <w:pPr>
        <w:ind w:left="5400" w:hanging="360"/>
      </w:pPr>
      <w:rPr>
        <w:rFonts w:ascii="Symbol" w:hAnsi="Symbol" w:hint="default"/>
      </w:rPr>
    </w:lvl>
    <w:lvl w:ilvl="7" w:tplc="8B0E048A" w:tentative="1">
      <w:start w:val="1"/>
      <w:numFmt w:val="bullet"/>
      <w:lvlText w:val="o"/>
      <w:lvlJc w:val="left"/>
      <w:pPr>
        <w:ind w:left="6120" w:hanging="360"/>
      </w:pPr>
      <w:rPr>
        <w:rFonts w:ascii="Courier New" w:hAnsi="Courier New" w:cs="Courier New" w:hint="default"/>
      </w:rPr>
    </w:lvl>
    <w:lvl w:ilvl="8" w:tplc="63D0C072"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861035-67EA-437E-8F58-044CAF94E340}"/>
    <w:docVar w:name="dgnword-eventsink" w:val="980132792"/>
  </w:docVars>
  <w:rsids>
    <w:rsidRoot w:val="009E78E9"/>
    <w:rsid w:val="005D619B"/>
    <w:rsid w:val="007072B6"/>
    <w:rsid w:val="00842005"/>
    <w:rsid w:val="009E78E9"/>
    <w:rsid w:val="00B6420E"/>
    <w:rsid w:val="00DF4AB1"/>
    <w:rsid w:val="00F62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5B92A-72D1-4637-BF69-519B8780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r List Paragraph,CV text,FooterText,L,List Paragraph1,List Paragraph11,List Paragraph2,List Paragraph21,Listeafsnit1,NFP GP Bulleted List,Paragraphe de liste1,Parágrafo da Lista1,Párrafo de lista1,Recommendation,numbered,列出段落"/>
    <w:basedOn w:val="Normal"/>
    <w:link w:val="ListParagraphChar"/>
    <w:uiPriority w:val="34"/>
    <w:qFormat/>
    <w:rsid w:val="00CD16FD"/>
    <w:pPr>
      <w:ind w:left="720"/>
      <w:contextualSpacing/>
    </w:pPr>
  </w:style>
  <w:style w:type="paragraph" w:styleId="NormalWeb">
    <w:name w:val="Normal (Web)"/>
    <w:basedOn w:val="Normal"/>
    <w:uiPriority w:val="99"/>
    <w:unhideWhenUsed/>
    <w:rsid w:val="00CD16FD"/>
    <w:pPr>
      <w:spacing w:after="173" w:line="240" w:lineRule="auto"/>
    </w:pPr>
    <w:rPr>
      <w:rFonts w:ascii="Times New Roman" w:eastAsia="Times New Roman" w:hAnsi="Times New Roman" w:cs="Times New Roman"/>
      <w:sz w:val="24"/>
      <w:szCs w:val="24"/>
      <w:lang w:eastAsia="en-CA"/>
    </w:rPr>
  </w:style>
  <w:style w:type="paragraph" w:customStyle="1" w:styleId="SummaryRsum">
    <w:name w:val="SummaryRésumé"/>
    <w:basedOn w:val="Normal"/>
    <w:rsid w:val="00CD16FD"/>
    <w:pPr>
      <w:spacing w:before="120" w:after="120" w:line="240" w:lineRule="auto"/>
    </w:pPr>
    <w:rPr>
      <w:rFonts w:ascii="Times New Roman" w:eastAsia="Times New Roman" w:hAnsi="Times New Roman" w:cs="Times New Roman"/>
      <w:sz w:val="24"/>
      <w:szCs w:val="20"/>
    </w:rPr>
  </w:style>
  <w:style w:type="character" w:customStyle="1" w:styleId="ListParagraphChar">
    <w:name w:val="List Paragraph Char"/>
    <w:aliases w:val="Bulletr List Paragraph Char,CV text Char,FooterText Char,L Char,List Paragraph1 Char,List Paragraph11 Char,List Paragraph2 Char,List Paragraph21 Char,Listeafsnit1 Char,NFP GP Bulleted List Char,Paragraphe de liste1 Char,numbered Char"/>
    <w:basedOn w:val="DefaultParagraphFont"/>
    <w:link w:val="ListParagraph"/>
    <w:uiPriority w:val="34"/>
    <w:qFormat/>
    <w:locked/>
    <w:rsid w:val="00CD16FD"/>
  </w:style>
  <w:style w:type="paragraph" w:styleId="Header">
    <w:name w:val="header"/>
    <w:basedOn w:val="Normal"/>
    <w:link w:val="HeaderChar"/>
    <w:uiPriority w:val="99"/>
    <w:unhideWhenUsed/>
    <w:rsid w:val="00CD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FD"/>
  </w:style>
  <w:style w:type="paragraph" w:styleId="Footer">
    <w:name w:val="footer"/>
    <w:basedOn w:val="Normal"/>
    <w:link w:val="FooterChar"/>
    <w:uiPriority w:val="99"/>
    <w:unhideWhenUsed/>
    <w:rsid w:val="00CD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FD"/>
  </w:style>
  <w:style w:type="paragraph" w:styleId="BalloonText">
    <w:name w:val="Balloon Text"/>
    <w:basedOn w:val="Normal"/>
    <w:link w:val="BalloonTextChar"/>
    <w:uiPriority w:val="99"/>
    <w:semiHidden/>
    <w:unhideWhenUsed/>
    <w:rsid w:val="00101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FE"/>
    <w:rPr>
      <w:rFonts w:ascii="Segoe UI" w:hAnsi="Segoe UI" w:cs="Segoe UI"/>
      <w:sz w:val="18"/>
      <w:szCs w:val="18"/>
    </w:rPr>
  </w:style>
  <w:style w:type="character" w:styleId="CommentReference">
    <w:name w:val="annotation reference"/>
    <w:basedOn w:val="DefaultParagraphFont"/>
    <w:uiPriority w:val="99"/>
    <w:semiHidden/>
    <w:unhideWhenUsed/>
    <w:rsid w:val="00AF37AD"/>
    <w:rPr>
      <w:sz w:val="16"/>
      <w:szCs w:val="16"/>
    </w:rPr>
  </w:style>
  <w:style w:type="paragraph" w:styleId="CommentText">
    <w:name w:val="annotation text"/>
    <w:basedOn w:val="Normal"/>
    <w:link w:val="CommentTextChar"/>
    <w:uiPriority w:val="99"/>
    <w:semiHidden/>
    <w:unhideWhenUsed/>
    <w:rsid w:val="00AF37AD"/>
    <w:pPr>
      <w:spacing w:line="240" w:lineRule="auto"/>
    </w:pPr>
    <w:rPr>
      <w:sz w:val="20"/>
      <w:szCs w:val="20"/>
    </w:rPr>
  </w:style>
  <w:style w:type="character" w:customStyle="1" w:styleId="CommentTextChar">
    <w:name w:val="Comment Text Char"/>
    <w:basedOn w:val="DefaultParagraphFont"/>
    <w:link w:val="CommentText"/>
    <w:uiPriority w:val="99"/>
    <w:semiHidden/>
    <w:rsid w:val="00AF37AD"/>
    <w:rPr>
      <w:sz w:val="20"/>
      <w:szCs w:val="20"/>
    </w:rPr>
  </w:style>
  <w:style w:type="paragraph" w:styleId="CommentSubject">
    <w:name w:val="annotation subject"/>
    <w:basedOn w:val="CommentText"/>
    <w:next w:val="CommentText"/>
    <w:link w:val="CommentSubjectChar"/>
    <w:uiPriority w:val="99"/>
    <w:semiHidden/>
    <w:unhideWhenUsed/>
    <w:rsid w:val="00AF37AD"/>
    <w:rPr>
      <w:b/>
      <w:bCs/>
    </w:rPr>
  </w:style>
  <w:style w:type="character" w:customStyle="1" w:styleId="CommentSubjectChar">
    <w:name w:val="Comment Subject Char"/>
    <w:basedOn w:val="CommentTextChar"/>
    <w:link w:val="CommentSubject"/>
    <w:uiPriority w:val="99"/>
    <w:semiHidden/>
    <w:rsid w:val="00AF37AD"/>
    <w:rPr>
      <w:b/>
      <w:bCs/>
      <w:sz w:val="20"/>
      <w:szCs w:val="20"/>
    </w:rPr>
  </w:style>
  <w:style w:type="paragraph" w:styleId="Revision">
    <w:name w:val="Revision"/>
    <w:hidden/>
    <w:uiPriority w:val="99"/>
    <w:semiHidden/>
    <w:rsid w:val="00743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A4F0-6746-49EF-AD69-970BA1EE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Wyngaarden, Erica</dc:creator>
  <cp:lastModifiedBy>Leblanc, Isabelle</cp:lastModifiedBy>
  <cp:revision>2</cp:revision>
  <cp:lastPrinted>2019-03-11T14:47:00Z</cp:lastPrinted>
  <dcterms:created xsi:type="dcterms:W3CDTF">2019-04-18T15:39:00Z</dcterms:created>
  <dcterms:modified xsi:type="dcterms:W3CDTF">2019-04-18T15:39:00Z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a3e2dbf7-e6c5-41e7-ad4d-8a932f9d116c</vt:lpwstr>
  </property>
  <property fmtid="{D5CDD505-2E9C-101B-9397-08002B2CF9AE}" pid="4" name="TBSSCTCLASSIFICATION">
    <vt:lpwstr>UNCLASSIFIED</vt:lpwstr>
  </property>
  <property fmtid="{D5CDD505-2E9C-101B-9397-08002B2CF9AE}" pid="5" name="TBSSCTVISUALMARKINGNO">
    <vt:lpwstr>NO</vt:lpwstr>
  </property>
</Properties>
</file>