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377D" w14:textId="3B9B8F69" w:rsidR="00431546" w:rsidRPr="00625211" w:rsidRDefault="00431546" w:rsidP="00431546">
      <w:pPr>
        <w:widowControl w:val="0"/>
        <w:kinsoku w:val="0"/>
        <w:overflowPunct w:val="0"/>
        <w:spacing w:after="336" w:line="276" w:lineRule="exact"/>
        <w:jc w:val="center"/>
        <w:textAlignment w:val="baseline"/>
        <w:rPr>
          <w:rFonts w:eastAsiaTheme="minorEastAsia" w:cstheme="minorHAnsi"/>
          <w:b/>
          <w:lang w:val="en-US" w:eastAsia="en-CA"/>
        </w:rPr>
      </w:pPr>
      <w:r w:rsidRPr="00431546">
        <w:rPr>
          <w:rFonts w:eastAsiaTheme="minorEastAsia" w:cstheme="minorHAnsi"/>
          <w:b/>
          <w:lang w:val="en-US" w:eastAsia="en-CA"/>
        </w:rPr>
        <w:t>Treasury Board Questions for Sole Source</w:t>
      </w:r>
    </w:p>
    <w:p w14:paraId="59D97BCC" w14:textId="300655E6" w:rsidR="00431546" w:rsidRPr="00431546" w:rsidRDefault="00625211" w:rsidP="00625211">
      <w:pPr>
        <w:widowControl w:val="0"/>
        <w:kinsoku w:val="0"/>
        <w:overflowPunct w:val="0"/>
        <w:spacing w:after="336" w:line="276" w:lineRule="exact"/>
        <w:textAlignment w:val="baseline"/>
        <w:rPr>
          <w:rFonts w:eastAsiaTheme="minorEastAsia" w:cstheme="minorHAnsi"/>
          <w:bCs/>
          <w:lang w:val="en-US" w:eastAsia="en-CA"/>
        </w:rPr>
      </w:pPr>
      <w:r w:rsidRPr="00625211">
        <w:rPr>
          <w:rFonts w:eastAsiaTheme="minorEastAsia" w:cstheme="minorHAnsi"/>
          <w:bCs/>
          <w:lang w:val="en-US" w:eastAsia="en-CA"/>
        </w:rPr>
        <w:t>Do Not Substitute – Laboratory Equipment</w:t>
      </w:r>
    </w:p>
    <w:tbl>
      <w:tblPr>
        <w:tblStyle w:val="TableGrid"/>
        <w:tblW w:w="0" w:type="auto"/>
        <w:tblLook w:val="04A0" w:firstRow="1" w:lastRow="0" w:firstColumn="1" w:lastColumn="0" w:noHBand="0" w:noVBand="1"/>
      </w:tblPr>
      <w:tblGrid>
        <w:gridCol w:w="4225"/>
        <w:gridCol w:w="5125"/>
      </w:tblGrid>
      <w:tr w:rsidR="00431546" w:rsidRPr="00625211" w14:paraId="422611AC" w14:textId="77777777" w:rsidTr="00625211">
        <w:tc>
          <w:tcPr>
            <w:tcW w:w="4225" w:type="dxa"/>
          </w:tcPr>
          <w:p w14:paraId="761317C3" w14:textId="77777777" w:rsidR="00431546" w:rsidRPr="00431546" w:rsidRDefault="00431546" w:rsidP="00431546">
            <w:pPr>
              <w:rPr>
                <w:rFonts w:eastAsiaTheme="minorEastAsia" w:cstheme="minorHAnsi"/>
                <w:lang w:val="en-US" w:eastAsia="en-CA"/>
              </w:rPr>
            </w:pPr>
            <w:r w:rsidRPr="00431546">
              <w:rPr>
                <w:rFonts w:eastAsiaTheme="minorEastAsia" w:cstheme="minorHAnsi"/>
                <w:lang w:val="en-US" w:eastAsia="en-CA"/>
              </w:rPr>
              <w:t>Is the proposed sole source contract linked to a previous procurement and strategy for obtaining additional quantities and/or in-service support?</w:t>
            </w:r>
          </w:p>
          <w:p w14:paraId="5DFBEC57" w14:textId="77777777" w:rsidR="00431546" w:rsidRPr="00625211" w:rsidRDefault="00431546" w:rsidP="00431546">
            <w:pPr>
              <w:rPr>
                <w:rFonts w:eastAsiaTheme="minorEastAsia" w:cstheme="minorHAnsi"/>
                <w:lang w:val="en-US" w:eastAsia="en-CA"/>
              </w:rPr>
            </w:pPr>
            <w:r w:rsidRPr="00625211">
              <w:rPr>
                <w:rFonts w:eastAsiaTheme="minorEastAsia" w:cstheme="minorHAnsi"/>
                <w:lang w:val="en-US" w:eastAsia="en-CA"/>
              </w:rPr>
              <w:t>If yes, what was the approved strategy?</w:t>
            </w:r>
          </w:p>
          <w:p w14:paraId="46D5D892" w14:textId="0C7E2270" w:rsidR="00625211" w:rsidRPr="00625211" w:rsidRDefault="00625211" w:rsidP="00431546">
            <w:pPr>
              <w:rPr>
                <w:rFonts w:cstheme="minorHAnsi"/>
                <w:lang w:val="en-US"/>
              </w:rPr>
            </w:pPr>
          </w:p>
        </w:tc>
        <w:tc>
          <w:tcPr>
            <w:tcW w:w="5125" w:type="dxa"/>
          </w:tcPr>
          <w:p w14:paraId="14E22159" w14:textId="1A992583" w:rsidR="00431546" w:rsidRPr="00625211" w:rsidRDefault="00431546" w:rsidP="00431546">
            <w:pPr>
              <w:rPr>
                <w:rFonts w:cstheme="minorHAnsi"/>
                <w:lang w:val="en-US"/>
              </w:rPr>
            </w:pPr>
            <w:r w:rsidRPr="00625211">
              <w:rPr>
                <w:rFonts w:cstheme="minorHAnsi"/>
                <w:lang w:val="en-US"/>
              </w:rPr>
              <w:t>No. However, this purchase request will include a procurement strategy to obtain additional quantities in upcoming years.</w:t>
            </w:r>
          </w:p>
        </w:tc>
      </w:tr>
      <w:tr w:rsidR="00431546" w:rsidRPr="00625211" w14:paraId="0513830C" w14:textId="77777777" w:rsidTr="00625211">
        <w:tc>
          <w:tcPr>
            <w:tcW w:w="4225" w:type="dxa"/>
          </w:tcPr>
          <w:p w14:paraId="2A6D257D" w14:textId="77777777" w:rsidR="00431546" w:rsidRPr="00625211" w:rsidRDefault="00431546" w:rsidP="00431546">
            <w:pPr>
              <w:rPr>
                <w:rFonts w:cstheme="minorHAnsi"/>
                <w:lang w:val="en-US"/>
              </w:rPr>
            </w:pPr>
            <w:r w:rsidRPr="00625211">
              <w:rPr>
                <w:rFonts w:cstheme="minorHAnsi"/>
                <w:lang w:val="en-US"/>
              </w:rPr>
              <w:t>Notwithstanding the approved strategy, is it feasible and/or affordable to compete the requirement?</w:t>
            </w:r>
          </w:p>
          <w:p w14:paraId="4980D21E" w14:textId="24A6B4A7" w:rsidR="00625211" w:rsidRPr="00625211" w:rsidRDefault="00625211" w:rsidP="00431546">
            <w:pPr>
              <w:rPr>
                <w:rFonts w:cstheme="minorHAnsi"/>
                <w:lang w:val="en-US"/>
              </w:rPr>
            </w:pPr>
          </w:p>
        </w:tc>
        <w:tc>
          <w:tcPr>
            <w:tcW w:w="5125" w:type="dxa"/>
          </w:tcPr>
          <w:p w14:paraId="6E09B28B" w14:textId="59038441" w:rsidR="00431546" w:rsidRPr="00625211" w:rsidRDefault="00431546" w:rsidP="00431546">
            <w:pPr>
              <w:rPr>
                <w:rFonts w:cstheme="minorHAnsi"/>
                <w:lang w:val="en-US"/>
              </w:rPr>
            </w:pPr>
            <w:r w:rsidRPr="00625211">
              <w:rPr>
                <w:rFonts w:cstheme="minorHAnsi"/>
                <w:lang w:val="en-US"/>
              </w:rPr>
              <w:t>Yes, we are willing to compete as a Sole Source, No Substitute.</w:t>
            </w:r>
          </w:p>
        </w:tc>
      </w:tr>
      <w:tr w:rsidR="00431546" w:rsidRPr="00625211" w14:paraId="29A422C0" w14:textId="77777777" w:rsidTr="00625211">
        <w:tc>
          <w:tcPr>
            <w:tcW w:w="4225" w:type="dxa"/>
          </w:tcPr>
          <w:p w14:paraId="58972346" w14:textId="41656624" w:rsidR="00431546" w:rsidRPr="00625211" w:rsidRDefault="00625211" w:rsidP="001C568B">
            <w:pPr>
              <w:rPr>
                <w:rFonts w:cstheme="minorHAnsi"/>
                <w:lang w:val="en-US"/>
              </w:rPr>
            </w:pPr>
            <w:r w:rsidRPr="00625211">
              <w:rPr>
                <w:rFonts w:cstheme="minorHAnsi"/>
                <w:lang w:val="en-US"/>
              </w:rPr>
              <w:t>If not, provide the related rationale in terms of</w:t>
            </w:r>
            <w:r w:rsidR="001C568B">
              <w:rPr>
                <w:rFonts w:cstheme="minorHAnsi"/>
                <w:lang w:val="en-US"/>
              </w:rPr>
              <w:t xml:space="preserve"> </w:t>
            </w:r>
            <w:r w:rsidRPr="00625211">
              <w:rPr>
                <w:rFonts w:cstheme="minorHAnsi"/>
                <w:lang w:val="en-US"/>
              </w:rPr>
              <w:t>cost, schedule, etc.</w:t>
            </w:r>
          </w:p>
        </w:tc>
        <w:tc>
          <w:tcPr>
            <w:tcW w:w="5125" w:type="dxa"/>
          </w:tcPr>
          <w:p w14:paraId="0946BC88" w14:textId="77777777" w:rsidR="00625211" w:rsidRPr="00625211" w:rsidRDefault="00625211" w:rsidP="00625211">
            <w:pPr>
              <w:rPr>
                <w:rFonts w:cstheme="minorHAnsi"/>
                <w:lang w:val="en-US"/>
              </w:rPr>
            </w:pPr>
            <w:r w:rsidRPr="00625211">
              <w:rPr>
                <w:rFonts w:cstheme="minorHAnsi"/>
                <w:lang w:val="en-US"/>
              </w:rPr>
              <w:t>We require this specific instrument, and there is more than one seller</w:t>
            </w:r>
          </w:p>
          <w:p w14:paraId="79BB72F0" w14:textId="77777777" w:rsidR="00625211" w:rsidRPr="00625211" w:rsidRDefault="00625211" w:rsidP="00625211">
            <w:pPr>
              <w:rPr>
                <w:rFonts w:cstheme="minorHAnsi"/>
                <w:lang w:val="en-US"/>
              </w:rPr>
            </w:pPr>
            <w:r w:rsidRPr="00625211">
              <w:rPr>
                <w:rFonts w:cstheme="minorHAnsi"/>
                <w:lang w:val="en-US"/>
              </w:rPr>
              <w:t xml:space="preserve">so we would like to compete this as a Sole Source, No Substitute as this mill is used across the department for various test methods including Falling number, DON, and Wet gluten. Particle size distribution is critical for the accuracy of these analyses. </w:t>
            </w:r>
          </w:p>
          <w:p w14:paraId="2735509C" w14:textId="77777777" w:rsidR="00625211" w:rsidRPr="00625211" w:rsidRDefault="00625211" w:rsidP="00625211">
            <w:pPr>
              <w:rPr>
                <w:rFonts w:cstheme="minorHAnsi"/>
                <w:lang w:val="en-US"/>
              </w:rPr>
            </w:pPr>
            <w:r w:rsidRPr="00625211">
              <w:rPr>
                <w:rFonts w:cstheme="minorHAnsi"/>
                <w:lang w:val="en-US"/>
              </w:rPr>
              <w:t xml:space="preserve">For example, the </w:t>
            </w:r>
          </w:p>
          <w:p w14:paraId="22521236" w14:textId="77777777" w:rsidR="00431546" w:rsidRPr="00625211" w:rsidRDefault="00625211" w:rsidP="00625211">
            <w:pPr>
              <w:rPr>
                <w:rFonts w:cstheme="minorHAnsi"/>
                <w:lang w:val="en-US"/>
              </w:rPr>
            </w:pPr>
            <w:r w:rsidRPr="00625211">
              <w:rPr>
                <w:rFonts w:cstheme="minorHAnsi"/>
                <w:lang w:val="en-US"/>
              </w:rPr>
              <w:t>For example, Falling number AACC 56-81.04 standard method specifies the use of a sample mill to produce meal with particle size distribution as follows: 500 m, 0–10%; 210 m but 500 m, 25–40%; 210m, 75–50%. The LM3100 mill has been used in all lab locations for over 10 years and has consistently achieved the effectiveness required. Any other mill will require extensive evaluation before it is approved for operation. In addition, it is more efficient to maintain consistency with the type of mill used. Operating different types of mill for the same process will require additional training, create room for errors and inefficiencies which may lead to inconsistencies in test accuracy and precision and negatively impact service standards.</w:t>
            </w:r>
          </w:p>
          <w:p w14:paraId="39310BF2" w14:textId="3843F671" w:rsidR="00625211" w:rsidRPr="00625211" w:rsidRDefault="00625211" w:rsidP="00625211">
            <w:pPr>
              <w:rPr>
                <w:rFonts w:cstheme="minorHAnsi"/>
                <w:lang w:val="en-US"/>
              </w:rPr>
            </w:pPr>
          </w:p>
        </w:tc>
      </w:tr>
      <w:tr w:rsidR="00431546" w:rsidRPr="00625211" w14:paraId="23C4A398" w14:textId="77777777" w:rsidTr="00625211">
        <w:trPr>
          <w:trHeight w:val="1943"/>
        </w:trPr>
        <w:tc>
          <w:tcPr>
            <w:tcW w:w="4225" w:type="dxa"/>
          </w:tcPr>
          <w:p w14:paraId="18D5DF71" w14:textId="189CC6E0" w:rsidR="00431546" w:rsidRPr="00625211" w:rsidRDefault="00625211" w:rsidP="00431546">
            <w:pPr>
              <w:rPr>
                <w:rFonts w:cstheme="minorHAnsi"/>
                <w:lang w:val="en-US"/>
              </w:rPr>
            </w:pPr>
            <w:r w:rsidRPr="00625211">
              <w:rPr>
                <w:rFonts w:cstheme="minorHAnsi"/>
                <w:lang w:val="en-US"/>
              </w:rPr>
              <w:t>Does the Vendor or its approved distributors have exclusive ownership of, and rights to use, the intellectual property (IP) for the goods or services in question? If yes, provide details. What rights, if any, does the Crown have to use the IP?</w:t>
            </w:r>
          </w:p>
        </w:tc>
        <w:tc>
          <w:tcPr>
            <w:tcW w:w="5125" w:type="dxa"/>
          </w:tcPr>
          <w:p w14:paraId="5FE9B4A9" w14:textId="3E71CBE0" w:rsidR="00431546" w:rsidRPr="00625211" w:rsidRDefault="00625211" w:rsidP="00431546">
            <w:pPr>
              <w:rPr>
                <w:rFonts w:cstheme="minorHAnsi"/>
                <w:lang w:val="en-US"/>
              </w:rPr>
            </w:pPr>
            <w:r w:rsidRPr="00625211">
              <w:rPr>
                <w:rFonts w:cstheme="minorHAnsi"/>
                <w:spacing w:val="-5"/>
                <w:lang w:val="en-US"/>
              </w:rPr>
              <w:t xml:space="preserve">No, </w:t>
            </w:r>
            <w:proofErr w:type="spellStart"/>
            <w:r w:rsidRPr="00625211">
              <w:rPr>
                <w:rFonts w:cstheme="minorHAnsi"/>
                <w:spacing w:val="-5"/>
                <w:lang w:val="en-US"/>
              </w:rPr>
              <w:t>xxxxx</w:t>
            </w:r>
            <w:proofErr w:type="spellEnd"/>
            <w:r w:rsidRPr="00625211">
              <w:rPr>
                <w:rFonts w:cstheme="minorHAnsi"/>
                <w:spacing w:val="-5"/>
                <w:lang w:val="en-US"/>
              </w:rPr>
              <w:t xml:space="preserve"> is the OEM, but there other sellers.</w:t>
            </w:r>
          </w:p>
        </w:tc>
      </w:tr>
      <w:tr w:rsidR="00431546" w:rsidRPr="00625211" w14:paraId="46F7B373" w14:textId="77777777" w:rsidTr="00625211">
        <w:tc>
          <w:tcPr>
            <w:tcW w:w="4225" w:type="dxa"/>
          </w:tcPr>
          <w:p w14:paraId="6835BDB8" w14:textId="77777777" w:rsidR="00625211" w:rsidRPr="00625211" w:rsidRDefault="00625211" w:rsidP="00625211">
            <w:pPr>
              <w:rPr>
                <w:rFonts w:eastAsiaTheme="minorEastAsia" w:cstheme="minorHAnsi"/>
                <w:lang w:val="en-US" w:eastAsia="en-CA"/>
              </w:rPr>
            </w:pPr>
            <w:r w:rsidRPr="00625211">
              <w:rPr>
                <w:rFonts w:eastAsiaTheme="minorEastAsia" w:cstheme="minorHAnsi"/>
                <w:lang w:val="en-US" w:eastAsia="en-CA"/>
              </w:rPr>
              <w:lastRenderedPageBreak/>
              <w:t>Are there legal and/or regulatory</w:t>
            </w:r>
          </w:p>
          <w:p w14:paraId="49C4BCC9" w14:textId="70BC39CC" w:rsidR="00431546" w:rsidRPr="00625211" w:rsidRDefault="00625211" w:rsidP="00625211">
            <w:pPr>
              <w:rPr>
                <w:rFonts w:cstheme="minorHAnsi"/>
                <w:lang w:val="en-US"/>
              </w:rPr>
            </w:pPr>
            <w:r w:rsidRPr="00625211">
              <w:rPr>
                <w:rFonts w:eastAsiaTheme="minorEastAsia" w:cstheme="minorHAnsi"/>
                <w:spacing w:val="-3"/>
                <w:lang w:val="en-US" w:eastAsia="en-CA"/>
              </w:rPr>
              <w:t>considerations precluding open competition for this good or service? If yes, provide details.</w:t>
            </w:r>
          </w:p>
        </w:tc>
        <w:tc>
          <w:tcPr>
            <w:tcW w:w="5125" w:type="dxa"/>
          </w:tcPr>
          <w:p w14:paraId="033D4012" w14:textId="77777777" w:rsidR="00431546" w:rsidRPr="00625211" w:rsidRDefault="00625211" w:rsidP="00431546">
            <w:pPr>
              <w:rPr>
                <w:rFonts w:cstheme="minorHAnsi"/>
                <w:lang w:val="en-US"/>
              </w:rPr>
            </w:pPr>
            <w:r w:rsidRPr="00625211">
              <w:rPr>
                <w:rFonts w:cstheme="minorHAnsi"/>
                <w:lang w:val="en-US"/>
              </w:rPr>
              <w:t>Yes, this mill is used in the department for falling number and wet gluten analysis as per AACC 56-81.04 and AACC 38-12.01 standard method, respectively, as well as various other sample preparation needs.</w:t>
            </w:r>
          </w:p>
          <w:p w14:paraId="1B8B3833" w14:textId="41916E32" w:rsidR="00625211" w:rsidRPr="00625211" w:rsidRDefault="00625211" w:rsidP="00431546">
            <w:pPr>
              <w:rPr>
                <w:rFonts w:cstheme="minorHAnsi"/>
                <w:lang w:val="en-US"/>
              </w:rPr>
            </w:pPr>
          </w:p>
        </w:tc>
      </w:tr>
      <w:tr w:rsidR="00625211" w:rsidRPr="00625211" w14:paraId="6F0DDCF2" w14:textId="77777777" w:rsidTr="00625211">
        <w:tc>
          <w:tcPr>
            <w:tcW w:w="4225" w:type="dxa"/>
          </w:tcPr>
          <w:p w14:paraId="27AC2217" w14:textId="04117940" w:rsidR="00625211" w:rsidRPr="00625211" w:rsidRDefault="00625211" w:rsidP="00625211">
            <w:pPr>
              <w:rPr>
                <w:rFonts w:cstheme="minorHAnsi"/>
                <w:lang w:val="en-US"/>
              </w:rPr>
            </w:pPr>
            <w:r w:rsidRPr="00625211">
              <w:rPr>
                <w:rFonts w:cstheme="minorHAnsi"/>
                <w:spacing w:val="-3"/>
                <w:lang w:val="en-US"/>
              </w:rPr>
              <w:t xml:space="preserve">Are there alternative sources of supply for the same or equivalent materiel/support? If no, </w:t>
            </w:r>
            <w:r w:rsidRPr="00625211">
              <w:rPr>
                <w:rFonts w:cstheme="minorHAnsi"/>
                <w:lang w:val="en-US"/>
              </w:rPr>
              <w:t>explain.</w:t>
            </w:r>
          </w:p>
        </w:tc>
        <w:tc>
          <w:tcPr>
            <w:tcW w:w="5125" w:type="dxa"/>
          </w:tcPr>
          <w:p w14:paraId="3C239900" w14:textId="77777777" w:rsidR="00625211" w:rsidRPr="00625211" w:rsidRDefault="00625211" w:rsidP="00625211">
            <w:pPr>
              <w:rPr>
                <w:rFonts w:cstheme="minorHAnsi"/>
                <w:lang w:val="en-US"/>
              </w:rPr>
            </w:pPr>
            <w:r w:rsidRPr="00625211">
              <w:rPr>
                <w:rFonts w:cstheme="minorHAnsi"/>
                <w:spacing w:val="-7"/>
                <w:lang w:val="en-US"/>
              </w:rPr>
              <w:t xml:space="preserve">No; For falling number, wet gluten and other analysis the lab performs, the particle size of grain is a critical factor in the accuracy of the test. This </w:t>
            </w:r>
            <w:r w:rsidRPr="00625211">
              <w:rPr>
                <w:rFonts w:cstheme="minorHAnsi"/>
                <w:lang w:val="en-US"/>
              </w:rPr>
              <w:t>mill is the accepted mill for these methods and will ensure continuity and consistency in our quality programs.</w:t>
            </w:r>
          </w:p>
          <w:p w14:paraId="11A481A2" w14:textId="5FCFA617" w:rsidR="00625211" w:rsidRPr="00625211" w:rsidRDefault="00625211" w:rsidP="00625211">
            <w:pPr>
              <w:rPr>
                <w:rFonts w:cstheme="minorHAnsi"/>
                <w:lang w:val="en-US"/>
              </w:rPr>
            </w:pPr>
          </w:p>
        </w:tc>
      </w:tr>
      <w:tr w:rsidR="00625211" w:rsidRPr="00625211" w14:paraId="33466F53" w14:textId="77777777" w:rsidTr="00625211">
        <w:tc>
          <w:tcPr>
            <w:tcW w:w="4225" w:type="dxa"/>
          </w:tcPr>
          <w:p w14:paraId="723AE435" w14:textId="77777777" w:rsidR="00625211" w:rsidRDefault="00625211" w:rsidP="00625211">
            <w:pPr>
              <w:rPr>
                <w:rFonts w:cstheme="minorHAnsi"/>
                <w:lang w:val="en-US"/>
              </w:rPr>
            </w:pPr>
            <w:r w:rsidRPr="00625211">
              <w:rPr>
                <w:rFonts w:cstheme="minorHAnsi"/>
                <w:lang w:val="en-US"/>
              </w:rPr>
              <w:t>If yes, what other options were considered and why were they not recommended?</w:t>
            </w:r>
          </w:p>
          <w:p w14:paraId="01E2197E" w14:textId="6A0C3ADB" w:rsidR="001C568B" w:rsidRPr="00625211" w:rsidRDefault="001C568B" w:rsidP="00625211">
            <w:pPr>
              <w:rPr>
                <w:rFonts w:cstheme="minorHAnsi"/>
                <w:lang w:val="en-US"/>
              </w:rPr>
            </w:pPr>
          </w:p>
        </w:tc>
        <w:tc>
          <w:tcPr>
            <w:tcW w:w="5125" w:type="dxa"/>
          </w:tcPr>
          <w:p w14:paraId="59F8A7B3" w14:textId="3162D506" w:rsidR="00625211" w:rsidRPr="00625211" w:rsidRDefault="00625211" w:rsidP="00625211">
            <w:pPr>
              <w:rPr>
                <w:rFonts w:cstheme="minorHAnsi"/>
                <w:lang w:val="en-US"/>
              </w:rPr>
            </w:pPr>
            <w:r w:rsidRPr="00625211">
              <w:rPr>
                <w:rFonts w:cstheme="minorHAnsi"/>
                <w:lang w:val="en-US"/>
              </w:rPr>
              <w:t>n/a</w:t>
            </w:r>
          </w:p>
        </w:tc>
      </w:tr>
      <w:tr w:rsidR="00625211" w:rsidRPr="00625211" w14:paraId="65EB6ED5" w14:textId="77777777" w:rsidTr="00625211">
        <w:tc>
          <w:tcPr>
            <w:tcW w:w="4225" w:type="dxa"/>
          </w:tcPr>
          <w:p w14:paraId="30297FD8" w14:textId="535BD353" w:rsidR="00625211" w:rsidRPr="00625211" w:rsidRDefault="00625211" w:rsidP="00625211">
            <w:pPr>
              <w:rPr>
                <w:rFonts w:cstheme="minorHAnsi"/>
                <w:lang w:val="en-US"/>
              </w:rPr>
            </w:pPr>
            <w:r w:rsidRPr="00625211">
              <w:rPr>
                <w:rFonts w:cstheme="minorHAnsi"/>
              </w:rPr>
              <w:t>Is the proposal related to  commonality / compatibility with existing equipment? If yes, what are the operational costs</w:t>
            </w:r>
            <w:r w:rsidR="001C568B">
              <w:rPr>
                <w:rFonts w:cstheme="minorHAnsi"/>
              </w:rPr>
              <w:t xml:space="preserve"> </w:t>
            </w:r>
            <w:r w:rsidRPr="00625211">
              <w:rPr>
                <w:rFonts w:cstheme="minorHAnsi"/>
              </w:rPr>
              <w:t>/</w:t>
            </w:r>
            <w:r w:rsidR="001C568B">
              <w:rPr>
                <w:rFonts w:cstheme="minorHAnsi"/>
              </w:rPr>
              <w:t xml:space="preserve"> </w:t>
            </w:r>
            <w:r w:rsidRPr="00625211">
              <w:rPr>
                <w:rFonts w:cstheme="minorHAnsi"/>
              </w:rPr>
              <w:t>implications of managing multiple versions?</w:t>
            </w:r>
          </w:p>
        </w:tc>
        <w:tc>
          <w:tcPr>
            <w:tcW w:w="5125" w:type="dxa"/>
          </w:tcPr>
          <w:p w14:paraId="343AA5AA" w14:textId="77777777" w:rsidR="00625211" w:rsidRPr="00625211" w:rsidRDefault="00625211" w:rsidP="00625211">
            <w:pPr>
              <w:rPr>
                <w:rFonts w:eastAsiaTheme="minorEastAsia" w:cstheme="minorHAnsi"/>
                <w:lang w:eastAsia="en-CA"/>
              </w:rPr>
            </w:pPr>
            <w:r w:rsidRPr="00625211">
              <w:rPr>
                <w:rFonts w:eastAsiaTheme="minorEastAsia" w:cstheme="minorHAnsi"/>
                <w:lang w:eastAsia="en-CA"/>
              </w:rPr>
              <w:t>Yes, we currently own and operates multiple LM3100’s in all lab locations.</w:t>
            </w:r>
          </w:p>
          <w:p w14:paraId="7AF9622D" w14:textId="77777777" w:rsidR="00625211" w:rsidRPr="00625211" w:rsidRDefault="00625211" w:rsidP="00625211">
            <w:pPr>
              <w:rPr>
                <w:rFonts w:eastAsiaTheme="minorEastAsia" w:cstheme="minorHAnsi"/>
                <w:lang w:eastAsia="en-CA"/>
              </w:rPr>
            </w:pPr>
            <w:r w:rsidRPr="00625211">
              <w:rPr>
                <w:rFonts w:eastAsiaTheme="minorEastAsia" w:cstheme="minorHAnsi"/>
                <w:lang w:eastAsia="en-CA"/>
              </w:rPr>
              <w:t>This model is the same version as the models currently owned by the us as such will ensure continuity and consistency in the quality program and minimize negative impacts to operations including operating costs.</w:t>
            </w:r>
          </w:p>
          <w:p w14:paraId="431A6041" w14:textId="3CB15AE9" w:rsidR="00625211" w:rsidRPr="00625211" w:rsidRDefault="00625211" w:rsidP="00625211">
            <w:pPr>
              <w:rPr>
                <w:rFonts w:cstheme="minorHAnsi"/>
                <w:lang w:val="en-US"/>
              </w:rPr>
            </w:pPr>
          </w:p>
        </w:tc>
      </w:tr>
      <w:tr w:rsidR="00625211" w:rsidRPr="00625211" w14:paraId="3E83754E" w14:textId="77777777" w:rsidTr="00625211">
        <w:tc>
          <w:tcPr>
            <w:tcW w:w="4225" w:type="dxa"/>
          </w:tcPr>
          <w:p w14:paraId="69479A41" w14:textId="5A86FB95" w:rsidR="00625211" w:rsidRPr="00625211" w:rsidRDefault="00625211" w:rsidP="00625211">
            <w:pPr>
              <w:rPr>
                <w:rFonts w:cstheme="minorHAnsi"/>
                <w:lang w:val="en-US"/>
              </w:rPr>
            </w:pPr>
            <w:r w:rsidRPr="00625211">
              <w:rPr>
                <w:rFonts w:cstheme="minorHAnsi"/>
                <w:lang w:val="en-US"/>
              </w:rPr>
              <w:t>Explain why the price is fair and reasonable; describe how price support was obtained; and summarize negotiations.</w:t>
            </w:r>
          </w:p>
        </w:tc>
        <w:tc>
          <w:tcPr>
            <w:tcW w:w="5125" w:type="dxa"/>
          </w:tcPr>
          <w:p w14:paraId="262607F1" w14:textId="77777777" w:rsidR="00625211" w:rsidRPr="00625211" w:rsidRDefault="00625211" w:rsidP="00625211">
            <w:pPr>
              <w:rPr>
                <w:rFonts w:cstheme="minorHAnsi"/>
                <w:spacing w:val="9"/>
                <w:lang w:val="en-US"/>
              </w:rPr>
            </w:pPr>
            <w:r w:rsidRPr="00625211">
              <w:rPr>
                <w:rFonts w:cstheme="minorHAnsi"/>
                <w:spacing w:val="9"/>
                <w:lang w:val="en-US"/>
              </w:rPr>
              <w:t>Price quote attached. Quote incudes a 10% discount which makes the purchase in line with pricing from procurement of the same equipment a year ago. In addition, procurement will be made through PSPC, who will ensure the best value for Canada.</w:t>
            </w:r>
          </w:p>
          <w:p w14:paraId="7AF5B090" w14:textId="4C3847C4" w:rsidR="00625211" w:rsidRPr="00625211" w:rsidRDefault="00625211" w:rsidP="00625211">
            <w:pPr>
              <w:rPr>
                <w:rFonts w:cstheme="minorHAnsi"/>
                <w:lang w:val="en-US"/>
              </w:rPr>
            </w:pPr>
          </w:p>
        </w:tc>
      </w:tr>
      <w:tr w:rsidR="00625211" w:rsidRPr="00625211" w14:paraId="198E5905" w14:textId="77777777" w:rsidTr="00625211">
        <w:tc>
          <w:tcPr>
            <w:tcW w:w="4225" w:type="dxa"/>
          </w:tcPr>
          <w:p w14:paraId="611395F8" w14:textId="77777777" w:rsidR="00625211" w:rsidRDefault="00625211" w:rsidP="00625211">
            <w:pPr>
              <w:rPr>
                <w:rFonts w:cstheme="minorHAnsi"/>
                <w:lang w:val="en-US"/>
              </w:rPr>
            </w:pPr>
            <w:r w:rsidRPr="00625211">
              <w:rPr>
                <w:rFonts w:cstheme="minorHAnsi"/>
                <w:lang w:val="en-US"/>
              </w:rPr>
              <w:t>Are there any other factors that have led to a recommendation for a non-competitive process? If yes, provide details and rationale.</w:t>
            </w:r>
            <w:r w:rsidR="001C568B">
              <w:rPr>
                <w:rFonts w:cstheme="minorHAnsi"/>
                <w:lang w:val="en-US"/>
              </w:rPr>
              <w:t xml:space="preserve"> </w:t>
            </w:r>
          </w:p>
          <w:p w14:paraId="543807E1" w14:textId="5DB0C21C" w:rsidR="001C568B" w:rsidRPr="00625211" w:rsidRDefault="001C568B" w:rsidP="00625211">
            <w:pPr>
              <w:rPr>
                <w:rFonts w:cstheme="minorHAnsi"/>
                <w:lang w:val="en-US"/>
              </w:rPr>
            </w:pPr>
          </w:p>
        </w:tc>
        <w:tc>
          <w:tcPr>
            <w:tcW w:w="5125" w:type="dxa"/>
          </w:tcPr>
          <w:p w14:paraId="049314B7" w14:textId="026D7C09" w:rsidR="00625211" w:rsidRPr="00625211" w:rsidRDefault="00625211" w:rsidP="00625211">
            <w:pPr>
              <w:rPr>
                <w:rFonts w:cstheme="minorHAnsi"/>
                <w:lang w:val="en-US"/>
              </w:rPr>
            </w:pPr>
            <w:r w:rsidRPr="00625211">
              <w:rPr>
                <w:rFonts w:cstheme="minorHAnsi"/>
                <w:lang w:val="en-US"/>
              </w:rPr>
              <w:t>No</w:t>
            </w:r>
          </w:p>
        </w:tc>
      </w:tr>
      <w:tr w:rsidR="00625211" w:rsidRPr="00625211" w14:paraId="1175D9C9" w14:textId="77777777" w:rsidTr="00625211">
        <w:tc>
          <w:tcPr>
            <w:tcW w:w="4225" w:type="dxa"/>
          </w:tcPr>
          <w:p w14:paraId="04F9D290" w14:textId="40A70EEC" w:rsidR="00625211" w:rsidRPr="00625211" w:rsidRDefault="00625211" w:rsidP="00625211">
            <w:pPr>
              <w:rPr>
                <w:rFonts w:cstheme="minorHAnsi"/>
                <w:lang w:val="en-US"/>
              </w:rPr>
            </w:pPr>
            <w:r w:rsidRPr="00625211">
              <w:rPr>
                <w:rFonts w:cstheme="minorHAnsi"/>
                <w:lang w:val="en-US"/>
              </w:rPr>
              <w:t>What is the likelihood of an amendment or follow-on contract to the same person?</w:t>
            </w:r>
          </w:p>
        </w:tc>
        <w:tc>
          <w:tcPr>
            <w:tcW w:w="5125" w:type="dxa"/>
          </w:tcPr>
          <w:p w14:paraId="7C2C5AD2" w14:textId="77777777" w:rsidR="00625211" w:rsidRPr="00625211" w:rsidRDefault="00625211" w:rsidP="00625211">
            <w:pPr>
              <w:rPr>
                <w:rFonts w:cstheme="minorHAnsi"/>
                <w:lang w:val="en-US"/>
              </w:rPr>
            </w:pPr>
            <w:r w:rsidRPr="00625211">
              <w:rPr>
                <w:rFonts w:cstheme="minorHAnsi"/>
                <w:lang w:val="en-US"/>
              </w:rPr>
              <w:t>There is a possibility for additional quantities in upcoming years as existing units reach the end of their life cycle.</w:t>
            </w:r>
          </w:p>
          <w:p w14:paraId="7F0F8532" w14:textId="1C0B64F2" w:rsidR="00625211" w:rsidRPr="00625211" w:rsidRDefault="00625211" w:rsidP="00625211">
            <w:pPr>
              <w:rPr>
                <w:rFonts w:cstheme="minorHAnsi"/>
                <w:lang w:val="en-US"/>
              </w:rPr>
            </w:pPr>
          </w:p>
        </w:tc>
      </w:tr>
      <w:tr w:rsidR="00625211" w:rsidRPr="00625211" w14:paraId="30F2188E" w14:textId="77777777" w:rsidTr="00625211">
        <w:tc>
          <w:tcPr>
            <w:tcW w:w="4225" w:type="dxa"/>
          </w:tcPr>
          <w:p w14:paraId="43EC16F1" w14:textId="77777777" w:rsidR="00625211" w:rsidRDefault="00625211" w:rsidP="00625211">
            <w:pPr>
              <w:rPr>
                <w:rFonts w:cstheme="minorHAnsi"/>
                <w:lang w:val="en-US"/>
              </w:rPr>
            </w:pPr>
            <w:r w:rsidRPr="00625211">
              <w:rPr>
                <w:rFonts w:cstheme="minorHAnsi"/>
                <w:lang w:val="en-US"/>
              </w:rPr>
              <w:t>Describe the efforts taken to identify a variety of suppliers and explain any impact the Trade Agreement thresholds or TB Contracts Directive contract entry/amendment limits will have on the proposed procurement strategy.</w:t>
            </w:r>
          </w:p>
          <w:p w14:paraId="7130A8FE" w14:textId="476D3737" w:rsidR="001C568B" w:rsidRPr="00625211" w:rsidRDefault="001C568B" w:rsidP="00625211">
            <w:pPr>
              <w:rPr>
                <w:rFonts w:cstheme="minorHAnsi"/>
                <w:lang w:val="en-US"/>
              </w:rPr>
            </w:pPr>
          </w:p>
        </w:tc>
        <w:tc>
          <w:tcPr>
            <w:tcW w:w="5125" w:type="dxa"/>
          </w:tcPr>
          <w:p w14:paraId="72D00238" w14:textId="1E023EBD" w:rsidR="00625211" w:rsidRPr="00625211" w:rsidRDefault="00625211" w:rsidP="00625211">
            <w:pPr>
              <w:rPr>
                <w:rFonts w:cstheme="minorHAnsi"/>
                <w:lang w:val="en-US"/>
              </w:rPr>
            </w:pPr>
            <w:r w:rsidRPr="00625211">
              <w:rPr>
                <w:rFonts w:cstheme="minorHAnsi"/>
                <w:lang w:val="en-US"/>
              </w:rPr>
              <w:t>Our department is subject to CFTA, CETA, Canada-Chile and CPTPP. CGC is WTO exempt.</w:t>
            </w:r>
          </w:p>
        </w:tc>
      </w:tr>
      <w:tr w:rsidR="00625211" w:rsidRPr="00625211" w14:paraId="16968E02" w14:textId="77777777" w:rsidTr="00625211">
        <w:tc>
          <w:tcPr>
            <w:tcW w:w="4225" w:type="dxa"/>
          </w:tcPr>
          <w:p w14:paraId="49E31DBE" w14:textId="77777777" w:rsidR="00625211" w:rsidRDefault="00625211" w:rsidP="00625211">
            <w:pPr>
              <w:rPr>
                <w:rFonts w:cstheme="minorHAnsi"/>
                <w:lang w:val="en-US"/>
              </w:rPr>
            </w:pPr>
            <w:r w:rsidRPr="00625211">
              <w:rPr>
                <w:rFonts w:cstheme="minorHAnsi"/>
                <w:lang w:val="en-US"/>
              </w:rPr>
              <w:t xml:space="preserve">Given the nature of your organization's mandate, describe any efforts taken to put </w:t>
            </w:r>
            <w:r w:rsidRPr="00625211">
              <w:rPr>
                <w:rFonts w:cstheme="minorHAnsi"/>
                <w:lang w:val="en-US"/>
              </w:rPr>
              <w:lastRenderedPageBreak/>
              <w:t>in place long-term procurement arrangements to address similar requirements/activities in future (e.g., establish standing offer).</w:t>
            </w:r>
          </w:p>
          <w:p w14:paraId="52A4BCF4" w14:textId="5338ECD9" w:rsidR="001C568B" w:rsidRPr="00625211" w:rsidRDefault="001C568B" w:rsidP="00625211">
            <w:pPr>
              <w:rPr>
                <w:rFonts w:cstheme="minorHAnsi"/>
                <w:lang w:val="en-US"/>
              </w:rPr>
            </w:pPr>
          </w:p>
        </w:tc>
        <w:tc>
          <w:tcPr>
            <w:tcW w:w="5125" w:type="dxa"/>
          </w:tcPr>
          <w:p w14:paraId="14F1AD6B" w14:textId="3F5F711F" w:rsidR="00625211" w:rsidRPr="00625211" w:rsidRDefault="00625211" w:rsidP="00625211">
            <w:pPr>
              <w:rPr>
                <w:rFonts w:cstheme="minorHAnsi"/>
                <w:lang w:val="en-US"/>
              </w:rPr>
            </w:pPr>
            <w:r w:rsidRPr="00625211">
              <w:rPr>
                <w:rFonts w:cstheme="minorHAnsi"/>
                <w:lang w:val="en-US"/>
              </w:rPr>
              <w:lastRenderedPageBreak/>
              <w:t xml:space="preserve">We would like to add an option to purchase up to 8 additional units over the next two years from contract </w:t>
            </w:r>
            <w:r w:rsidRPr="00625211">
              <w:rPr>
                <w:rFonts w:cstheme="minorHAnsi"/>
                <w:lang w:val="en-US"/>
              </w:rPr>
              <w:lastRenderedPageBreak/>
              <w:t>award to deal with replacements or additional operational needs.</w:t>
            </w:r>
          </w:p>
        </w:tc>
      </w:tr>
    </w:tbl>
    <w:p w14:paraId="574084E5" w14:textId="77777777" w:rsidR="00431546" w:rsidRPr="00625211" w:rsidRDefault="00431546" w:rsidP="00431546">
      <w:pPr>
        <w:rPr>
          <w:rFonts w:cstheme="minorHAnsi"/>
          <w:lang w:val="en-US"/>
        </w:rPr>
      </w:pPr>
    </w:p>
    <w:sectPr w:rsidR="00431546" w:rsidRPr="00625211" w:rsidSect="00CC71F5">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B520" w14:textId="77777777" w:rsidR="00CE2A08" w:rsidRDefault="00CE2A08" w:rsidP="005D4E0F">
      <w:r>
        <w:separator/>
      </w:r>
    </w:p>
  </w:endnote>
  <w:endnote w:type="continuationSeparator" w:id="0">
    <w:p w14:paraId="523242DE" w14:textId="77777777" w:rsidR="00CE2A08" w:rsidRDefault="00CE2A08" w:rsidP="005D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26259"/>
      <w:docPartObj>
        <w:docPartGallery w:val="Page Numbers (Bottom of Page)"/>
        <w:docPartUnique/>
      </w:docPartObj>
    </w:sdtPr>
    <w:sdtContent>
      <w:sdt>
        <w:sdtPr>
          <w:id w:val="-1769616900"/>
          <w:docPartObj>
            <w:docPartGallery w:val="Page Numbers (Top of Page)"/>
            <w:docPartUnique/>
          </w:docPartObj>
        </w:sdtPr>
        <w:sdtContent>
          <w:p w14:paraId="6733D1C3" w14:textId="77777777" w:rsidR="00CC71F5" w:rsidRDefault="00CC71F5">
            <w:pPr>
              <w:pStyle w:val="Footer"/>
              <w:jc w:val="right"/>
              <w:rPr>
                <w:b/>
                <w:bCs/>
                <w:sz w:val="24"/>
                <w:szCs w:val="24"/>
              </w:rPr>
            </w:pPr>
            <w:r>
              <w:t xml:space="preserve">   Date:   Nov 01, 2023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4D64D43" w14:textId="4FE220F1" w:rsidR="00CC71F5" w:rsidRDefault="00CC71F5">
            <w:pPr>
              <w:pStyle w:val="Footer"/>
              <w:jc w:val="right"/>
            </w:pPr>
            <w:r w:rsidRPr="00CC71F5">
              <w:rPr>
                <w:sz w:val="24"/>
                <w:szCs w:val="24"/>
              </w:rPr>
              <w:t>Version: 1</w:t>
            </w:r>
            <w:r>
              <w:rPr>
                <w:sz w:val="24"/>
                <w:szCs w:val="24"/>
              </w:rPr>
              <w:t xml:space="preserve">                                                                                                                                                      </w:t>
            </w:r>
          </w:p>
        </w:sdtContent>
      </w:sdt>
    </w:sdtContent>
  </w:sdt>
  <w:p w14:paraId="4EAF1991" w14:textId="3A5E0AEF" w:rsidR="00CC71F5" w:rsidRDefault="00CC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1793" w14:textId="77777777" w:rsidR="00CE2A08" w:rsidRDefault="00CE2A08" w:rsidP="005D4E0F">
      <w:r>
        <w:separator/>
      </w:r>
    </w:p>
  </w:footnote>
  <w:footnote w:type="continuationSeparator" w:id="0">
    <w:p w14:paraId="35B4FEF5" w14:textId="77777777" w:rsidR="00CE2A08" w:rsidRDefault="00CE2A08" w:rsidP="005D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324" w14:textId="71D15B97" w:rsidR="005D4E0F" w:rsidRPr="005D4E0F" w:rsidRDefault="00CC71F5" w:rsidP="005D4E0F">
    <w:pPr>
      <w:tabs>
        <w:tab w:val="center" w:pos="4680"/>
        <w:tab w:val="right" w:pos="9360"/>
      </w:tabs>
      <w:spacing w:after="160" w:line="259" w:lineRule="auto"/>
      <w:rPr>
        <w:rFonts w:ascii="Calibri" w:hAnsi="Calibri"/>
        <w:lang w:eastAsia="en-CA"/>
      </w:rPr>
    </w:pPr>
    <w:r w:rsidRPr="00CA546A">
      <w:rPr>
        <w:noProof/>
      </w:rPr>
      <w:drawing>
        <wp:anchor distT="0" distB="0" distL="114300" distR="114300" simplePos="0" relativeHeight="251661312" behindDoc="0" locked="0" layoutInCell="1" allowOverlap="1" wp14:anchorId="4E2CC9EF" wp14:editId="0D8C3D85">
          <wp:simplePos x="0" y="0"/>
          <wp:positionH relativeFrom="margin">
            <wp:align>right</wp:align>
          </wp:positionH>
          <wp:positionV relativeFrom="page">
            <wp:posOffset>458470</wp:posOffset>
          </wp:positionV>
          <wp:extent cx="1224915" cy="292100"/>
          <wp:effectExtent l="0" t="0" r="0" b="0"/>
          <wp:wrapNone/>
          <wp:docPr id="24"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ada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46A">
      <w:rPr>
        <w:noProof/>
      </w:rPr>
      <w:drawing>
        <wp:anchor distT="0" distB="0" distL="114300" distR="114300" simplePos="0" relativeHeight="251659264" behindDoc="0" locked="0" layoutInCell="1" allowOverlap="1" wp14:anchorId="17AF228E" wp14:editId="22EDC0DA">
          <wp:simplePos x="0" y="0"/>
          <wp:positionH relativeFrom="page">
            <wp:posOffset>914400</wp:posOffset>
          </wp:positionH>
          <wp:positionV relativeFrom="page">
            <wp:posOffset>448945</wp:posOffset>
          </wp:positionV>
          <wp:extent cx="3236191" cy="228600"/>
          <wp:effectExtent l="0" t="0" r="2540" b="0"/>
          <wp:wrapNone/>
          <wp:docPr id="25" name="Picture 25" descr="Public Services and Procure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 Services and Procurement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6191"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64081" w14:textId="012133EA" w:rsidR="005D4E0F" w:rsidRDefault="005D4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AF7"/>
    <w:multiLevelType w:val="hybridMultilevel"/>
    <w:tmpl w:val="0F00DD04"/>
    <w:lvl w:ilvl="0" w:tplc="916C445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422998"/>
    <w:multiLevelType w:val="hybridMultilevel"/>
    <w:tmpl w:val="FFFFFFFF"/>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43414538"/>
    <w:multiLevelType w:val="multilevel"/>
    <w:tmpl w:val="74BA6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CF75681"/>
    <w:multiLevelType w:val="hybridMultilevel"/>
    <w:tmpl w:val="BA12D8EC"/>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56066A6D"/>
    <w:multiLevelType w:val="multilevel"/>
    <w:tmpl w:val="4A58AA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7F31C9"/>
    <w:multiLevelType w:val="hybridMultilevel"/>
    <w:tmpl w:val="C71CEF56"/>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B7128A6"/>
    <w:multiLevelType w:val="hybridMultilevel"/>
    <w:tmpl w:val="FFFFFFFF"/>
    <w:lvl w:ilvl="0" w:tplc="8456731E">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15:restartNumberingAfterBreak="0">
    <w:nsid w:val="6E9C1D4C"/>
    <w:multiLevelType w:val="hybridMultilevel"/>
    <w:tmpl w:val="FFFFFFFF"/>
    <w:lvl w:ilvl="0" w:tplc="8A1A9928">
      <w:start w:val="1"/>
      <w:numFmt w:val="bullet"/>
      <w:lvlText w:val="-"/>
      <w:lvlJc w:val="left"/>
      <w:pPr>
        <w:ind w:left="1080" w:hanging="360"/>
      </w:pPr>
      <w:rPr>
        <w:rFonts w:ascii="Calibri" w:eastAsia="Times New Roman" w:hAnsi="Calibri" w:cs="Times New Roman" w:hint="default"/>
      </w:rPr>
    </w:lvl>
    <w:lvl w:ilvl="1" w:tplc="10090003">
      <w:start w:val="1"/>
      <w:numFmt w:val="bullet"/>
      <w:lvlText w:val="o"/>
      <w:lvlJc w:val="left"/>
      <w:pPr>
        <w:ind w:left="1800" w:hanging="360"/>
      </w:pPr>
      <w:rPr>
        <w:rFonts w:ascii="Courier New" w:hAnsi="Courier New" w:cs="Times New Roman"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Times New Roman"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Times New Roman" w:hint="default"/>
      </w:rPr>
    </w:lvl>
    <w:lvl w:ilvl="8" w:tplc="10090005">
      <w:start w:val="1"/>
      <w:numFmt w:val="bullet"/>
      <w:lvlText w:val=""/>
      <w:lvlJc w:val="left"/>
      <w:pPr>
        <w:ind w:left="6840" w:hanging="360"/>
      </w:pPr>
      <w:rPr>
        <w:rFonts w:ascii="Wingdings" w:hAnsi="Wingdings" w:hint="default"/>
      </w:rPr>
    </w:lvl>
  </w:abstractNum>
  <w:abstractNum w:abstractNumId="8" w15:restartNumberingAfterBreak="0">
    <w:nsid w:val="75AE74BE"/>
    <w:multiLevelType w:val="hybridMultilevel"/>
    <w:tmpl w:val="FFFFFFFF"/>
    <w:lvl w:ilvl="0" w:tplc="6F8A8DB0">
      <w:start w:val="1"/>
      <w:numFmt w:val="decimal"/>
      <w:lvlText w:val="%1."/>
      <w:lvlJc w:val="left"/>
      <w:pPr>
        <w:ind w:left="720" w:hanging="360"/>
      </w:pPr>
      <w:rPr>
        <w:rFonts w:ascii="Calibri" w:eastAsia="Times New Roman" w:hAnsi="Calibri"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16cid:durableId="16122778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98928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396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805799">
    <w:abstractNumId w:val="7"/>
  </w:num>
  <w:num w:numId="5" w16cid:durableId="199825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7947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936500">
    <w:abstractNumId w:val="0"/>
  </w:num>
  <w:num w:numId="8" w16cid:durableId="901646794">
    <w:abstractNumId w:val="4"/>
  </w:num>
  <w:num w:numId="9" w16cid:durableId="964502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B9"/>
    <w:rsid w:val="000147B9"/>
    <w:rsid w:val="000747ED"/>
    <w:rsid w:val="000D4B9E"/>
    <w:rsid w:val="00171462"/>
    <w:rsid w:val="001929B4"/>
    <w:rsid w:val="001A370C"/>
    <w:rsid w:val="001C568B"/>
    <w:rsid w:val="001C69C7"/>
    <w:rsid w:val="001C76AF"/>
    <w:rsid w:val="001E1949"/>
    <w:rsid w:val="00217549"/>
    <w:rsid w:val="002509EB"/>
    <w:rsid w:val="00267622"/>
    <w:rsid w:val="003400B0"/>
    <w:rsid w:val="00385980"/>
    <w:rsid w:val="00394CA7"/>
    <w:rsid w:val="003C301D"/>
    <w:rsid w:val="003D6A73"/>
    <w:rsid w:val="00401BD5"/>
    <w:rsid w:val="00404581"/>
    <w:rsid w:val="00425321"/>
    <w:rsid w:val="00431546"/>
    <w:rsid w:val="00500585"/>
    <w:rsid w:val="00554F09"/>
    <w:rsid w:val="00584299"/>
    <w:rsid w:val="005A7FEA"/>
    <w:rsid w:val="005C6903"/>
    <w:rsid w:val="005D4E0F"/>
    <w:rsid w:val="00612752"/>
    <w:rsid w:val="0062111F"/>
    <w:rsid w:val="00625211"/>
    <w:rsid w:val="006555CC"/>
    <w:rsid w:val="00657483"/>
    <w:rsid w:val="006A40DF"/>
    <w:rsid w:val="006D0229"/>
    <w:rsid w:val="006D7C7B"/>
    <w:rsid w:val="006F2D1C"/>
    <w:rsid w:val="007273E3"/>
    <w:rsid w:val="00757CA5"/>
    <w:rsid w:val="00781536"/>
    <w:rsid w:val="007B1AEF"/>
    <w:rsid w:val="007C1C96"/>
    <w:rsid w:val="008527A6"/>
    <w:rsid w:val="008D3751"/>
    <w:rsid w:val="008E4A5E"/>
    <w:rsid w:val="009755F2"/>
    <w:rsid w:val="00A24D45"/>
    <w:rsid w:val="00A76C74"/>
    <w:rsid w:val="00A86B15"/>
    <w:rsid w:val="00AB7F7F"/>
    <w:rsid w:val="00AC7B7E"/>
    <w:rsid w:val="00AF712F"/>
    <w:rsid w:val="00BA274D"/>
    <w:rsid w:val="00BA5BDF"/>
    <w:rsid w:val="00BB6BB7"/>
    <w:rsid w:val="00BE1F82"/>
    <w:rsid w:val="00C345DF"/>
    <w:rsid w:val="00C67936"/>
    <w:rsid w:val="00CA2334"/>
    <w:rsid w:val="00CB1F41"/>
    <w:rsid w:val="00CB6BB9"/>
    <w:rsid w:val="00CC2A6A"/>
    <w:rsid w:val="00CC71F5"/>
    <w:rsid w:val="00CE2A08"/>
    <w:rsid w:val="00CE63B9"/>
    <w:rsid w:val="00D01CDB"/>
    <w:rsid w:val="00D2210F"/>
    <w:rsid w:val="00D3306F"/>
    <w:rsid w:val="00D91E57"/>
    <w:rsid w:val="00DB2D2F"/>
    <w:rsid w:val="00DF7F0A"/>
    <w:rsid w:val="00E33043"/>
    <w:rsid w:val="00E40A0B"/>
    <w:rsid w:val="00E56502"/>
    <w:rsid w:val="00E56FCF"/>
    <w:rsid w:val="00E673CC"/>
    <w:rsid w:val="00E7309A"/>
    <w:rsid w:val="00EC09F2"/>
    <w:rsid w:val="00ED5753"/>
    <w:rsid w:val="00F60E07"/>
    <w:rsid w:val="00F9566F"/>
    <w:rsid w:val="00F9669D"/>
    <w:rsid w:val="00FB0C78"/>
    <w:rsid w:val="00FF5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7F1E1"/>
  <w15:chartTrackingRefBased/>
  <w15:docId w15:val="{FE065DFA-2347-435E-941B-FF06CB5F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B9"/>
    <w:pPr>
      <w:spacing w:after="0" w:line="240" w:lineRule="auto"/>
    </w:pPr>
    <w:rPr>
      <w:rFonts w:eastAsia="Times New Roman" w:cs="Times New Roman"/>
    </w:rPr>
  </w:style>
  <w:style w:type="paragraph" w:styleId="Heading1">
    <w:name w:val="heading 1"/>
    <w:basedOn w:val="Normal"/>
    <w:next w:val="Normal"/>
    <w:link w:val="Heading1Char"/>
    <w:uiPriority w:val="9"/>
    <w:qFormat/>
    <w:rsid w:val="00F9566F"/>
    <w:pPr>
      <w:spacing w:before="100" w:after="200" w:line="276" w:lineRule="auto"/>
      <w:outlineLvl w:val="0"/>
    </w:pPr>
    <w:rPr>
      <w:rFonts w:ascii="Arial" w:eastAsiaTheme="minorEastAsia" w:hAnsi="Arial" w:cstheme="minorHAnsi"/>
      <w:b/>
      <w:bCs/>
      <w:color w:val="4472C4" w:themeColor="accent1"/>
      <w:sz w:val="28"/>
      <w:szCs w:val="28"/>
      <w:lang w:val="fr-CA" w:eastAsia="en-CA"/>
    </w:rPr>
  </w:style>
  <w:style w:type="paragraph" w:styleId="Heading2">
    <w:name w:val="heading 2"/>
    <w:basedOn w:val="Normal"/>
    <w:next w:val="Normal"/>
    <w:link w:val="Heading2Char"/>
    <w:uiPriority w:val="9"/>
    <w:unhideWhenUsed/>
    <w:qFormat/>
    <w:rsid w:val="00F9566F"/>
    <w:pPr>
      <w:spacing w:before="100" w:line="276" w:lineRule="auto"/>
      <w:outlineLvl w:val="1"/>
    </w:pPr>
    <w:rPr>
      <w:rFonts w:ascii="Arial" w:eastAsiaTheme="minorEastAsia" w:hAnsi="Arial" w:cstheme="minorBidi"/>
      <w:b/>
      <w:bCs/>
      <w:spacing w:val="15"/>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B9"/>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CB6BB9"/>
    <w:pPr>
      <w:ind w:left="720"/>
    </w:pPr>
  </w:style>
  <w:style w:type="table" w:styleId="TableGrid">
    <w:name w:val="Table Grid"/>
    <w:basedOn w:val="TableNormal"/>
    <w:uiPriority w:val="39"/>
    <w:rsid w:val="00CB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09EB"/>
    <w:rPr>
      <w:color w:val="954F72" w:themeColor="followedHyperlink"/>
      <w:u w:val="single"/>
    </w:rPr>
  </w:style>
  <w:style w:type="character" w:styleId="UnresolvedMention">
    <w:name w:val="Unresolved Mention"/>
    <w:basedOn w:val="DefaultParagraphFont"/>
    <w:uiPriority w:val="99"/>
    <w:semiHidden/>
    <w:unhideWhenUsed/>
    <w:rsid w:val="0062111F"/>
    <w:rPr>
      <w:color w:val="605E5C"/>
      <w:shd w:val="clear" w:color="auto" w:fill="E1DFDD"/>
    </w:rPr>
  </w:style>
  <w:style w:type="paragraph" w:styleId="NoSpacing">
    <w:name w:val="No Spacing"/>
    <w:basedOn w:val="Normal"/>
    <w:link w:val="NoSpacingChar"/>
    <w:uiPriority w:val="1"/>
    <w:qFormat/>
    <w:rsid w:val="007C1C96"/>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F9566F"/>
    <w:rPr>
      <w:rFonts w:ascii="Arial" w:eastAsiaTheme="minorEastAsia" w:hAnsi="Arial" w:cstheme="minorHAnsi"/>
      <w:b/>
      <w:bCs/>
      <w:color w:val="4472C4" w:themeColor="accent1"/>
      <w:sz w:val="28"/>
      <w:szCs w:val="28"/>
      <w:lang w:val="fr-CA" w:eastAsia="en-CA"/>
    </w:rPr>
  </w:style>
  <w:style w:type="character" w:customStyle="1" w:styleId="Heading2Char">
    <w:name w:val="Heading 2 Char"/>
    <w:basedOn w:val="DefaultParagraphFont"/>
    <w:link w:val="Heading2"/>
    <w:uiPriority w:val="9"/>
    <w:rsid w:val="00F9566F"/>
    <w:rPr>
      <w:rFonts w:ascii="Arial" w:eastAsiaTheme="minorEastAsia" w:hAnsi="Arial"/>
      <w:b/>
      <w:bCs/>
      <w:spacing w:val="15"/>
      <w:sz w:val="24"/>
      <w:szCs w:val="24"/>
      <w:lang w:eastAsia="en-CA"/>
    </w:rPr>
  </w:style>
  <w:style w:type="character" w:customStyle="1" w:styleId="NoSpacingChar">
    <w:name w:val="No Spacing Char"/>
    <w:basedOn w:val="DefaultParagraphFont"/>
    <w:link w:val="NoSpacing"/>
    <w:uiPriority w:val="1"/>
    <w:rsid w:val="00F9566F"/>
    <w:rPr>
      <w:rFonts w:ascii="Times New Roman" w:hAnsi="Times New Roman" w:cs="Times New Roman"/>
      <w:sz w:val="24"/>
      <w:szCs w:val="24"/>
    </w:rPr>
  </w:style>
  <w:style w:type="paragraph" w:styleId="Header">
    <w:name w:val="header"/>
    <w:basedOn w:val="Normal"/>
    <w:link w:val="HeaderChar"/>
    <w:uiPriority w:val="99"/>
    <w:unhideWhenUsed/>
    <w:rsid w:val="005D4E0F"/>
    <w:pPr>
      <w:tabs>
        <w:tab w:val="center" w:pos="4680"/>
        <w:tab w:val="right" w:pos="9360"/>
      </w:tabs>
    </w:pPr>
  </w:style>
  <w:style w:type="character" w:customStyle="1" w:styleId="HeaderChar">
    <w:name w:val="Header Char"/>
    <w:basedOn w:val="DefaultParagraphFont"/>
    <w:link w:val="Header"/>
    <w:uiPriority w:val="99"/>
    <w:rsid w:val="005D4E0F"/>
    <w:rPr>
      <w:rFonts w:eastAsia="Times New Roman" w:cs="Times New Roman"/>
    </w:rPr>
  </w:style>
  <w:style w:type="paragraph" w:styleId="Footer">
    <w:name w:val="footer"/>
    <w:basedOn w:val="Normal"/>
    <w:link w:val="FooterChar"/>
    <w:uiPriority w:val="99"/>
    <w:unhideWhenUsed/>
    <w:rsid w:val="005D4E0F"/>
    <w:pPr>
      <w:tabs>
        <w:tab w:val="center" w:pos="4680"/>
        <w:tab w:val="right" w:pos="9360"/>
      </w:tabs>
    </w:pPr>
  </w:style>
  <w:style w:type="character" w:customStyle="1" w:styleId="FooterChar">
    <w:name w:val="Footer Char"/>
    <w:basedOn w:val="DefaultParagraphFont"/>
    <w:link w:val="Footer"/>
    <w:uiPriority w:val="99"/>
    <w:rsid w:val="005D4E0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9568">
      <w:bodyDiv w:val="1"/>
      <w:marLeft w:val="0"/>
      <w:marRight w:val="0"/>
      <w:marTop w:val="0"/>
      <w:marBottom w:val="0"/>
      <w:divBdr>
        <w:top w:val="none" w:sz="0" w:space="0" w:color="auto"/>
        <w:left w:val="none" w:sz="0" w:space="0" w:color="auto"/>
        <w:bottom w:val="none" w:sz="0" w:space="0" w:color="auto"/>
        <w:right w:val="none" w:sz="0" w:space="0" w:color="auto"/>
      </w:divBdr>
    </w:div>
    <w:div w:id="469716374">
      <w:bodyDiv w:val="1"/>
      <w:marLeft w:val="0"/>
      <w:marRight w:val="0"/>
      <w:marTop w:val="0"/>
      <w:marBottom w:val="0"/>
      <w:divBdr>
        <w:top w:val="none" w:sz="0" w:space="0" w:color="auto"/>
        <w:left w:val="none" w:sz="0" w:space="0" w:color="auto"/>
        <w:bottom w:val="none" w:sz="0" w:space="0" w:color="auto"/>
        <w:right w:val="none" w:sz="0" w:space="0" w:color="auto"/>
      </w:divBdr>
    </w:div>
    <w:div w:id="620109506">
      <w:bodyDiv w:val="1"/>
      <w:marLeft w:val="0"/>
      <w:marRight w:val="0"/>
      <w:marTop w:val="0"/>
      <w:marBottom w:val="0"/>
      <w:divBdr>
        <w:top w:val="none" w:sz="0" w:space="0" w:color="auto"/>
        <w:left w:val="none" w:sz="0" w:space="0" w:color="auto"/>
        <w:bottom w:val="none" w:sz="0" w:space="0" w:color="auto"/>
        <w:right w:val="none" w:sz="0" w:space="0" w:color="auto"/>
      </w:divBdr>
    </w:div>
    <w:div w:id="1393386729">
      <w:bodyDiv w:val="1"/>
      <w:marLeft w:val="0"/>
      <w:marRight w:val="0"/>
      <w:marTop w:val="0"/>
      <w:marBottom w:val="0"/>
      <w:divBdr>
        <w:top w:val="none" w:sz="0" w:space="0" w:color="auto"/>
        <w:left w:val="none" w:sz="0" w:space="0" w:color="auto"/>
        <w:bottom w:val="none" w:sz="0" w:space="0" w:color="auto"/>
        <w:right w:val="none" w:sz="0" w:space="0" w:color="auto"/>
      </w:divBdr>
    </w:div>
    <w:div w:id="1453592174">
      <w:bodyDiv w:val="1"/>
      <w:marLeft w:val="0"/>
      <w:marRight w:val="0"/>
      <w:marTop w:val="0"/>
      <w:marBottom w:val="0"/>
      <w:divBdr>
        <w:top w:val="none" w:sz="0" w:space="0" w:color="auto"/>
        <w:left w:val="none" w:sz="0" w:space="0" w:color="auto"/>
        <w:bottom w:val="none" w:sz="0" w:space="0" w:color="auto"/>
        <w:right w:val="none" w:sz="0" w:space="0" w:color="auto"/>
      </w:divBdr>
    </w:div>
    <w:div w:id="1596280238">
      <w:bodyDiv w:val="1"/>
      <w:marLeft w:val="0"/>
      <w:marRight w:val="0"/>
      <w:marTop w:val="0"/>
      <w:marBottom w:val="0"/>
      <w:divBdr>
        <w:top w:val="none" w:sz="0" w:space="0" w:color="auto"/>
        <w:left w:val="none" w:sz="0" w:space="0" w:color="auto"/>
        <w:bottom w:val="none" w:sz="0" w:space="0" w:color="auto"/>
        <w:right w:val="none" w:sz="0" w:space="0" w:color="auto"/>
      </w:divBdr>
    </w:div>
    <w:div w:id="17074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9E60-904B-4275-8113-99E4C9B2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 Tammy (SPAC/PSPC)</dc:creator>
  <cp:keywords/>
  <dc:description/>
  <cp:lastModifiedBy>Kozak, Tammy (SPAC/PSPC)</cp:lastModifiedBy>
  <cp:revision>3</cp:revision>
  <dcterms:created xsi:type="dcterms:W3CDTF">2023-10-30T15:06:00Z</dcterms:created>
  <dcterms:modified xsi:type="dcterms:W3CDTF">2023-10-30T15:09:00Z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2023-09-20T21:04:01Z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4df99c70-d02f-467e-9c96-8ba1659e2d74</vt:lpwstr>
  </property>
  <property fmtid="{D5CDD505-2E9C-101B-9397-08002B2CF9AE}" pid="8" name="MSIP_Label_834ed4f5-eae4-40c7-82be-b1cdf720a1b9_ContentBits">
    <vt:lpwstr>0</vt:lpwstr>
  </property>
</Properties>
</file>