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52FB8" w14:textId="77777777" w:rsidR="000B649B" w:rsidRPr="005D5A83" w:rsidRDefault="000B649B" w:rsidP="000B649B">
      <w:pPr>
        <w:rPr>
          <w:rFonts w:cs="Times New Roman"/>
          <w:b/>
          <w:sz w:val="56"/>
        </w:rPr>
      </w:pPr>
      <w:r w:rsidRPr="005D5A83">
        <w:rPr>
          <w:rFonts w:cs="Times New Roman"/>
          <w:b/>
          <w:noProof/>
          <w:color w:val="365F91" w:themeColor="accent1" w:themeShade="BF"/>
          <w:lang w:val="en-US"/>
        </w:rPr>
        <w:drawing>
          <wp:anchor distT="0" distB="0" distL="114300" distR="114300" simplePos="0" relativeHeight="251658242" behindDoc="1" locked="0" layoutInCell="1" allowOverlap="1" wp14:anchorId="29C15933" wp14:editId="7987BEE8">
            <wp:simplePos x="0" y="0"/>
            <wp:positionH relativeFrom="column">
              <wp:posOffset>1276839</wp:posOffset>
            </wp:positionH>
            <wp:positionV relativeFrom="paragraph">
              <wp:posOffset>434975</wp:posOffset>
            </wp:positionV>
            <wp:extent cx="3554095" cy="2380615"/>
            <wp:effectExtent l="0" t="0" r="8255" b="635"/>
            <wp:wrapTight wrapText="bothSides">
              <wp:wrapPolygon edited="0">
                <wp:start x="0" y="0"/>
                <wp:lineTo x="0" y="21433"/>
                <wp:lineTo x="21534" y="21433"/>
                <wp:lineTo x="21534" y="0"/>
                <wp:lineTo x="0"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r:link="rId12">
                      <a:lum bright="20000"/>
                      <a:extLst>
                        <a:ext uri="{28A0092B-C50C-407E-A947-70E740481C1C}">
                          <a14:useLocalDpi xmlns:a14="http://schemas.microsoft.com/office/drawing/2010/main" val="0"/>
                        </a:ext>
                      </a:extLst>
                    </a:blip>
                    <a:srcRect/>
                    <a:stretch>
                      <a:fillRect/>
                    </a:stretch>
                  </pic:blipFill>
                  <pic:spPr bwMode="auto">
                    <a:xfrm>
                      <a:off x="0" y="0"/>
                      <a:ext cx="3554095"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493C5" w14:textId="77777777" w:rsidR="000B649B" w:rsidRPr="005D5A83" w:rsidRDefault="000B649B" w:rsidP="000B649B">
      <w:pPr>
        <w:rPr>
          <w:rFonts w:cs="Times New Roman"/>
          <w:b/>
          <w:sz w:val="56"/>
        </w:rPr>
      </w:pPr>
    </w:p>
    <w:p w14:paraId="21C58B97" w14:textId="77777777" w:rsidR="000B649B" w:rsidRPr="005D5A83" w:rsidRDefault="000B649B" w:rsidP="000B649B">
      <w:pPr>
        <w:rPr>
          <w:rFonts w:cs="Times New Roman"/>
          <w:b/>
          <w:sz w:val="56"/>
        </w:rPr>
      </w:pPr>
    </w:p>
    <w:p w14:paraId="3288DAFA" w14:textId="77777777" w:rsidR="000B649B" w:rsidRPr="005D5A83" w:rsidRDefault="000B649B" w:rsidP="000B649B">
      <w:pPr>
        <w:rPr>
          <w:rFonts w:cs="Times New Roman"/>
          <w:b/>
          <w:sz w:val="56"/>
        </w:rPr>
      </w:pPr>
    </w:p>
    <w:p w14:paraId="474573DC" w14:textId="77777777" w:rsidR="000B649B" w:rsidRPr="005D5A83" w:rsidRDefault="000B649B" w:rsidP="000B649B">
      <w:pPr>
        <w:rPr>
          <w:rFonts w:cs="Times New Roman"/>
          <w:b/>
          <w:sz w:val="56"/>
        </w:rPr>
      </w:pPr>
    </w:p>
    <w:p w14:paraId="4E7AA89C" w14:textId="77777777" w:rsidR="000B649B" w:rsidRPr="005D5A83" w:rsidRDefault="000B649B" w:rsidP="000B649B">
      <w:pPr>
        <w:rPr>
          <w:rFonts w:cs="Times New Roman"/>
          <w:b/>
          <w:sz w:val="56"/>
        </w:rPr>
      </w:pPr>
    </w:p>
    <w:p w14:paraId="52A33732" w14:textId="77777777" w:rsidR="000B649B" w:rsidRPr="005D5A83" w:rsidRDefault="000B649B" w:rsidP="000B649B">
      <w:pPr>
        <w:rPr>
          <w:rFonts w:cs="Times New Roman"/>
          <w:b/>
          <w:sz w:val="56"/>
        </w:rPr>
      </w:pPr>
      <w:r w:rsidRPr="005D5A83">
        <w:rPr>
          <w:rFonts w:cs="Times New Roman"/>
          <w:b/>
          <w:sz w:val="56"/>
        </w:rPr>
        <w:t>Inclusive Growth</w:t>
      </w:r>
    </w:p>
    <w:p w14:paraId="5A8960CA" w14:textId="2AED7882" w:rsidR="000B649B" w:rsidRDefault="000B649B" w:rsidP="000B649B">
      <w:pPr>
        <w:rPr>
          <w:rFonts w:cs="Times New Roman"/>
          <w:sz w:val="40"/>
        </w:rPr>
      </w:pPr>
    </w:p>
    <w:p w14:paraId="7334CA72" w14:textId="2D752AF8" w:rsidR="00693D4E" w:rsidRDefault="00693D4E" w:rsidP="000B649B">
      <w:pPr>
        <w:rPr>
          <w:rFonts w:cs="Times New Roman"/>
          <w:sz w:val="40"/>
        </w:rPr>
      </w:pPr>
    </w:p>
    <w:p w14:paraId="02FE378D" w14:textId="7B681E81" w:rsidR="00693D4E" w:rsidRDefault="00693D4E" w:rsidP="000B649B">
      <w:pPr>
        <w:rPr>
          <w:rFonts w:cs="Times New Roman"/>
          <w:sz w:val="40"/>
        </w:rPr>
      </w:pPr>
    </w:p>
    <w:p w14:paraId="3169CE58" w14:textId="4D2CF468" w:rsidR="00693D4E" w:rsidRPr="005D5A83" w:rsidRDefault="00693D4E" w:rsidP="000B649B">
      <w:pPr>
        <w:rPr>
          <w:rFonts w:cs="Times New Roman"/>
          <w:sz w:val="40"/>
        </w:rPr>
      </w:pPr>
    </w:p>
    <w:p w14:paraId="6353073D" w14:textId="50A91FFC" w:rsidR="000B649B" w:rsidRPr="005D5A83" w:rsidRDefault="00693D4E" w:rsidP="000B649B">
      <w:pPr>
        <w:rPr>
          <w:rFonts w:cs="Times New Roman"/>
          <w:sz w:val="40"/>
        </w:rPr>
      </w:pPr>
      <w:r w:rsidRPr="00714172">
        <w:rPr>
          <w:rFonts w:ascii="Arial" w:hAnsi="Arial" w:cs="Arial"/>
          <w:i/>
          <w:noProof/>
          <w:szCs w:val="24"/>
          <w:lang w:val="en-US"/>
        </w:rPr>
        <mc:AlternateContent>
          <mc:Choice Requires="wps">
            <w:drawing>
              <wp:anchor distT="45720" distB="45720" distL="114300" distR="114300" simplePos="0" relativeHeight="251662848" behindDoc="0" locked="0" layoutInCell="1" allowOverlap="1" wp14:anchorId="1CCCDAC8" wp14:editId="0F136C89">
                <wp:simplePos x="0" y="0"/>
                <wp:positionH relativeFrom="column">
                  <wp:posOffset>13335</wp:posOffset>
                </wp:positionH>
                <wp:positionV relativeFrom="paragraph">
                  <wp:posOffset>266700</wp:posOffset>
                </wp:positionV>
                <wp:extent cx="3419475" cy="962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62025"/>
                        </a:xfrm>
                        <a:prstGeom prst="rect">
                          <a:avLst/>
                        </a:prstGeom>
                        <a:solidFill>
                          <a:srgbClr val="FFFFFF"/>
                        </a:solidFill>
                        <a:ln w="9525">
                          <a:solidFill>
                            <a:srgbClr val="000000"/>
                          </a:solidFill>
                          <a:miter lim="800000"/>
                          <a:headEnd/>
                          <a:tailEnd/>
                        </a:ln>
                      </wps:spPr>
                      <wps:txbx>
                        <w:txbxContent>
                          <w:p w14:paraId="0D4E4AB2" w14:textId="77777777" w:rsidR="00693D4E" w:rsidRDefault="00693D4E" w:rsidP="00693D4E">
                            <w:pPr>
                              <w:jc w:val="center"/>
                            </w:pPr>
                            <w:r>
                              <w:t>This paper was prepared as background material to support dialogue at the fifth gathering of senior Canadian and Australian public servants under the Canada-Australia Public Policy Initiative (CAPPI)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CDAC8" id="_x0000_t202" coordsize="21600,21600" o:spt="202" path="m,l,21600r21600,l21600,xe">
                <v:stroke joinstyle="miter"/>
                <v:path gradientshapeok="t" o:connecttype="rect"/>
              </v:shapetype>
              <v:shape id="_x0000_s1026" type="#_x0000_t202" style="position:absolute;margin-left:1.05pt;margin-top:21pt;width:269.25pt;height:75.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A5JgIAAE4EAAAOAAAAZHJzL2Uyb0RvYy54bWysVNtu2zAMfR+wfxD0vviypGm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">
                <v:textbox>
                  <w:txbxContent>
                    <w:p w14:paraId="0D4E4AB2" w14:textId="77777777" w:rsidR="00693D4E" w:rsidRDefault="00693D4E" w:rsidP="00693D4E">
                      <w:pPr>
                        <w:jc w:val="center"/>
                      </w:pPr>
                      <w:r>
                        <w:t>This paper was prepared as background material to support dialogue at the fifth gathering of senior Canadian and Australian public servants under the Canada-Australia Public Policy Initiative (CAPPI)</w:t>
                      </w:r>
                    </w:p>
                  </w:txbxContent>
                </v:textbox>
                <w10:wrap type="square"/>
              </v:shape>
            </w:pict>
          </mc:Fallback>
        </mc:AlternateContent>
      </w:r>
    </w:p>
    <w:p w14:paraId="017A5DAC" w14:textId="77777777" w:rsidR="00693D4E" w:rsidRDefault="00693D4E" w:rsidP="000B649B">
      <w:pPr>
        <w:rPr>
          <w:rFonts w:cs="Times New Roman"/>
          <w:sz w:val="40"/>
        </w:rPr>
      </w:pPr>
    </w:p>
    <w:p w14:paraId="260F55C9" w14:textId="77777777" w:rsidR="00693D4E" w:rsidRDefault="00693D4E" w:rsidP="000B649B">
      <w:pPr>
        <w:rPr>
          <w:rFonts w:cs="Times New Roman"/>
          <w:sz w:val="40"/>
        </w:rPr>
      </w:pPr>
    </w:p>
    <w:p w14:paraId="11241B27" w14:textId="77777777" w:rsidR="00693D4E" w:rsidRDefault="00693D4E" w:rsidP="000B649B">
      <w:pPr>
        <w:rPr>
          <w:rFonts w:cs="Times New Roman"/>
          <w:sz w:val="40"/>
        </w:rPr>
      </w:pPr>
    </w:p>
    <w:p w14:paraId="0349918C" w14:textId="017C1AFD" w:rsidR="000B649B" w:rsidRPr="005D5A83" w:rsidRDefault="000B649B" w:rsidP="000B649B">
      <w:pPr>
        <w:rPr>
          <w:rFonts w:cs="Times New Roman"/>
          <w:sz w:val="40"/>
        </w:rPr>
      </w:pPr>
      <w:r w:rsidRPr="005D5A83">
        <w:rPr>
          <w:rFonts w:cs="Times New Roman"/>
          <w:sz w:val="40"/>
        </w:rPr>
        <w:t>Canada-Australia Public Policy Initiative</w:t>
      </w:r>
    </w:p>
    <w:p w14:paraId="51DD07E9" w14:textId="64B3B671" w:rsidR="000B649B" w:rsidRPr="005D5A83" w:rsidRDefault="000B649B" w:rsidP="000B649B">
      <w:pPr>
        <w:rPr>
          <w:rFonts w:cs="Times New Roman"/>
          <w:b/>
          <w:i/>
        </w:rPr>
      </w:pPr>
      <w:r w:rsidRPr="005D5A83">
        <w:rPr>
          <w:rFonts w:cs="Times New Roman"/>
          <w:sz w:val="40"/>
        </w:rPr>
        <w:t>January 2019</w:t>
      </w:r>
      <w:bookmarkStart w:id="0" w:name="_GoBack"/>
      <w:bookmarkEnd w:id="0"/>
    </w:p>
    <w:p w14:paraId="3CA0B6B8" w14:textId="77777777" w:rsidR="000B649B" w:rsidRPr="005D5A83" w:rsidRDefault="000B649B" w:rsidP="000B649B">
      <w:pPr>
        <w:rPr>
          <w:rFonts w:cs="Times New Roman"/>
          <w:b/>
          <w:i/>
        </w:rPr>
      </w:pPr>
    </w:p>
    <w:p w14:paraId="7C8E880F" w14:textId="77777777" w:rsidR="000B649B" w:rsidRDefault="000B649B" w:rsidP="000B649B">
      <w:pPr>
        <w:rPr>
          <w:rFonts w:cs="Times New Roman"/>
          <w:b/>
          <w:i/>
        </w:rPr>
      </w:pPr>
      <w:r w:rsidRPr="005D5A83">
        <w:rPr>
          <w:rFonts w:cs="Times New Roman"/>
          <w:b/>
          <w:i/>
        </w:rPr>
        <w:br w:type="page"/>
      </w:r>
    </w:p>
    <w:p w14:paraId="030691C7" w14:textId="77777777" w:rsidR="000B649B" w:rsidRDefault="000B649B" w:rsidP="000B649B">
      <w:pPr>
        <w:rPr>
          <w:rFonts w:cs="Times New Roman"/>
          <w:b/>
          <w:i/>
        </w:rPr>
      </w:pPr>
    </w:p>
    <w:p w14:paraId="2E13292E" w14:textId="77777777" w:rsidR="000B649B" w:rsidRDefault="000B649B" w:rsidP="000B649B">
      <w:pPr>
        <w:rPr>
          <w:rFonts w:cs="Times New Roman"/>
          <w:b/>
          <w:i/>
        </w:rPr>
      </w:pPr>
    </w:p>
    <w:p w14:paraId="301F91CC" w14:textId="77777777" w:rsidR="000B649B" w:rsidRDefault="000B649B" w:rsidP="000B649B">
      <w:pPr>
        <w:rPr>
          <w:rFonts w:cs="Times New Roman"/>
          <w:b/>
          <w:i/>
        </w:rPr>
      </w:pPr>
    </w:p>
    <w:p w14:paraId="4628FF8C" w14:textId="77777777" w:rsidR="000B649B" w:rsidRDefault="000B649B" w:rsidP="000B649B">
      <w:pPr>
        <w:rPr>
          <w:rFonts w:cs="Times New Roman"/>
          <w:b/>
          <w:i/>
        </w:rPr>
      </w:pPr>
    </w:p>
    <w:p w14:paraId="2DE07FCB" w14:textId="77777777" w:rsidR="000B649B" w:rsidRDefault="000B649B" w:rsidP="000B649B">
      <w:pPr>
        <w:rPr>
          <w:rFonts w:cs="Times New Roman"/>
          <w:b/>
          <w:i/>
        </w:rPr>
      </w:pPr>
    </w:p>
    <w:p w14:paraId="189351BC" w14:textId="77777777" w:rsidR="000B649B" w:rsidRDefault="000B649B" w:rsidP="000B649B">
      <w:pPr>
        <w:rPr>
          <w:rFonts w:cs="Times New Roman"/>
          <w:b/>
          <w:i/>
        </w:rPr>
      </w:pPr>
    </w:p>
    <w:p w14:paraId="66B35B9B" w14:textId="77777777" w:rsidR="000B649B" w:rsidRDefault="000B649B" w:rsidP="000B649B">
      <w:pPr>
        <w:rPr>
          <w:rFonts w:cs="Times New Roman"/>
          <w:b/>
          <w:i/>
        </w:rPr>
      </w:pPr>
    </w:p>
    <w:p w14:paraId="09CE4000" w14:textId="77777777" w:rsidR="000B649B" w:rsidRDefault="000B649B" w:rsidP="000B649B">
      <w:pPr>
        <w:rPr>
          <w:rFonts w:cs="Times New Roman"/>
          <w:b/>
          <w:i/>
        </w:rPr>
      </w:pPr>
    </w:p>
    <w:p w14:paraId="4879E8B0" w14:textId="77777777" w:rsidR="000B649B" w:rsidRDefault="000B649B" w:rsidP="000B649B">
      <w:pPr>
        <w:rPr>
          <w:rFonts w:cs="Times New Roman"/>
          <w:b/>
          <w:i/>
        </w:rPr>
      </w:pPr>
    </w:p>
    <w:p w14:paraId="07E0739E" w14:textId="77777777" w:rsidR="000B649B" w:rsidRDefault="000B649B" w:rsidP="000B649B">
      <w:pPr>
        <w:rPr>
          <w:rFonts w:cs="Times New Roman"/>
          <w:b/>
          <w:i/>
        </w:rPr>
      </w:pPr>
    </w:p>
    <w:p w14:paraId="48C03968" w14:textId="77777777" w:rsidR="000B649B" w:rsidRPr="00F10567" w:rsidRDefault="000B649B" w:rsidP="000B649B">
      <w:pPr>
        <w:jc w:val="center"/>
        <w:rPr>
          <w:rFonts w:cs="Times New Roman"/>
          <w:b/>
          <w:color w:val="BFBFBF" w:themeColor="background1" w:themeShade="BF"/>
        </w:rPr>
      </w:pPr>
      <w:r w:rsidRPr="00F10567">
        <w:rPr>
          <w:rFonts w:cs="Times New Roman"/>
          <w:b/>
          <w:color w:val="BFBFBF" w:themeColor="background1" w:themeShade="BF"/>
        </w:rPr>
        <w:t>This page is intentionally left blank.</w:t>
      </w:r>
    </w:p>
    <w:p w14:paraId="11672FCA" w14:textId="77777777" w:rsidR="000B649B" w:rsidRDefault="000B649B" w:rsidP="000B649B">
      <w:pPr>
        <w:rPr>
          <w:rFonts w:cs="Times New Roman"/>
          <w:b/>
          <w:i/>
        </w:rPr>
      </w:pPr>
      <w:r>
        <w:rPr>
          <w:rFonts w:cs="Times New Roman"/>
          <w:b/>
          <w:i/>
        </w:rPr>
        <w:br w:type="page"/>
      </w:r>
    </w:p>
    <w:p w14:paraId="3EA1062A" w14:textId="77777777" w:rsidR="000B649B" w:rsidRPr="00977C84" w:rsidRDefault="000B649B" w:rsidP="000B649B">
      <w:pPr>
        <w:pStyle w:val="Heading1"/>
        <w:rPr>
          <w:b w:val="0"/>
          <w:i w:val="0"/>
        </w:rPr>
      </w:pPr>
      <w:r>
        <w:lastRenderedPageBreak/>
        <w:t>Executive Summary</w:t>
      </w:r>
    </w:p>
    <w:p w14:paraId="4276526C" w14:textId="77777777" w:rsidR="000B649B" w:rsidRDefault="000B649B" w:rsidP="000B649B">
      <w:pPr>
        <w:spacing w:line="240" w:lineRule="auto"/>
        <w:rPr>
          <w:rFonts w:asciiTheme="minorHAnsi" w:hAnsiTheme="minorHAnsi" w:cs="Times New Roman"/>
          <w:sz w:val="22"/>
        </w:rPr>
      </w:pPr>
      <w:r w:rsidRPr="002707FB">
        <w:rPr>
          <w:rFonts w:asciiTheme="minorHAnsi" w:eastAsia="Times New Roman" w:hAnsiTheme="minorHAnsi" w:cs="Times New Roman"/>
          <w:sz w:val="22"/>
        </w:rPr>
        <w:t xml:space="preserve">Over </w:t>
      </w:r>
      <w:r>
        <w:rPr>
          <w:rFonts w:asciiTheme="minorHAnsi" w:eastAsia="Times New Roman" w:hAnsiTheme="minorHAnsi" w:cs="Times New Roman"/>
          <w:sz w:val="22"/>
        </w:rPr>
        <w:t>recent</w:t>
      </w:r>
      <w:r w:rsidRPr="002707FB">
        <w:rPr>
          <w:rFonts w:asciiTheme="minorHAnsi" w:eastAsia="Times New Roman" w:hAnsiTheme="minorHAnsi" w:cs="Times New Roman"/>
          <w:sz w:val="22"/>
        </w:rPr>
        <w:t xml:space="preserve"> decades, both Australia and Canada have experienced strong </w:t>
      </w:r>
      <w:r>
        <w:rPr>
          <w:rFonts w:asciiTheme="minorHAnsi" w:eastAsia="Times New Roman" w:hAnsiTheme="minorHAnsi" w:cs="Times New Roman"/>
          <w:sz w:val="22"/>
        </w:rPr>
        <w:t>improvements</w:t>
      </w:r>
      <w:r w:rsidRPr="002707FB">
        <w:rPr>
          <w:rFonts w:asciiTheme="minorHAnsi" w:eastAsia="Times New Roman" w:hAnsiTheme="minorHAnsi" w:cs="Times New Roman"/>
          <w:sz w:val="22"/>
        </w:rPr>
        <w:t xml:space="preserve"> in </w:t>
      </w:r>
      <w:r>
        <w:rPr>
          <w:rFonts w:asciiTheme="minorHAnsi" w:eastAsia="Times New Roman" w:hAnsiTheme="minorHAnsi" w:cs="Times New Roman"/>
          <w:sz w:val="22"/>
        </w:rPr>
        <w:t>household incomes</w:t>
      </w:r>
      <w:r w:rsidRPr="002707FB">
        <w:rPr>
          <w:rFonts w:asciiTheme="minorHAnsi" w:eastAsia="Times New Roman" w:hAnsiTheme="minorHAnsi" w:cs="Times New Roman"/>
          <w:sz w:val="22"/>
        </w:rPr>
        <w:t xml:space="preserve"> across the income distribution. </w:t>
      </w:r>
      <w:r>
        <w:rPr>
          <w:rFonts w:asciiTheme="minorHAnsi" w:eastAsia="Times New Roman" w:hAnsiTheme="minorHAnsi" w:cs="Times New Roman"/>
          <w:sz w:val="22"/>
        </w:rPr>
        <w:t>However</w:t>
      </w:r>
      <w:r w:rsidRPr="002707FB">
        <w:rPr>
          <w:rFonts w:asciiTheme="minorHAnsi" w:eastAsia="Times New Roman" w:hAnsiTheme="minorHAnsi" w:cs="Times New Roman"/>
          <w:sz w:val="22"/>
        </w:rPr>
        <w:t xml:space="preserve">, much of this growth has been driven by </w:t>
      </w:r>
      <w:r w:rsidRPr="00D47214">
        <w:rPr>
          <w:rFonts w:asciiTheme="minorHAnsi" w:eastAsia="Times New Roman" w:hAnsiTheme="minorHAnsi" w:cs="Times New Roman"/>
          <w:sz w:val="22"/>
        </w:rPr>
        <w:t xml:space="preserve">factors </w:t>
      </w:r>
      <w:r>
        <w:rPr>
          <w:rFonts w:asciiTheme="minorHAnsi" w:eastAsia="Times New Roman" w:hAnsiTheme="minorHAnsi" w:cs="Times New Roman"/>
          <w:sz w:val="22"/>
        </w:rPr>
        <w:t>that</w:t>
      </w:r>
      <w:r w:rsidRPr="002707FB">
        <w:rPr>
          <w:rFonts w:asciiTheme="minorHAnsi" w:eastAsia="Times New Roman" w:hAnsiTheme="minorHAnsi" w:cs="Times New Roman"/>
          <w:sz w:val="22"/>
        </w:rPr>
        <w:t xml:space="preserve"> cannot be relied upon going forward, such as rising female labour force participation rates, increasing education</w:t>
      </w:r>
      <w:r>
        <w:rPr>
          <w:rFonts w:asciiTheme="minorHAnsi" w:eastAsia="Times New Roman" w:hAnsiTheme="minorHAnsi" w:cs="Times New Roman"/>
          <w:sz w:val="22"/>
        </w:rPr>
        <w:t>al</w:t>
      </w:r>
      <w:r w:rsidRPr="002707FB">
        <w:rPr>
          <w:rFonts w:asciiTheme="minorHAnsi" w:eastAsia="Times New Roman" w:hAnsiTheme="minorHAnsi" w:cs="Times New Roman"/>
          <w:sz w:val="22"/>
        </w:rPr>
        <w:t xml:space="preserve"> attainm</w:t>
      </w:r>
      <w:r>
        <w:rPr>
          <w:rFonts w:asciiTheme="minorHAnsi" w:eastAsia="Times New Roman" w:hAnsiTheme="minorHAnsi" w:cs="Times New Roman"/>
          <w:sz w:val="22"/>
        </w:rPr>
        <w:t xml:space="preserve">ent, and high commodity prices. </w:t>
      </w:r>
      <w:r>
        <w:rPr>
          <w:rFonts w:asciiTheme="minorHAnsi" w:hAnsiTheme="minorHAnsi" w:cs="Times New Roman"/>
          <w:sz w:val="22"/>
        </w:rPr>
        <w:t>P</w:t>
      </w:r>
      <w:r w:rsidRPr="002707FB">
        <w:rPr>
          <w:rFonts w:asciiTheme="minorHAnsi" w:hAnsiTheme="minorHAnsi" w:cs="Times New Roman"/>
          <w:sz w:val="22"/>
        </w:rPr>
        <w:t xml:space="preserve">roductivity growth </w:t>
      </w:r>
      <w:r>
        <w:rPr>
          <w:rFonts w:asciiTheme="minorHAnsi" w:hAnsiTheme="minorHAnsi" w:cs="Times New Roman"/>
          <w:sz w:val="22"/>
        </w:rPr>
        <w:t xml:space="preserve">therefore </w:t>
      </w:r>
      <w:r w:rsidRPr="002707FB">
        <w:rPr>
          <w:rFonts w:asciiTheme="minorHAnsi" w:hAnsiTheme="minorHAnsi" w:cs="Times New Roman"/>
          <w:sz w:val="22"/>
        </w:rPr>
        <w:t xml:space="preserve">will be vital to generating further improvements in </w:t>
      </w:r>
      <w:r>
        <w:rPr>
          <w:rFonts w:asciiTheme="minorHAnsi" w:hAnsiTheme="minorHAnsi" w:cs="Times New Roman"/>
          <w:sz w:val="22"/>
        </w:rPr>
        <w:t>well-being</w:t>
      </w:r>
      <w:r w:rsidRPr="002707FB">
        <w:rPr>
          <w:rFonts w:asciiTheme="minorHAnsi" w:hAnsiTheme="minorHAnsi" w:cs="Times New Roman"/>
          <w:sz w:val="22"/>
        </w:rPr>
        <w:t xml:space="preserve"> and living standards in the years ahead.</w:t>
      </w:r>
    </w:p>
    <w:p w14:paraId="5044D8EB" w14:textId="77777777" w:rsidR="000B649B"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cs="Times New Roman"/>
          <w:sz w:val="22"/>
        </w:rPr>
        <w:t>T</w:t>
      </w:r>
      <w:r w:rsidRPr="002707FB">
        <w:rPr>
          <w:rFonts w:asciiTheme="minorHAnsi" w:eastAsia="Times New Roman" w:hAnsiTheme="minorHAnsi" w:cs="Times New Roman"/>
          <w:sz w:val="22"/>
        </w:rPr>
        <w:t>echnological advances and innovations like increased automation</w:t>
      </w:r>
      <w:r>
        <w:rPr>
          <w:rFonts w:asciiTheme="minorHAnsi" w:eastAsia="Times New Roman" w:hAnsiTheme="minorHAnsi" w:cs="Times New Roman"/>
          <w:sz w:val="22"/>
        </w:rPr>
        <w:t xml:space="preserve"> have the potential to raise productivity, </w:t>
      </w:r>
      <w:r w:rsidRPr="002707FB">
        <w:rPr>
          <w:rFonts w:asciiTheme="minorHAnsi" w:eastAsia="Times New Roman" w:hAnsiTheme="minorHAnsi" w:cs="Times New Roman"/>
          <w:sz w:val="22"/>
        </w:rPr>
        <w:t>create new jobs</w:t>
      </w:r>
      <w:r>
        <w:rPr>
          <w:rFonts w:asciiTheme="minorHAnsi" w:eastAsia="Times New Roman" w:hAnsiTheme="minorHAnsi" w:cs="Times New Roman"/>
          <w:sz w:val="22"/>
        </w:rPr>
        <w:t xml:space="preserve"> and business models</w:t>
      </w:r>
      <w:r w:rsidRPr="002707FB">
        <w:rPr>
          <w:rFonts w:asciiTheme="minorHAnsi" w:eastAsia="Times New Roman" w:hAnsiTheme="minorHAnsi" w:cs="Times New Roman"/>
          <w:sz w:val="22"/>
        </w:rPr>
        <w:t>, raise incomes, and deliver a better standard of living.</w:t>
      </w:r>
      <w:r>
        <w:rPr>
          <w:rFonts w:asciiTheme="minorHAnsi" w:eastAsia="Times New Roman" w:hAnsiTheme="minorHAnsi" w:cs="Times New Roman"/>
          <w:sz w:val="22"/>
        </w:rPr>
        <w:t xml:space="preserve"> To harness this potential, however, businesses need the appropriate framework settings and incentives to adopt these new innovations, and </w:t>
      </w:r>
      <w:r w:rsidRPr="00B81DD8">
        <w:rPr>
          <w:rFonts w:asciiTheme="minorHAnsi" w:hAnsiTheme="minorHAnsi" w:cs="Times New Roman"/>
          <w:sz w:val="22"/>
        </w:rPr>
        <w:t xml:space="preserve">individuals </w:t>
      </w:r>
      <w:r>
        <w:rPr>
          <w:rFonts w:asciiTheme="minorHAnsi" w:hAnsiTheme="minorHAnsi" w:cs="Times New Roman"/>
          <w:sz w:val="22"/>
        </w:rPr>
        <w:t>need the right skills mix</w:t>
      </w:r>
      <w:r w:rsidRPr="00B81DD8">
        <w:rPr>
          <w:rFonts w:asciiTheme="minorHAnsi" w:hAnsiTheme="minorHAnsi" w:cs="Times New Roman"/>
          <w:sz w:val="22"/>
        </w:rPr>
        <w:t xml:space="preserve"> </w:t>
      </w:r>
      <w:r>
        <w:rPr>
          <w:rFonts w:asciiTheme="minorHAnsi" w:hAnsiTheme="minorHAnsi" w:cs="Times New Roman"/>
          <w:sz w:val="22"/>
        </w:rPr>
        <w:t>and adaptive capacity.</w:t>
      </w:r>
    </w:p>
    <w:p w14:paraId="7C42877C" w14:textId="2F5E0A1B" w:rsidR="000B649B" w:rsidRPr="00B404CE"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cs="Times New Roman"/>
          <w:sz w:val="22"/>
        </w:rPr>
        <w:t>Moreover, h</w:t>
      </w:r>
      <w:r w:rsidRPr="002707FB">
        <w:rPr>
          <w:rFonts w:asciiTheme="minorHAnsi" w:eastAsia="Times New Roman" w:hAnsiTheme="minorHAnsi" w:cs="Times New Roman"/>
          <w:sz w:val="22"/>
        </w:rPr>
        <w:t>istory show</w:t>
      </w:r>
      <w:r>
        <w:rPr>
          <w:rFonts w:asciiTheme="minorHAnsi" w:eastAsia="Times New Roman" w:hAnsiTheme="minorHAnsi" w:cs="Times New Roman"/>
          <w:sz w:val="22"/>
        </w:rPr>
        <w:t xml:space="preserve">s </w:t>
      </w:r>
      <w:r w:rsidRPr="002707FB">
        <w:rPr>
          <w:rFonts w:asciiTheme="minorHAnsi" w:eastAsia="Times New Roman" w:hAnsiTheme="minorHAnsi" w:cs="Times New Roman"/>
          <w:sz w:val="22"/>
        </w:rPr>
        <w:t xml:space="preserve">new technologies </w:t>
      </w:r>
      <w:r>
        <w:rPr>
          <w:rFonts w:asciiTheme="minorHAnsi" w:eastAsia="Times New Roman" w:hAnsiTheme="minorHAnsi" w:cs="Times New Roman"/>
          <w:sz w:val="22"/>
        </w:rPr>
        <w:t xml:space="preserve">increase prosperity by increasing productivity in the long run, but tend to have some disruptive impacts on parts of the labour market in the short and medium term. </w:t>
      </w:r>
      <w:r>
        <w:rPr>
          <w:rFonts w:asciiTheme="minorHAnsi" w:hAnsiTheme="minorHAnsi" w:cs="Times New Roman"/>
          <w:sz w:val="22"/>
        </w:rPr>
        <w:t>For example, new t</w:t>
      </w:r>
      <w:r>
        <w:rPr>
          <w:rFonts w:asciiTheme="minorHAnsi" w:eastAsia="Times New Roman" w:hAnsiTheme="minorHAnsi" w:cs="Times New Roman"/>
          <w:sz w:val="22"/>
        </w:rPr>
        <w:t>echnologies have tended to complement higher-</w:t>
      </w:r>
      <w:r w:rsidRPr="002707FB">
        <w:rPr>
          <w:rFonts w:asciiTheme="minorHAnsi" w:eastAsia="Times New Roman" w:hAnsiTheme="minorHAnsi" w:cs="Times New Roman"/>
          <w:sz w:val="22"/>
        </w:rPr>
        <w:t>skilled occupations and automate routine manual work at low to middle skill levels</w:t>
      </w:r>
      <w:r>
        <w:rPr>
          <w:rFonts w:asciiTheme="minorHAnsi" w:eastAsia="Times New Roman" w:hAnsiTheme="minorHAnsi" w:cs="Times New Roman"/>
          <w:sz w:val="22"/>
        </w:rPr>
        <w:t>. Similarly, globalization has lowered demand for low-skilled routine jobs in developed countries due to offshoring.</w:t>
      </w:r>
    </w:p>
    <w:p w14:paraId="1F549144" w14:textId="45B67571" w:rsidR="000B649B"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cs="Times New Roman"/>
          <w:sz w:val="22"/>
        </w:rPr>
        <w:t xml:space="preserve">The economic picture in both Australia and Canada is broadly positive, and there is limited evidence of negative labour market changes to date resulting from automation. Nevertheless, there are public concerns in both countries with </w:t>
      </w:r>
      <w:r w:rsidRPr="009F0EE2">
        <w:rPr>
          <w:rFonts w:asciiTheme="minorHAnsi" w:eastAsia="Times New Roman" w:hAnsiTheme="minorHAnsi"/>
          <w:sz w:val="22"/>
          <w:lang w:val="en-CA"/>
        </w:rPr>
        <w:t>low wage growth, underemployment, inequality</w:t>
      </w:r>
      <w:r>
        <w:rPr>
          <w:rFonts w:asciiTheme="minorHAnsi" w:eastAsia="Times New Roman" w:hAnsiTheme="minorHAnsi"/>
          <w:sz w:val="22"/>
          <w:lang w:val="en-CA"/>
        </w:rPr>
        <w:t xml:space="preserve">, and </w:t>
      </w:r>
      <w:r w:rsidRPr="00636BE7">
        <w:rPr>
          <w:rFonts w:asciiTheme="minorHAnsi" w:eastAsia="Times New Roman" w:hAnsiTheme="minorHAnsi" w:cs="Times New Roman"/>
          <w:sz w:val="22"/>
        </w:rPr>
        <w:t>declining</w:t>
      </w:r>
      <w:r>
        <w:rPr>
          <w:rFonts w:asciiTheme="minorHAnsi" w:eastAsia="Times New Roman" w:hAnsiTheme="minorHAnsi"/>
          <w:sz w:val="22"/>
          <w:lang w:val="en-CA"/>
        </w:rPr>
        <w:t xml:space="preserve"> trust and social cohesion, and a </w:t>
      </w:r>
      <w:r>
        <w:rPr>
          <w:rFonts w:asciiTheme="minorHAnsi" w:eastAsia="Times New Roman" w:hAnsiTheme="minorHAnsi" w:cs="Times New Roman"/>
          <w:sz w:val="22"/>
        </w:rPr>
        <w:t>fear of job displacement or insecure “gig economy” employment.</w:t>
      </w:r>
    </w:p>
    <w:p w14:paraId="0591501F" w14:textId="77777777" w:rsidR="000B649B" w:rsidRDefault="000B649B" w:rsidP="000B649B">
      <w:pPr>
        <w:spacing w:line="240" w:lineRule="auto"/>
        <w:rPr>
          <w:rFonts w:asciiTheme="minorHAnsi" w:eastAsia="Times New Roman" w:hAnsiTheme="minorHAnsi"/>
          <w:sz w:val="22"/>
          <w:lang w:val="en-CA"/>
        </w:rPr>
      </w:pPr>
      <w:r>
        <w:rPr>
          <w:rFonts w:asciiTheme="minorHAnsi" w:eastAsia="Times New Roman" w:hAnsiTheme="minorHAnsi" w:cs="Times New Roman"/>
          <w:sz w:val="22"/>
        </w:rPr>
        <w:t>Against this backdrop, citizens are increasingly demanding not only that governments support growth in gross domestic product (GDP), but also that the economic opportunities and outcomes of technological change and global trade are shared fairly among all</w:t>
      </w:r>
      <w:r>
        <w:rPr>
          <w:rFonts w:asciiTheme="minorHAnsi" w:eastAsia="Times New Roman" w:hAnsiTheme="minorHAnsi"/>
          <w:sz w:val="22"/>
          <w:lang w:val="en-CA"/>
        </w:rPr>
        <w:t>.</w:t>
      </w:r>
    </w:p>
    <w:p w14:paraId="1255C4DD" w14:textId="0E41FF93" w:rsidR="000B649B" w:rsidRPr="000B649B"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sz w:val="22"/>
          <w:lang w:val="en-CA"/>
        </w:rPr>
        <w:t xml:space="preserve">This has </w:t>
      </w:r>
      <w:r w:rsidRPr="002707FB">
        <w:rPr>
          <w:rFonts w:asciiTheme="minorHAnsi" w:eastAsia="Times New Roman" w:hAnsiTheme="minorHAnsi" w:cs="Times New Roman"/>
          <w:sz w:val="22"/>
        </w:rPr>
        <w:t>reduce</w:t>
      </w:r>
      <w:r>
        <w:rPr>
          <w:rFonts w:asciiTheme="minorHAnsi" w:eastAsia="Times New Roman" w:hAnsiTheme="minorHAnsi" w:cs="Times New Roman"/>
          <w:sz w:val="22"/>
        </w:rPr>
        <w:t>d</w:t>
      </w:r>
      <w:r w:rsidRPr="002707FB">
        <w:rPr>
          <w:rFonts w:asciiTheme="minorHAnsi" w:eastAsia="Times New Roman" w:hAnsiTheme="minorHAnsi" w:cs="Times New Roman"/>
          <w:sz w:val="22"/>
        </w:rPr>
        <w:t xml:space="preserve"> confidence in </w:t>
      </w:r>
      <w:r>
        <w:rPr>
          <w:rFonts w:asciiTheme="minorHAnsi" w:eastAsia="Times New Roman" w:hAnsiTheme="minorHAnsi" w:cs="Times New Roman"/>
          <w:sz w:val="22"/>
        </w:rPr>
        <w:t>traditional economic growth strategies and led to increasing interest in “</w:t>
      </w:r>
      <w:r w:rsidRPr="002707FB">
        <w:rPr>
          <w:rFonts w:asciiTheme="minorHAnsi" w:eastAsia="Times New Roman" w:hAnsiTheme="minorHAnsi" w:cs="Times New Roman"/>
          <w:sz w:val="22"/>
        </w:rPr>
        <w:t>inclusive growth</w:t>
      </w:r>
      <w:r>
        <w:rPr>
          <w:rFonts w:asciiTheme="minorHAnsi" w:eastAsia="Times New Roman" w:hAnsiTheme="minorHAnsi" w:cs="Times New Roman"/>
          <w:sz w:val="22"/>
        </w:rPr>
        <w:t xml:space="preserve">” policies. </w:t>
      </w:r>
      <w:r w:rsidRPr="002B1D6A">
        <w:rPr>
          <w:rFonts w:asciiTheme="minorHAnsi" w:hAnsiTheme="minorHAnsi" w:cstheme="minorHAnsi"/>
          <w:sz w:val="22"/>
        </w:rPr>
        <w:t>For this paper, inclusive growth refers to broad-</w:t>
      </w:r>
      <w:r w:rsidRPr="00636BE7">
        <w:rPr>
          <w:rFonts w:asciiTheme="minorHAnsi" w:eastAsia="Times New Roman" w:hAnsiTheme="minorHAnsi" w:cs="Times New Roman"/>
          <w:sz w:val="22"/>
        </w:rPr>
        <w:t>based</w:t>
      </w:r>
      <w:r w:rsidRPr="002B1D6A">
        <w:rPr>
          <w:rFonts w:asciiTheme="minorHAnsi" w:hAnsiTheme="minorHAnsi" w:cstheme="minorHAnsi"/>
          <w:sz w:val="22"/>
        </w:rPr>
        <w:t xml:space="preserve"> growth that enables the widest range of people to contribute to and benefit from economic success. The objective of inclusive growth strategies </w:t>
      </w:r>
      <w:r>
        <w:rPr>
          <w:rFonts w:asciiTheme="minorHAnsi" w:hAnsiTheme="minorHAnsi" w:cstheme="minorHAnsi"/>
          <w:sz w:val="22"/>
        </w:rPr>
        <w:t>is</w:t>
      </w:r>
      <w:r w:rsidRPr="002B1D6A">
        <w:rPr>
          <w:rFonts w:asciiTheme="minorHAnsi" w:hAnsiTheme="minorHAnsi" w:cstheme="minorHAnsi"/>
          <w:sz w:val="22"/>
        </w:rPr>
        <w:t xml:space="preserve"> to achieve overall prosperity alongside greater equity in opportunities and outcomes.</w:t>
      </w:r>
      <w:r>
        <w:rPr>
          <w:rFonts w:asciiTheme="minorHAnsi" w:hAnsiTheme="minorHAnsi" w:cstheme="minorHAnsi"/>
          <w:sz w:val="22"/>
        </w:rPr>
        <w:t xml:space="preserve"> </w:t>
      </w:r>
      <w:r>
        <w:rPr>
          <w:rFonts w:asciiTheme="minorHAnsi" w:eastAsia="Times New Roman" w:hAnsiTheme="minorHAnsi"/>
          <w:sz w:val="22"/>
          <w:lang w:val="en-CA"/>
        </w:rPr>
        <w:t xml:space="preserve">Citizens also </w:t>
      </w:r>
      <w:r>
        <w:rPr>
          <w:rFonts w:asciiTheme="minorHAnsi" w:eastAsia="Times New Roman" w:hAnsiTheme="minorHAnsi" w:cs="Times New Roman"/>
          <w:sz w:val="22"/>
        </w:rPr>
        <w:t xml:space="preserve">want </w:t>
      </w:r>
      <w:r>
        <w:rPr>
          <w:rFonts w:asciiTheme="minorHAnsi" w:eastAsia="Times New Roman" w:hAnsiTheme="minorHAnsi"/>
          <w:sz w:val="22"/>
          <w:lang w:val="en-CA"/>
        </w:rPr>
        <w:t>a greater voice shaping policy—i.e. inclusive policy processes as well as outcomes.</w:t>
      </w:r>
    </w:p>
    <w:p w14:paraId="7F6E1E2F" w14:textId="77777777" w:rsidR="000B649B" w:rsidRPr="005842FB" w:rsidRDefault="000B649B" w:rsidP="000B649B">
      <w:pPr>
        <w:spacing w:line="240" w:lineRule="auto"/>
      </w:pPr>
      <w:r>
        <w:rPr>
          <w:rFonts w:asciiTheme="minorHAnsi" w:eastAsia="Times New Roman" w:hAnsiTheme="minorHAnsi" w:cs="Times New Roman"/>
          <w:sz w:val="22"/>
        </w:rPr>
        <w:t>Australia and Canada have histories of economic and social welfare</w:t>
      </w:r>
      <w:r w:rsidRPr="00285BFA">
        <w:rPr>
          <w:rFonts w:asciiTheme="minorHAnsi" w:eastAsia="Times New Roman" w:hAnsiTheme="minorHAnsi" w:cs="Times New Roman"/>
          <w:sz w:val="22"/>
        </w:rPr>
        <w:t xml:space="preserve"> </w:t>
      </w:r>
      <w:r>
        <w:rPr>
          <w:rFonts w:asciiTheme="minorHAnsi" w:eastAsia="Times New Roman" w:hAnsiTheme="minorHAnsi" w:cs="Times New Roman"/>
          <w:sz w:val="22"/>
        </w:rPr>
        <w:t xml:space="preserve">policies that have advanced inclusive growth, including support for workforce and business adaptation to the changing economic environment, provision of universal social safety nets and targeted support for vulnerable groups, and efforts to engage citizens in program design. </w:t>
      </w:r>
      <w:r w:rsidRPr="00C959DE">
        <w:rPr>
          <w:rFonts w:asciiTheme="minorHAnsi" w:eastAsia="Times New Roman" w:hAnsiTheme="minorHAnsi" w:cs="Times New Roman"/>
          <w:sz w:val="22"/>
        </w:rPr>
        <w:t>Thus, while both countries have not traditionally talked</w:t>
      </w:r>
      <w:r>
        <w:rPr>
          <w:rFonts w:asciiTheme="minorHAnsi" w:eastAsia="Times New Roman" w:hAnsiTheme="minorHAnsi" w:cs="Times New Roman"/>
          <w:sz w:val="22"/>
        </w:rPr>
        <w:t xml:space="preserve"> in terms of “</w:t>
      </w:r>
      <w:r w:rsidRPr="00C959DE">
        <w:rPr>
          <w:rFonts w:asciiTheme="minorHAnsi" w:eastAsia="Times New Roman" w:hAnsiTheme="minorHAnsi" w:cs="Times New Roman"/>
          <w:sz w:val="22"/>
        </w:rPr>
        <w:t>inclusive growth</w:t>
      </w:r>
      <w:r>
        <w:rPr>
          <w:rFonts w:asciiTheme="minorHAnsi" w:eastAsia="Times New Roman" w:hAnsiTheme="minorHAnsi" w:cs="Times New Roman"/>
          <w:sz w:val="22"/>
        </w:rPr>
        <w:t>”</w:t>
      </w:r>
      <w:r w:rsidRPr="00C959DE">
        <w:rPr>
          <w:rFonts w:asciiTheme="minorHAnsi" w:eastAsia="Times New Roman" w:hAnsiTheme="minorHAnsi" w:cs="Times New Roman"/>
          <w:sz w:val="22"/>
        </w:rPr>
        <w:t xml:space="preserve"> in public policy narratives, </w:t>
      </w:r>
      <w:r>
        <w:rPr>
          <w:rFonts w:asciiTheme="minorHAnsi" w:eastAsia="Times New Roman" w:hAnsiTheme="minorHAnsi" w:cs="Times New Roman"/>
          <w:sz w:val="22"/>
        </w:rPr>
        <w:t xml:space="preserve">they </w:t>
      </w:r>
      <w:r w:rsidRPr="00C959DE">
        <w:rPr>
          <w:rFonts w:asciiTheme="minorHAnsi" w:eastAsia="Times New Roman" w:hAnsiTheme="minorHAnsi" w:cs="Times New Roman"/>
          <w:sz w:val="22"/>
        </w:rPr>
        <w:t>have a strong foundation of policy experience to build on.</w:t>
      </w:r>
    </w:p>
    <w:p w14:paraId="3E88F15A" w14:textId="4FE82C98" w:rsidR="000B649B"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cs="Times New Roman"/>
          <w:sz w:val="22"/>
        </w:rPr>
        <w:t xml:space="preserve">The Australian and Canadian governments also recognize the importance of </w:t>
      </w:r>
      <w:r w:rsidRPr="00636BE7">
        <w:rPr>
          <w:rFonts w:asciiTheme="minorHAnsi" w:eastAsia="Times New Roman" w:hAnsiTheme="minorHAnsi" w:cs="Times New Roman"/>
          <w:b/>
          <w:sz w:val="22"/>
        </w:rPr>
        <w:t>innovation and competitive businesse</w:t>
      </w:r>
      <w:r>
        <w:rPr>
          <w:rFonts w:asciiTheme="minorHAnsi" w:eastAsia="Times New Roman" w:hAnsiTheme="minorHAnsi" w:cs="Times New Roman"/>
          <w:b/>
          <w:sz w:val="22"/>
        </w:rPr>
        <w:t>s (Section II)</w:t>
      </w:r>
      <w:r>
        <w:rPr>
          <w:rFonts w:asciiTheme="minorHAnsi" w:eastAsia="Times New Roman" w:hAnsiTheme="minorHAnsi" w:cs="Times New Roman"/>
          <w:sz w:val="22"/>
        </w:rPr>
        <w:t xml:space="preserve"> to long-term prosperity, and seek to maintain supportive framework settings. Yet long-standing difficulties boosting firm productivity and research commercialization still remain. Governments also face new challenges delivering effective regulation for a global, digital economy</w:t>
      </w:r>
      <w:r w:rsidR="005B4393">
        <w:rPr>
          <w:rFonts w:asciiTheme="minorHAnsi" w:eastAsia="Times New Roman" w:hAnsiTheme="minorHAnsi" w:cs="Times New Roman"/>
          <w:sz w:val="22"/>
        </w:rPr>
        <w:t xml:space="preserve"> in</w:t>
      </w:r>
      <w:r>
        <w:rPr>
          <w:rFonts w:asciiTheme="minorHAnsi" w:eastAsia="Times New Roman" w:hAnsiTheme="minorHAnsi" w:cs="Times New Roman"/>
          <w:sz w:val="22"/>
        </w:rPr>
        <w:t xml:space="preserve"> an environment of constant change and complex international interdependencies.</w:t>
      </w:r>
    </w:p>
    <w:p w14:paraId="269FE256" w14:textId="77777777" w:rsidR="000B649B" w:rsidRDefault="000B649B" w:rsidP="000B649B">
      <w:pPr>
        <w:spacing w:line="240" w:lineRule="auto"/>
      </w:pPr>
      <w:r>
        <w:rPr>
          <w:rFonts w:asciiTheme="minorHAnsi" w:eastAsia="Times New Roman" w:hAnsiTheme="minorHAnsi" w:cs="Times New Roman"/>
          <w:sz w:val="22"/>
        </w:rPr>
        <w:t xml:space="preserve">Both governments </w:t>
      </w:r>
      <w:r w:rsidRPr="002753DC">
        <w:rPr>
          <w:rFonts w:asciiTheme="minorHAnsi" w:eastAsia="Times New Roman" w:hAnsiTheme="minorHAnsi" w:cs="Times New Roman"/>
          <w:sz w:val="22"/>
        </w:rPr>
        <w:t xml:space="preserve">have initiatives to help </w:t>
      </w:r>
      <w:r w:rsidRPr="002753DC">
        <w:rPr>
          <w:rFonts w:asciiTheme="minorHAnsi" w:eastAsia="Times New Roman" w:hAnsiTheme="minorHAnsi" w:cs="Times New Roman"/>
          <w:b/>
          <w:sz w:val="22"/>
        </w:rPr>
        <w:t>equip</w:t>
      </w:r>
      <w:r>
        <w:rPr>
          <w:rFonts w:asciiTheme="minorHAnsi" w:eastAsia="Times New Roman" w:hAnsiTheme="minorHAnsi" w:cs="Times New Roman"/>
          <w:b/>
          <w:sz w:val="22"/>
        </w:rPr>
        <w:t xml:space="preserve"> and support</w:t>
      </w:r>
      <w:r w:rsidRPr="002753DC">
        <w:rPr>
          <w:rFonts w:asciiTheme="minorHAnsi" w:eastAsia="Times New Roman" w:hAnsiTheme="minorHAnsi" w:cs="Times New Roman"/>
          <w:b/>
          <w:sz w:val="22"/>
        </w:rPr>
        <w:t xml:space="preserve"> their workforces to deal with disruption (Section II</w:t>
      </w:r>
      <w:r>
        <w:rPr>
          <w:rFonts w:asciiTheme="minorHAnsi" w:eastAsia="Times New Roman" w:hAnsiTheme="minorHAnsi" w:cs="Times New Roman"/>
          <w:b/>
          <w:sz w:val="22"/>
        </w:rPr>
        <w:t>I</w:t>
      </w:r>
      <w:r w:rsidRPr="002753DC">
        <w:rPr>
          <w:rFonts w:asciiTheme="minorHAnsi" w:eastAsia="Times New Roman" w:hAnsiTheme="minorHAnsi" w:cs="Times New Roman"/>
          <w:b/>
          <w:sz w:val="22"/>
        </w:rPr>
        <w:t>)</w:t>
      </w:r>
      <w:r w:rsidRPr="002753DC">
        <w:rPr>
          <w:rFonts w:asciiTheme="minorHAnsi" w:eastAsia="Times New Roman" w:hAnsiTheme="minorHAnsi" w:cs="Times New Roman"/>
          <w:sz w:val="22"/>
        </w:rPr>
        <w:t xml:space="preserve"> through </w:t>
      </w:r>
      <w:r>
        <w:rPr>
          <w:rFonts w:asciiTheme="minorHAnsi" w:eastAsia="Times New Roman" w:hAnsiTheme="minorHAnsi" w:cs="Times New Roman"/>
          <w:sz w:val="22"/>
        </w:rPr>
        <w:t>long-term skills</w:t>
      </w:r>
      <w:r w:rsidRPr="002753DC">
        <w:rPr>
          <w:rFonts w:asciiTheme="minorHAnsi" w:eastAsia="Times New Roman" w:hAnsiTheme="minorHAnsi" w:cs="Times New Roman"/>
          <w:sz w:val="22"/>
        </w:rPr>
        <w:t xml:space="preserve"> </w:t>
      </w:r>
      <w:r>
        <w:rPr>
          <w:rFonts w:asciiTheme="minorHAnsi" w:eastAsia="Times New Roman" w:hAnsiTheme="minorHAnsi" w:cs="Times New Roman"/>
          <w:sz w:val="22"/>
        </w:rPr>
        <w:t xml:space="preserve">and employment policies </w:t>
      </w:r>
      <w:r w:rsidRPr="002753DC">
        <w:rPr>
          <w:rFonts w:asciiTheme="minorHAnsi" w:eastAsia="Times New Roman" w:hAnsiTheme="minorHAnsi" w:cs="Times New Roman"/>
          <w:sz w:val="22"/>
        </w:rPr>
        <w:t xml:space="preserve">and shorter-term support </w:t>
      </w:r>
      <w:r>
        <w:rPr>
          <w:rFonts w:asciiTheme="minorHAnsi" w:eastAsia="Times New Roman" w:hAnsiTheme="minorHAnsi" w:cs="Times New Roman"/>
          <w:sz w:val="22"/>
        </w:rPr>
        <w:t xml:space="preserve">in response to </w:t>
      </w:r>
      <w:r w:rsidRPr="002753DC">
        <w:rPr>
          <w:rFonts w:asciiTheme="minorHAnsi" w:eastAsia="Times New Roman" w:hAnsiTheme="minorHAnsi" w:cs="Times New Roman"/>
          <w:sz w:val="22"/>
        </w:rPr>
        <w:t>structural adjustment</w:t>
      </w:r>
      <w:r>
        <w:rPr>
          <w:rFonts w:asciiTheme="minorHAnsi" w:eastAsia="Times New Roman" w:hAnsiTheme="minorHAnsi" w:cs="Times New Roman"/>
          <w:sz w:val="22"/>
        </w:rPr>
        <w:t>. Governments must, however, grapple with how to improve</w:t>
      </w:r>
      <w:r w:rsidRPr="00D04000">
        <w:rPr>
          <w:rFonts w:asciiTheme="minorHAnsi" w:eastAsia="Times New Roman" w:hAnsiTheme="minorHAnsi" w:cs="Times New Roman"/>
          <w:sz w:val="22"/>
        </w:rPr>
        <w:t xml:space="preserve"> the flexibility of skills system</w:t>
      </w:r>
      <w:r>
        <w:rPr>
          <w:rFonts w:asciiTheme="minorHAnsi" w:eastAsia="Times New Roman" w:hAnsiTheme="minorHAnsi" w:cs="Times New Roman"/>
          <w:sz w:val="22"/>
        </w:rPr>
        <w:t>s</w:t>
      </w:r>
      <w:r w:rsidRPr="00D04000">
        <w:rPr>
          <w:rFonts w:asciiTheme="minorHAnsi" w:eastAsia="Times New Roman" w:hAnsiTheme="minorHAnsi" w:cs="Times New Roman"/>
          <w:sz w:val="22"/>
        </w:rPr>
        <w:t xml:space="preserve">, help people find paths to new </w:t>
      </w:r>
      <w:r>
        <w:rPr>
          <w:rFonts w:asciiTheme="minorHAnsi" w:eastAsia="Times New Roman" w:hAnsiTheme="minorHAnsi" w:cs="Times New Roman"/>
          <w:sz w:val="22"/>
        </w:rPr>
        <w:t>opportunities, encourage</w:t>
      </w:r>
      <w:r w:rsidRPr="00D04000">
        <w:rPr>
          <w:rFonts w:asciiTheme="minorHAnsi" w:eastAsia="Times New Roman" w:hAnsiTheme="minorHAnsi" w:cs="Times New Roman"/>
          <w:sz w:val="22"/>
        </w:rPr>
        <w:t xml:space="preserve"> </w:t>
      </w:r>
      <w:r>
        <w:rPr>
          <w:rFonts w:asciiTheme="minorHAnsi" w:eastAsia="Times New Roman" w:hAnsiTheme="minorHAnsi" w:cs="Times New Roman"/>
          <w:sz w:val="22"/>
        </w:rPr>
        <w:t>employers</w:t>
      </w:r>
      <w:r w:rsidRPr="00D04000">
        <w:rPr>
          <w:rFonts w:asciiTheme="minorHAnsi" w:eastAsia="Times New Roman" w:hAnsiTheme="minorHAnsi" w:cs="Times New Roman"/>
          <w:sz w:val="22"/>
        </w:rPr>
        <w:t xml:space="preserve"> to inves</w:t>
      </w:r>
      <w:r>
        <w:rPr>
          <w:rFonts w:asciiTheme="minorHAnsi" w:eastAsia="Times New Roman" w:hAnsiTheme="minorHAnsi" w:cs="Times New Roman"/>
          <w:sz w:val="22"/>
        </w:rPr>
        <w:t>t in the skills development of their</w:t>
      </w:r>
      <w:r w:rsidRPr="00D04000">
        <w:rPr>
          <w:rFonts w:asciiTheme="minorHAnsi" w:eastAsia="Times New Roman" w:hAnsiTheme="minorHAnsi" w:cs="Times New Roman"/>
          <w:sz w:val="22"/>
        </w:rPr>
        <w:t xml:space="preserve"> workforces</w:t>
      </w:r>
      <w:r>
        <w:rPr>
          <w:rFonts w:asciiTheme="minorHAnsi" w:eastAsia="Times New Roman" w:hAnsiTheme="minorHAnsi" w:cs="Times New Roman"/>
          <w:sz w:val="22"/>
        </w:rPr>
        <w:t>, and address regional disparities.</w:t>
      </w:r>
    </w:p>
    <w:p w14:paraId="5EBAD282" w14:textId="77777777" w:rsidR="000B649B" w:rsidRPr="00636BE7" w:rsidRDefault="000B649B" w:rsidP="000B649B">
      <w:pPr>
        <w:spacing w:line="240" w:lineRule="auto"/>
        <w:rPr>
          <w:rFonts w:asciiTheme="minorHAnsi" w:eastAsia="Times New Roman" w:hAnsiTheme="minorHAnsi"/>
          <w:sz w:val="22"/>
        </w:rPr>
      </w:pPr>
      <w:r>
        <w:rPr>
          <w:rFonts w:asciiTheme="minorHAnsi" w:eastAsia="Times New Roman" w:hAnsiTheme="minorHAnsi" w:cs="Times New Roman"/>
          <w:b/>
          <w:sz w:val="22"/>
        </w:rPr>
        <w:t xml:space="preserve">Opportunities to strengthen </w:t>
      </w:r>
      <w:r w:rsidRPr="006F7F19">
        <w:rPr>
          <w:rFonts w:asciiTheme="minorHAnsi" w:eastAsia="Times New Roman" w:hAnsiTheme="minorHAnsi" w:cs="Times New Roman"/>
          <w:b/>
          <w:sz w:val="22"/>
        </w:rPr>
        <w:t>tax and social support systems</w:t>
      </w:r>
      <w:r>
        <w:rPr>
          <w:rFonts w:asciiTheme="minorHAnsi" w:eastAsia="Times New Roman" w:hAnsiTheme="minorHAnsi" w:cs="Times New Roman"/>
          <w:b/>
          <w:sz w:val="22"/>
        </w:rPr>
        <w:t xml:space="preserve"> (Section IV) </w:t>
      </w:r>
      <w:r>
        <w:rPr>
          <w:rFonts w:asciiTheme="minorHAnsi" w:eastAsia="Times New Roman" w:hAnsiTheme="minorHAnsi" w:cs="Times New Roman"/>
          <w:sz w:val="22"/>
        </w:rPr>
        <w:t xml:space="preserve">are being considered by both countries. These strategies aim to address persistent economic gaps for disadvantaged cohorts such as Indigenous citizens and people with disability, and maintain an adequate social safety net for all citizens. Current reforms are incremental, building on existing tax and transfer systems. This has worked well for the </w:t>
      </w:r>
      <w:r>
        <w:rPr>
          <w:rFonts w:asciiTheme="minorHAnsi" w:eastAsia="Times New Roman" w:hAnsiTheme="minorHAnsi" w:cs="Times New Roman"/>
          <w:sz w:val="22"/>
        </w:rPr>
        <w:lastRenderedPageBreak/>
        <w:t>majority of citizens in both countries to date, thanks to the effectiveness of the fundamental redistributive mechanisms in place and lack of mass labour market disruptions. However, the tax and transfer systems of both countries are less redistributive than the OECD average. This implies that there may be some scope for additional redistributive measures to manage major disruptions in future, should these eventuate</w:t>
      </w:r>
      <w:r w:rsidDel="00305296">
        <w:rPr>
          <w:rFonts w:asciiTheme="minorHAnsi" w:eastAsia="Times New Roman" w:hAnsiTheme="minorHAnsi" w:cs="Times New Roman"/>
          <w:sz w:val="22"/>
        </w:rPr>
        <w:t>, while ensuring that such policies do not unduly hamper work incentives or growth</w:t>
      </w:r>
      <w:r>
        <w:rPr>
          <w:rFonts w:asciiTheme="minorHAnsi" w:eastAsia="Times New Roman" w:hAnsiTheme="minorHAnsi" w:cs="Times New Roman"/>
          <w:sz w:val="22"/>
        </w:rPr>
        <w:t>.</w:t>
      </w:r>
    </w:p>
    <w:p w14:paraId="402ABA31" w14:textId="77777777" w:rsidR="000B649B" w:rsidRDefault="000B649B" w:rsidP="000B649B">
      <w:pPr>
        <w:spacing w:line="240" w:lineRule="auto"/>
        <w:rPr>
          <w:rFonts w:asciiTheme="minorHAnsi" w:eastAsia="Times New Roman" w:hAnsiTheme="minorHAnsi" w:cs="Times New Roman"/>
          <w:sz w:val="22"/>
        </w:rPr>
      </w:pPr>
      <w:r>
        <w:rPr>
          <w:rFonts w:asciiTheme="minorHAnsi" w:eastAsia="Times New Roman" w:hAnsiTheme="minorHAnsi" w:cs="Times New Roman"/>
          <w:sz w:val="22"/>
        </w:rPr>
        <w:t xml:space="preserve">Work to </w:t>
      </w:r>
      <w:r w:rsidRPr="00636BE7">
        <w:rPr>
          <w:rFonts w:asciiTheme="minorHAnsi" w:eastAsia="Times New Roman" w:hAnsiTheme="minorHAnsi" w:cs="Times New Roman"/>
          <w:b/>
          <w:sz w:val="22"/>
        </w:rPr>
        <w:t>adopt citizen-centred approaches to program design and implementatio</w:t>
      </w:r>
      <w:r>
        <w:rPr>
          <w:rFonts w:asciiTheme="minorHAnsi" w:eastAsia="Times New Roman" w:hAnsiTheme="minorHAnsi" w:cs="Times New Roman"/>
          <w:b/>
          <w:sz w:val="22"/>
        </w:rPr>
        <w:t>n (Section V)</w:t>
      </w:r>
      <w:r>
        <w:rPr>
          <w:rFonts w:asciiTheme="minorHAnsi" w:eastAsia="Times New Roman" w:hAnsiTheme="minorHAnsi" w:cs="Times New Roman"/>
          <w:sz w:val="22"/>
        </w:rPr>
        <w:t xml:space="preserve"> has progressed in both countries. There is growing appreciation that governments must rebuild declining trust in public institutions, and ensure citizens feel included in policy design. Both governments face challenges in meeting citizens’ preferences for seamless digital services (e.g. “tell me once”) while safeguarding privacy. Legal and procedural challenges can also impede efforts to engage citizens directly in deliberative decision-making that has traditionally been kept confidential.</w:t>
      </w:r>
    </w:p>
    <w:p w14:paraId="4235B208" w14:textId="2B7C4ECB" w:rsidR="000B649B" w:rsidRDefault="000B649B" w:rsidP="000B649B">
      <w:pPr>
        <w:pStyle w:val="ListParagraph"/>
        <w:spacing w:line="240" w:lineRule="auto"/>
        <w:ind w:left="0"/>
      </w:pPr>
      <w:r>
        <w:rPr>
          <w:rFonts w:asciiTheme="minorHAnsi" w:eastAsia="Times New Roman" w:hAnsiTheme="minorHAnsi"/>
          <w:sz w:val="22"/>
        </w:rPr>
        <w:t xml:space="preserve">In this challenging policy space, </w:t>
      </w:r>
      <w:r w:rsidRPr="009E2F2F">
        <w:rPr>
          <w:rFonts w:asciiTheme="minorHAnsi" w:eastAsia="Times New Roman" w:hAnsiTheme="minorHAnsi"/>
          <w:sz w:val="22"/>
        </w:rPr>
        <w:t xml:space="preserve">Australia and Canada </w:t>
      </w:r>
      <w:r>
        <w:rPr>
          <w:rFonts w:asciiTheme="minorHAnsi" w:eastAsia="Times New Roman" w:hAnsiTheme="minorHAnsi"/>
          <w:sz w:val="22"/>
        </w:rPr>
        <w:t>can</w:t>
      </w:r>
      <w:r w:rsidRPr="009E2F2F">
        <w:rPr>
          <w:rFonts w:asciiTheme="minorHAnsi" w:eastAsia="Times New Roman" w:hAnsiTheme="minorHAnsi"/>
          <w:sz w:val="22"/>
        </w:rPr>
        <w:t xml:space="preserve"> continue </w:t>
      </w:r>
      <w:r>
        <w:rPr>
          <w:rFonts w:asciiTheme="minorHAnsi" w:eastAsia="Times New Roman" w:hAnsiTheme="minorHAnsi"/>
          <w:sz w:val="22"/>
        </w:rPr>
        <w:t xml:space="preserve">to </w:t>
      </w:r>
      <w:r w:rsidRPr="009E2F2F">
        <w:rPr>
          <w:rFonts w:asciiTheme="minorHAnsi" w:eastAsia="Times New Roman" w:hAnsiTheme="minorHAnsi"/>
          <w:sz w:val="22"/>
        </w:rPr>
        <w:t>learn from each other and</w:t>
      </w:r>
      <w:r>
        <w:rPr>
          <w:rFonts w:asciiTheme="minorHAnsi" w:eastAsia="Times New Roman" w:hAnsiTheme="minorHAnsi"/>
          <w:sz w:val="22"/>
        </w:rPr>
        <w:t xml:space="preserve"> share best practices.  The following questions are provided to inform the discussion: </w:t>
      </w:r>
    </w:p>
    <w:p w14:paraId="20FBBAA5" w14:textId="77777777" w:rsidR="000B649B" w:rsidRDefault="000B649B" w:rsidP="000B649B">
      <w:pPr>
        <w:pStyle w:val="ListParagraph"/>
        <w:spacing w:line="240" w:lineRule="auto"/>
        <w:ind w:left="0"/>
      </w:pPr>
    </w:p>
    <w:p w14:paraId="74340855" w14:textId="31F82DCF" w:rsidR="000B649B" w:rsidRDefault="00695880" w:rsidP="00BC2039">
      <w:pPr>
        <w:numPr>
          <w:ilvl w:val="0"/>
          <w:numId w:val="13"/>
        </w:numPr>
        <w:spacing w:after="0" w:line="240" w:lineRule="auto"/>
        <w:rPr>
          <w:rFonts w:asciiTheme="minorHAnsi" w:hAnsiTheme="minorHAnsi" w:cstheme="minorHAnsi"/>
          <w:sz w:val="22"/>
        </w:rPr>
      </w:pPr>
      <w:r>
        <w:rPr>
          <w:rFonts w:asciiTheme="minorHAnsi" w:hAnsiTheme="minorHAnsi" w:cstheme="minorHAnsi"/>
          <w:sz w:val="22"/>
        </w:rPr>
        <w:t>Are</w:t>
      </w:r>
      <w:r w:rsidR="000B649B" w:rsidRPr="00335DED">
        <w:rPr>
          <w:rFonts w:asciiTheme="minorHAnsi" w:hAnsiTheme="minorHAnsi" w:cstheme="minorHAnsi"/>
          <w:sz w:val="22"/>
        </w:rPr>
        <w:t xml:space="preserve"> the</w:t>
      </w:r>
      <w:r>
        <w:rPr>
          <w:rFonts w:asciiTheme="minorHAnsi" w:hAnsiTheme="minorHAnsi" w:cstheme="minorHAnsi"/>
          <w:sz w:val="22"/>
        </w:rPr>
        <w:t>re</w:t>
      </w:r>
      <w:r w:rsidR="000B649B" w:rsidRPr="00335DED">
        <w:rPr>
          <w:rFonts w:asciiTheme="minorHAnsi" w:hAnsiTheme="minorHAnsi" w:cstheme="minorHAnsi"/>
          <w:sz w:val="22"/>
        </w:rPr>
        <w:t xml:space="preserve"> trade-offs between </w:t>
      </w:r>
      <w:r w:rsidR="000B649B">
        <w:rPr>
          <w:rFonts w:asciiTheme="minorHAnsi" w:hAnsiTheme="minorHAnsi" w:cstheme="minorHAnsi"/>
          <w:sz w:val="22"/>
        </w:rPr>
        <w:t>“</w:t>
      </w:r>
      <w:r w:rsidR="000B649B" w:rsidRPr="00335DED">
        <w:rPr>
          <w:rFonts w:asciiTheme="minorHAnsi" w:hAnsiTheme="minorHAnsi" w:cstheme="minorHAnsi"/>
          <w:sz w:val="22"/>
        </w:rPr>
        <w:t>traditional</w:t>
      </w:r>
      <w:r w:rsidR="000B649B">
        <w:rPr>
          <w:rFonts w:asciiTheme="minorHAnsi" w:hAnsiTheme="minorHAnsi" w:cstheme="minorHAnsi"/>
          <w:sz w:val="22"/>
        </w:rPr>
        <w:t>”</w:t>
      </w:r>
      <w:r w:rsidR="000B649B" w:rsidRPr="00335DED">
        <w:rPr>
          <w:rFonts w:asciiTheme="minorHAnsi" w:hAnsiTheme="minorHAnsi" w:cstheme="minorHAnsi"/>
          <w:sz w:val="22"/>
        </w:rPr>
        <w:t xml:space="preserve"> and </w:t>
      </w:r>
      <w:r w:rsidR="000B649B">
        <w:rPr>
          <w:rFonts w:asciiTheme="minorHAnsi" w:hAnsiTheme="minorHAnsi" w:cstheme="minorHAnsi"/>
          <w:sz w:val="22"/>
        </w:rPr>
        <w:t>“</w:t>
      </w:r>
      <w:r w:rsidR="000B649B" w:rsidRPr="00335DED">
        <w:rPr>
          <w:rFonts w:asciiTheme="minorHAnsi" w:hAnsiTheme="minorHAnsi" w:cstheme="minorHAnsi"/>
          <w:sz w:val="22"/>
        </w:rPr>
        <w:t>inclusive</w:t>
      </w:r>
      <w:r w:rsidR="000B649B">
        <w:rPr>
          <w:rFonts w:asciiTheme="minorHAnsi" w:hAnsiTheme="minorHAnsi" w:cstheme="minorHAnsi"/>
          <w:sz w:val="22"/>
        </w:rPr>
        <w:t>”</w:t>
      </w:r>
      <w:r w:rsidR="000B649B" w:rsidRPr="00335DED">
        <w:rPr>
          <w:rFonts w:asciiTheme="minorHAnsi" w:hAnsiTheme="minorHAnsi" w:cstheme="minorHAnsi"/>
          <w:sz w:val="22"/>
        </w:rPr>
        <w:t xml:space="preserve"> growth strategies?</w:t>
      </w:r>
    </w:p>
    <w:p w14:paraId="0B308E28" w14:textId="77777777" w:rsidR="000B649B" w:rsidRPr="00335DED" w:rsidRDefault="000B649B" w:rsidP="000B649B">
      <w:pPr>
        <w:spacing w:after="0" w:line="240" w:lineRule="auto"/>
        <w:ind w:left="1080"/>
        <w:rPr>
          <w:rFonts w:asciiTheme="minorHAnsi" w:hAnsiTheme="minorHAnsi" w:cstheme="minorHAnsi"/>
          <w:sz w:val="22"/>
        </w:rPr>
      </w:pPr>
    </w:p>
    <w:p w14:paraId="60CA4FF3" w14:textId="77777777" w:rsidR="000B649B" w:rsidRPr="00335DED" w:rsidRDefault="000B649B" w:rsidP="00BC2039">
      <w:pPr>
        <w:numPr>
          <w:ilvl w:val="0"/>
          <w:numId w:val="13"/>
        </w:numPr>
        <w:spacing w:after="0" w:line="240" w:lineRule="auto"/>
        <w:rPr>
          <w:rFonts w:asciiTheme="minorHAnsi" w:hAnsiTheme="minorHAnsi" w:cstheme="minorHAnsi"/>
          <w:sz w:val="22"/>
        </w:rPr>
      </w:pPr>
      <w:r w:rsidRPr="00335DED">
        <w:rPr>
          <w:rFonts w:asciiTheme="minorHAnsi" w:hAnsiTheme="minorHAnsi" w:cstheme="minorHAnsi"/>
          <w:sz w:val="22"/>
        </w:rPr>
        <w:t xml:space="preserve">What types of strategies and programs are needed to support individuals and regions to successfully adapt to </w:t>
      </w:r>
      <w:r>
        <w:rPr>
          <w:rFonts w:asciiTheme="minorHAnsi" w:hAnsiTheme="minorHAnsi" w:cstheme="minorHAnsi"/>
          <w:sz w:val="22"/>
        </w:rPr>
        <w:t xml:space="preserve">structural adjustment </w:t>
      </w:r>
      <w:r w:rsidRPr="00335DED">
        <w:rPr>
          <w:rFonts w:asciiTheme="minorHAnsi" w:hAnsiTheme="minorHAnsi" w:cstheme="minorHAnsi"/>
          <w:sz w:val="22"/>
        </w:rPr>
        <w:t>over short to medium</w:t>
      </w:r>
      <w:r>
        <w:rPr>
          <w:rFonts w:asciiTheme="minorHAnsi" w:hAnsiTheme="minorHAnsi" w:cstheme="minorHAnsi"/>
          <w:sz w:val="22"/>
        </w:rPr>
        <w:t>-</w:t>
      </w:r>
      <w:r w:rsidRPr="00335DED">
        <w:rPr>
          <w:rFonts w:asciiTheme="minorHAnsi" w:hAnsiTheme="minorHAnsi" w:cstheme="minorHAnsi"/>
          <w:sz w:val="22"/>
        </w:rPr>
        <w:t>term periods?</w:t>
      </w:r>
    </w:p>
    <w:p w14:paraId="4C69F8B0" w14:textId="77777777" w:rsidR="000B649B" w:rsidRPr="00335DED" w:rsidRDefault="000B649B" w:rsidP="000B649B">
      <w:pPr>
        <w:spacing w:after="0"/>
        <w:ind w:left="720"/>
        <w:rPr>
          <w:rFonts w:asciiTheme="minorHAnsi" w:hAnsiTheme="minorHAnsi" w:cstheme="minorHAnsi"/>
          <w:sz w:val="22"/>
        </w:rPr>
      </w:pPr>
    </w:p>
    <w:p w14:paraId="187668DB" w14:textId="19021B1E" w:rsidR="000B649B" w:rsidRDefault="000B649B" w:rsidP="00BC2039">
      <w:pPr>
        <w:numPr>
          <w:ilvl w:val="0"/>
          <w:numId w:val="13"/>
        </w:numPr>
        <w:spacing w:after="0" w:line="240" w:lineRule="auto"/>
      </w:pPr>
      <w:r w:rsidRPr="00335DED">
        <w:rPr>
          <w:rFonts w:asciiTheme="minorHAnsi" w:hAnsiTheme="minorHAnsi" w:cstheme="minorHAnsi"/>
          <w:sz w:val="22"/>
        </w:rPr>
        <w:t>How can we foster stronger partnerships with and between educational institutions and employers</w:t>
      </w:r>
      <w:r>
        <w:rPr>
          <w:rFonts w:asciiTheme="minorHAnsi" w:hAnsiTheme="minorHAnsi" w:cstheme="minorHAnsi"/>
          <w:sz w:val="22"/>
        </w:rPr>
        <w:t>,</w:t>
      </w:r>
      <w:r w:rsidRPr="00335DED">
        <w:rPr>
          <w:rFonts w:asciiTheme="minorHAnsi" w:hAnsiTheme="minorHAnsi" w:cstheme="minorHAnsi"/>
          <w:sz w:val="22"/>
        </w:rPr>
        <w:t xml:space="preserve"> to</w:t>
      </w:r>
      <w:r>
        <w:rPr>
          <w:rFonts w:asciiTheme="minorHAnsi" w:hAnsiTheme="minorHAnsi" w:cstheme="minorHAnsi"/>
          <w:sz w:val="22"/>
        </w:rPr>
        <w:t xml:space="preserve"> encourage employers to invest in the ongoing skill development of their workforce, and to</w:t>
      </w:r>
      <w:r w:rsidRPr="00335DED">
        <w:rPr>
          <w:rFonts w:asciiTheme="minorHAnsi" w:hAnsiTheme="minorHAnsi" w:cstheme="minorHAnsi"/>
          <w:sz w:val="22"/>
        </w:rPr>
        <w:t xml:space="preserve"> help ensure </w:t>
      </w:r>
      <w:r w:rsidR="00695880">
        <w:rPr>
          <w:rFonts w:asciiTheme="minorHAnsi" w:hAnsiTheme="minorHAnsi" w:cstheme="minorHAnsi"/>
          <w:sz w:val="22"/>
        </w:rPr>
        <w:t>workers</w:t>
      </w:r>
      <w:r w:rsidRPr="00335DED">
        <w:rPr>
          <w:rFonts w:asciiTheme="minorHAnsi" w:hAnsiTheme="minorHAnsi" w:cstheme="minorHAnsi"/>
          <w:sz w:val="22"/>
        </w:rPr>
        <w:t xml:space="preserve"> have the right skills to succeed in the evolving labour market over the long run?</w:t>
      </w:r>
    </w:p>
    <w:p w14:paraId="11A16923" w14:textId="77777777" w:rsidR="000B649B" w:rsidRDefault="000B649B" w:rsidP="000B649B">
      <w:pPr>
        <w:spacing w:after="0" w:line="240" w:lineRule="auto"/>
        <w:ind w:left="1080"/>
        <w:rPr>
          <w:rFonts w:asciiTheme="minorHAnsi" w:hAnsiTheme="minorHAnsi" w:cstheme="minorHAnsi"/>
          <w:sz w:val="22"/>
        </w:rPr>
      </w:pPr>
    </w:p>
    <w:p w14:paraId="784B1371" w14:textId="573C44EE" w:rsidR="000B649B" w:rsidRDefault="000B649B" w:rsidP="00BC2039">
      <w:pPr>
        <w:numPr>
          <w:ilvl w:val="0"/>
          <w:numId w:val="13"/>
        </w:numPr>
        <w:spacing w:after="0" w:line="240" w:lineRule="auto"/>
        <w:rPr>
          <w:rFonts w:asciiTheme="minorHAnsi" w:hAnsiTheme="minorHAnsi" w:cstheme="minorHAnsi"/>
          <w:sz w:val="22"/>
        </w:rPr>
      </w:pPr>
      <w:r>
        <w:rPr>
          <w:rFonts w:asciiTheme="minorHAnsi" w:hAnsiTheme="minorHAnsi" w:cstheme="minorHAnsi"/>
          <w:sz w:val="22"/>
        </w:rPr>
        <w:t>How can government</w:t>
      </w:r>
      <w:r w:rsidR="00695880">
        <w:rPr>
          <w:rFonts w:asciiTheme="minorHAnsi" w:hAnsiTheme="minorHAnsi" w:cstheme="minorHAnsi"/>
          <w:sz w:val="22"/>
        </w:rPr>
        <w:t>s</w:t>
      </w:r>
      <w:r>
        <w:rPr>
          <w:rFonts w:asciiTheme="minorHAnsi" w:hAnsiTheme="minorHAnsi" w:cstheme="minorHAnsi"/>
          <w:sz w:val="22"/>
        </w:rPr>
        <w:t xml:space="preserve"> e</w:t>
      </w:r>
      <w:r w:rsidRPr="00335DED">
        <w:rPr>
          <w:rFonts w:asciiTheme="minorHAnsi" w:hAnsiTheme="minorHAnsi" w:cstheme="minorHAnsi"/>
          <w:sz w:val="22"/>
        </w:rPr>
        <w:t>nsur</w:t>
      </w:r>
      <w:r>
        <w:rPr>
          <w:rFonts w:asciiTheme="minorHAnsi" w:hAnsiTheme="minorHAnsi" w:cstheme="minorHAnsi"/>
          <w:sz w:val="22"/>
        </w:rPr>
        <w:t xml:space="preserve">e that there is </w:t>
      </w:r>
      <w:r w:rsidRPr="00335DED">
        <w:rPr>
          <w:rFonts w:asciiTheme="minorHAnsi" w:hAnsiTheme="minorHAnsi" w:cstheme="minorHAnsi"/>
          <w:sz w:val="22"/>
        </w:rPr>
        <w:t>a level playing field</w:t>
      </w:r>
      <w:r>
        <w:rPr>
          <w:rFonts w:asciiTheme="minorHAnsi" w:hAnsiTheme="minorHAnsi" w:cstheme="minorHAnsi"/>
          <w:sz w:val="22"/>
        </w:rPr>
        <w:t xml:space="preserve"> </w:t>
      </w:r>
      <w:r w:rsidR="00695880">
        <w:rPr>
          <w:rFonts w:asciiTheme="minorHAnsi" w:hAnsiTheme="minorHAnsi" w:cstheme="minorHAnsi"/>
          <w:sz w:val="22"/>
        </w:rPr>
        <w:t>that</w:t>
      </w:r>
      <w:r>
        <w:rPr>
          <w:rFonts w:asciiTheme="minorHAnsi" w:hAnsiTheme="minorHAnsi" w:cstheme="minorHAnsi"/>
          <w:sz w:val="22"/>
        </w:rPr>
        <w:t xml:space="preserve"> allow</w:t>
      </w:r>
      <w:r w:rsidR="00695880">
        <w:rPr>
          <w:rFonts w:asciiTheme="minorHAnsi" w:hAnsiTheme="minorHAnsi" w:cstheme="minorHAnsi"/>
          <w:sz w:val="22"/>
        </w:rPr>
        <w:t>s</w:t>
      </w:r>
      <w:r w:rsidRPr="00335DED">
        <w:rPr>
          <w:rFonts w:asciiTheme="minorHAnsi" w:hAnsiTheme="minorHAnsi" w:cstheme="minorHAnsi"/>
          <w:sz w:val="22"/>
        </w:rPr>
        <w:t xml:space="preserve"> for competition</w:t>
      </w:r>
      <w:r>
        <w:rPr>
          <w:rFonts w:asciiTheme="minorHAnsi" w:hAnsiTheme="minorHAnsi" w:cstheme="minorHAnsi"/>
          <w:sz w:val="22"/>
        </w:rPr>
        <w:t>, and provide</w:t>
      </w:r>
      <w:r w:rsidR="00695880">
        <w:rPr>
          <w:rFonts w:asciiTheme="minorHAnsi" w:hAnsiTheme="minorHAnsi" w:cstheme="minorHAnsi"/>
          <w:sz w:val="22"/>
        </w:rPr>
        <w:t>s</w:t>
      </w:r>
      <w:r>
        <w:rPr>
          <w:rFonts w:asciiTheme="minorHAnsi" w:hAnsiTheme="minorHAnsi" w:cstheme="minorHAnsi"/>
          <w:sz w:val="22"/>
        </w:rPr>
        <w:t xml:space="preserve"> adequate regulatory protections</w:t>
      </w:r>
      <w:r w:rsidRPr="00335DED">
        <w:rPr>
          <w:rFonts w:asciiTheme="minorHAnsi" w:hAnsiTheme="minorHAnsi" w:cstheme="minorHAnsi"/>
          <w:sz w:val="22"/>
        </w:rPr>
        <w:t>?</w:t>
      </w:r>
    </w:p>
    <w:p w14:paraId="7335CAF0" w14:textId="77777777" w:rsidR="000B649B" w:rsidRDefault="000B649B" w:rsidP="000B649B">
      <w:pPr>
        <w:pStyle w:val="ListParagraph"/>
        <w:rPr>
          <w:rFonts w:asciiTheme="minorHAnsi" w:hAnsiTheme="minorHAnsi" w:cstheme="minorHAnsi"/>
          <w:sz w:val="22"/>
        </w:rPr>
      </w:pPr>
    </w:p>
    <w:p w14:paraId="71B740D0" w14:textId="77777777" w:rsidR="000B649B" w:rsidRPr="00893947" w:rsidRDefault="000B649B" w:rsidP="00BC2039">
      <w:pPr>
        <w:numPr>
          <w:ilvl w:val="0"/>
          <w:numId w:val="13"/>
        </w:numPr>
        <w:spacing w:after="0" w:line="240" w:lineRule="auto"/>
        <w:rPr>
          <w:rFonts w:asciiTheme="minorHAnsi" w:hAnsiTheme="minorHAnsi" w:cstheme="minorHAnsi"/>
          <w:sz w:val="22"/>
        </w:rPr>
      </w:pPr>
      <w:r w:rsidRPr="00893947">
        <w:rPr>
          <w:rFonts w:asciiTheme="minorHAnsi" w:hAnsiTheme="minorHAnsi" w:cstheme="minorHAnsi"/>
          <w:sz w:val="22"/>
        </w:rPr>
        <w:t>How can governments ensure that the policies and programs they develop take into account the realities faced by under-represented and vulnerable populations</w:t>
      </w:r>
      <w:r>
        <w:rPr>
          <w:rFonts w:asciiTheme="minorHAnsi" w:hAnsiTheme="minorHAnsi" w:cstheme="minorHAnsi"/>
          <w:sz w:val="22"/>
        </w:rPr>
        <w:t>, and make the most of citizen views and expertise</w:t>
      </w:r>
      <w:r w:rsidRPr="00893947">
        <w:rPr>
          <w:rFonts w:asciiTheme="minorHAnsi" w:hAnsiTheme="minorHAnsi" w:cstheme="minorHAnsi"/>
          <w:sz w:val="22"/>
        </w:rPr>
        <w:t>?</w:t>
      </w:r>
    </w:p>
    <w:p w14:paraId="5E86A1CE" w14:textId="77777777" w:rsidR="000B649B" w:rsidRDefault="000B649B" w:rsidP="000B649B">
      <w:pPr>
        <w:rPr>
          <w:rFonts w:cs="Times New Roman"/>
          <w:b/>
          <w:i/>
        </w:rPr>
      </w:pPr>
      <w:r>
        <w:rPr>
          <w:rFonts w:asciiTheme="minorHAnsi" w:eastAsia="Times New Roman" w:hAnsiTheme="minorHAnsi"/>
          <w:sz w:val="22"/>
        </w:rPr>
        <w:br w:type="page"/>
      </w:r>
    </w:p>
    <w:p w14:paraId="5F4C48E6" w14:textId="77777777" w:rsidR="000B649B" w:rsidRPr="00E222F8" w:rsidRDefault="000B649B" w:rsidP="00BC2039">
      <w:pPr>
        <w:pStyle w:val="Heading1"/>
        <w:numPr>
          <w:ilvl w:val="0"/>
          <w:numId w:val="12"/>
        </w:numPr>
      </w:pPr>
      <w:r w:rsidRPr="005D5A83">
        <w:lastRenderedPageBreak/>
        <w:t xml:space="preserve">Introduction </w:t>
      </w:r>
    </w:p>
    <w:p w14:paraId="0C958264" w14:textId="77777777" w:rsidR="000B649B" w:rsidRPr="002B1D6A" w:rsidRDefault="000B649B" w:rsidP="000B649B">
      <w:pPr>
        <w:spacing w:line="240" w:lineRule="auto"/>
        <w:rPr>
          <w:rFonts w:asciiTheme="minorHAnsi" w:hAnsiTheme="minorHAnsi" w:cstheme="minorHAnsi"/>
          <w:sz w:val="22"/>
        </w:rPr>
      </w:pPr>
      <w:r w:rsidRPr="002B1D6A">
        <w:rPr>
          <w:rFonts w:asciiTheme="minorHAnsi" w:hAnsiTheme="minorHAnsi" w:cstheme="minorHAnsi"/>
          <w:sz w:val="22"/>
        </w:rPr>
        <w:t xml:space="preserve">Across the world, governments are embracing the concept of inclusive growth. In contrast to traditional growth strategies, which focus on increases in national income, inclusive growth frameworks </w:t>
      </w:r>
      <w:r>
        <w:rPr>
          <w:rFonts w:asciiTheme="minorHAnsi" w:hAnsiTheme="minorHAnsi" w:cstheme="minorHAnsi"/>
          <w:sz w:val="22"/>
        </w:rPr>
        <w:t xml:space="preserve">also </w:t>
      </w:r>
      <w:r w:rsidRPr="002B1D6A">
        <w:rPr>
          <w:rFonts w:asciiTheme="minorHAnsi" w:hAnsiTheme="minorHAnsi" w:cstheme="minorHAnsi"/>
          <w:sz w:val="22"/>
        </w:rPr>
        <w:t xml:space="preserve">tend to emphasize rising well-being and social progress, sustainability, and increased </w:t>
      </w:r>
      <w:r>
        <w:rPr>
          <w:rFonts w:asciiTheme="minorHAnsi" w:hAnsiTheme="minorHAnsi" w:cstheme="minorHAnsi"/>
          <w:sz w:val="22"/>
        </w:rPr>
        <w:t>economic</w:t>
      </w:r>
      <w:r w:rsidRPr="002B1D6A">
        <w:rPr>
          <w:rFonts w:asciiTheme="minorHAnsi" w:hAnsiTheme="minorHAnsi" w:cstheme="minorHAnsi"/>
          <w:sz w:val="22"/>
        </w:rPr>
        <w:t xml:space="preserve"> participation </w:t>
      </w:r>
      <w:r>
        <w:rPr>
          <w:rFonts w:asciiTheme="minorHAnsi" w:hAnsiTheme="minorHAnsi" w:cstheme="minorHAnsi"/>
          <w:sz w:val="22"/>
        </w:rPr>
        <w:t>by</w:t>
      </w:r>
      <w:r w:rsidRPr="002B1D6A">
        <w:rPr>
          <w:rFonts w:asciiTheme="minorHAnsi" w:hAnsiTheme="minorHAnsi" w:cstheme="minorHAnsi"/>
          <w:sz w:val="22"/>
        </w:rPr>
        <w:t xml:space="preserve"> all members of society, particularly the most marginalized. For this paper, inclusive growth refers to broad-based growth that enables the widest range of people to contribute to and benefit from economic success. The objective</w:t>
      </w:r>
      <w:r>
        <w:rPr>
          <w:rFonts w:asciiTheme="minorHAnsi" w:hAnsiTheme="minorHAnsi" w:cstheme="minorHAnsi"/>
          <w:sz w:val="22"/>
        </w:rPr>
        <w:t>s</w:t>
      </w:r>
      <w:r w:rsidRPr="002B1D6A">
        <w:rPr>
          <w:rFonts w:asciiTheme="minorHAnsi" w:hAnsiTheme="minorHAnsi" w:cstheme="minorHAnsi"/>
          <w:sz w:val="22"/>
        </w:rPr>
        <w:t xml:space="preserve"> of inclusive growth strategies are to achieve overall prosperity alongside greater equity in opportunities and outcomes.</w:t>
      </w:r>
    </w:p>
    <w:p w14:paraId="5EB7E54E" w14:textId="77777777" w:rsidR="000B649B" w:rsidRPr="00E25A1A" w:rsidRDefault="000B649B" w:rsidP="000B649B">
      <w:pPr>
        <w:spacing w:line="240" w:lineRule="auto"/>
        <w:rPr>
          <w:rFonts w:asciiTheme="minorHAnsi" w:hAnsiTheme="minorHAnsi" w:cstheme="minorHAnsi"/>
          <w:sz w:val="22"/>
        </w:rPr>
      </w:pPr>
      <w:r w:rsidRPr="00E25A1A">
        <w:rPr>
          <w:rFonts w:asciiTheme="minorHAnsi" w:hAnsiTheme="minorHAnsi" w:cstheme="minorHAnsi"/>
          <w:sz w:val="22"/>
        </w:rPr>
        <w:t>Over the past quarter-century, Australia and Canada have benefitted from the major forces shaping other developed economies, such as technological advances and increased trade. Both countries have had the additional advantages of relatively high population growth</w:t>
      </w:r>
      <w:r>
        <w:rPr>
          <w:rFonts w:asciiTheme="minorHAnsi" w:hAnsiTheme="minorHAnsi" w:cstheme="minorHAnsi"/>
          <w:sz w:val="22"/>
        </w:rPr>
        <w:t xml:space="preserve"> driven by immigration</w:t>
      </w:r>
      <w:r w:rsidRPr="00E25A1A">
        <w:rPr>
          <w:rFonts w:asciiTheme="minorHAnsi" w:hAnsiTheme="minorHAnsi" w:cstheme="minorHAnsi"/>
          <w:sz w:val="22"/>
        </w:rPr>
        <w:t xml:space="preserve"> and of high demand for their abundant primary resource commodities.  These factors contributed to Australia experiencing 27 years of economic growth without a recession and Canada achieving the highest growth rate of </w:t>
      </w:r>
      <w:r>
        <w:rPr>
          <w:rFonts w:asciiTheme="minorHAnsi" w:hAnsiTheme="minorHAnsi" w:cstheme="minorHAnsi"/>
          <w:sz w:val="22"/>
        </w:rPr>
        <w:t xml:space="preserve">real </w:t>
      </w:r>
      <w:r w:rsidRPr="00E25A1A">
        <w:rPr>
          <w:rFonts w:asciiTheme="minorHAnsi" w:hAnsiTheme="minorHAnsi" w:cstheme="minorHAnsi"/>
          <w:sz w:val="22"/>
        </w:rPr>
        <w:t>GDP among the G7 countries between 2000 and 2017.</w:t>
      </w:r>
    </w:p>
    <w:p w14:paraId="4FE4DD44" w14:textId="77777777" w:rsidR="000B649B" w:rsidRDefault="000B649B" w:rsidP="000B649B">
      <w:pPr>
        <w:spacing w:after="100" w:line="240" w:lineRule="auto"/>
        <w:rPr>
          <w:rFonts w:cs="Times New Roman"/>
        </w:rPr>
      </w:pPr>
      <w:r>
        <w:rPr>
          <w:rFonts w:asciiTheme="minorHAnsi" w:hAnsiTheme="minorHAnsi" w:cstheme="minorHAnsi"/>
          <w:sz w:val="22"/>
        </w:rPr>
        <w:t>Strong economic performance has also raised incomes across the entire distribution (</w:t>
      </w:r>
      <w:r>
        <w:rPr>
          <w:rFonts w:asciiTheme="minorHAnsi" w:hAnsiTheme="minorHAnsi" w:cstheme="minorHAnsi"/>
          <w:b/>
          <w:sz w:val="22"/>
        </w:rPr>
        <w:t>Fig. 1</w:t>
      </w:r>
      <w:r>
        <w:rPr>
          <w:rFonts w:asciiTheme="minorHAnsi" w:hAnsiTheme="minorHAnsi" w:cstheme="minorHAnsi"/>
          <w:sz w:val="22"/>
        </w:rPr>
        <w:t>). While the richest in society have gained the most, the overall level of income inequality in both countries has remained broadly stable over time, near the Organisation for Economic Co-operation and Development (OECD) average.</w:t>
      </w:r>
      <w:r w:rsidRPr="002707FB">
        <w:rPr>
          <w:rFonts w:asciiTheme="minorHAnsi" w:hAnsiTheme="minorHAnsi" w:cstheme="minorHAnsi"/>
          <w:sz w:val="22"/>
          <w:vertAlign w:val="superscript"/>
        </w:rPr>
        <w:endnoteReference w:id="2"/>
      </w:r>
    </w:p>
    <w:p w14:paraId="1A09642E" w14:textId="77777777" w:rsidR="000B649B" w:rsidRDefault="000B649B" w:rsidP="000B649B">
      <w:pPr>
        <w:spacing w:before="240" w:after="100"/>
        <w:ind w:left="567"/>
        <w:rPr>
          <w:rFonts w:ascii="Calibri" w:hAnsi="Calibri" w:cs="Calibri"/>
          <w:b/>
          <w:lang w:val="en-CA"/>
        </w:rPr>
      </w:pPr>
      <w:r w:rsidRPr="00106FCF">
        <w:rPr>
          <w:rFonts w:ascii="Calibri" w:hAnsi="Calibri" w:cs="Calibri"/>
          <w:b/>
        </w:rPr>
        <w:t>Fig. 1</w:t>
      </w:r>
      <w:r>
        <w:rPr>
          <w:rFonts w:ascii="Calibri" w:hAnsi="Calibri" w:cs="Calibri"/>
          <w:b/>
        </w:rPr>
        <w:t xml:space="preserve"> </w:t>
      </w:r>
      <w:r w:rsidRPr="00106FCF">
        <w:rPr>
          <w:rFonts w:ascii="Calibri" w:hAnsi="Calibri" w:cs="Calibri"/>
          <w:b/>
        </w:rPr>
        <w:t xml:space="preserve"> </w:t>
      </w:r>
      <w:r w:rsidRPr="005724FB">
        <w:rPr>
          <w:rFonts w:ascii="Calibri" w:hAnsi="Calibri" w:cs="Calibri"/>
          <w:b/>
          <w:lang w:val="en-CA"/>
        </w:rPr>
        <w:t>Compound annual growth in equivali</w:t>
      </w:r>
      <w:r>
        <w:rPr>
          <w:rFonts w:ascii="Calibri" w:hAnsi="Calibri" w:cs="Calibri"/>
          <w:b/>
          <w:lang w:val="en-CA"/>
        </w:rPr>
        <w:t>z</w:t>
      </w:r>
      <w:r w:rsidRPr="005724FB">
        <w:rPr>
          <w:rFonts w:ascii="Calibri" w:hAnsi="Calibri" w:cs="Calibri"/>
          <w:b/>
          <w:lang w:val="en-CA"/>
        </w:rPr>
        <w:t xml:space="preserve">ed disposable </w:t>
      </w:r>
      <w:r>
        <w:rPr>
          <w:rFonts w:ascii="Calibri" w:hAnsi="Calibri" w:cs="Calibri"/>
          <w:b/>
          <w:lang w:val="en-CA"/>
        </w:rPr>
        <w:t xml:space="preserve">household </w:t>
      </w:r>
      <w:r w:rsidRPr="005724FB">
        <w:rPr>
          <w:rFonts w:ascii="Calibri" w:hAnsi="Calibri" w:cs="Calibri"/>
          <w:b/>
          <w:lang w:val="en-CA"/>
        </w:rPr>
        <w:t xml:space="preserve">income by </w:t>
      </w:r>
      <w:r>
        <w:rPr>
          <w:rFonts w:ascii="Calibri" w:hAnsi="Calibri" w:cs="Calibri"/>
          <w:b/>
          <w:lang w:val="en-CA"/>
        </w:rPr>
        <w:br/>
      </w:r>
      <w:r w:rsidRPr="005724FB">
        <w:rPr>
          <w:rFonts w:ascii="Calibri" w:hAnsi="Calibri" w:cs="Calibri"/>
          <w:b/>
          <w:lang w:val="en-CA"/>
        </w:rPr>
        <w:t>income decile, 1996-2016</w:t>
      </w:r>
    </w:p>
    <w:p w14:paraId="7554F074" w14:textId="77777777" w:rsidR="000B649B" w:rsidRPr="00FF06E0" w:rsidRDefault="000B649B" w:rsidP="000B649B">
      <w:pPr>
        <w:spacing w:after="100"/>
        <w:rPr>
          <w:rFonts w:ascii="Calibri" w:hAnsi="Calibri" w:cs="Calibri"/>
          <w:b/>
          <w:lang w:val="en-CA"/>
        </w:rPr>
      </w:pPr>
      <w:r>
        <w:rPr>
          <w:noProof/>
          <w:lang w:val="en-US"/>
        </w:rPr>
        <w:drawing>
          <wp:inline distT="0" distB="0" distL="0" distR="0" wp14:anchorId="67B3D220" wp14:editId="7890FB99">
            <wp:extent cx="2966225" cy="2994025"/>
            <wp:effectExtent l="0" t="0" r="5715"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F06E0">
        <w:rPr>
          <w:noProof/>
          <w:lang w:eastAsia="en-AU"/>
        </w:rPr>
        <w:t xml:space="preserve"> </w:t>
      </w:r>
      <w:r>
        <w:rPr>
          <w:noProof/>
          <w:lang w:val="en-US"/>
        </w:rPr>
        <w:drawing>
          <wp:inline distT="0" distB="0" distL="0" distR="0" wp14:anchorId="6D1124F3" wp14:editId="45C36E98">
            <wp:extent cx="2959100" cy="3009900"/>
            <wp:effectExtent l="0" t="0" r="127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9997BD" w14:textId="77777777" w:rsidR="000B649B" w:rsidRPr="008513E6" w:rsidRDefault="000B649B" w:rsidP="000B649B">
      <w:pPr>
        <w:spacing w:after="240"/>
        <w:rPr>
          <w:rFonts w:asciiTheme="minorHAnsi" w:hAnsiTheme="minorHAnsi" w:cstheme="minorHAnsi"/>
          <w:sz w:val="22"/>
        </w:rPr>
      </w:pPr>
      <w:r w:rsidRPr="00106FCF">
        <w:rPr>
          <w:rFonts w:ascii="Calibri" w:hAnsi="Calibri" w:cs="Calibri"/>
          <w:b/>
          <w:sz w:val="16"/>
          <w:szCs w:val="20"/>
        </w:rPr>
        <w:t>Source:</w:t>
      </w:r>
      <w:r w:rsidRPr="00106FCF">
        <w:rPr>
          <w:rFonts w:ascii="Calibri" w:hAnsi="Calibri" w:cs="Calibri"/>
          <w:sz w:val="16"/>
          <w:szCs w:val="20"/>
        </w:rPr>
        <w:t xml:space="preserve"> </w:t>
      </w:r>
      <w:r w:rsidRPr="00D204D9">
        <w:t xml:space="preserve"> </w:t>
      </w:r>
      <w:r>
        <w:rPr>
          <w:rFonts w:ascii="Calibri" w:hAnsi="Calibri" w:cs="Calibri"/>
          <w:sz w:val="16"/>
          <w:szCs w:val="20"/>
        </w:rPr>
        <w:t>Australian data are P</w:t>
      </w:r>
      <w:r w:rsidRPr="00D204D9">
        <w:rPr>
          <w:rFonts w:ascii="Calibri" w:hAnsi="Calibri" w:cs="Calibri"/>
          <w:sz w:val="16"/>
          <w:szCs w:val="20"/>
        </w:rPr>
        <w:t xml:space="preserve">roductivity Commission estimates using </w:t>
      </w:r>
      <w:r>
        <w:rPr>
          <w:rFonts w:ascii="Calibri" w:hAnsi="Calibri" w:cs="Calibri"/>
          <w:sz w:val="16"/>
          <w:szCs w:val="20"/>
        </w:rPr>
        <w:t xml:space="preserve">the Australian Bureau of Statistics </w:t>
      </w:r>
      <w:r w:rsidRPr="00D204D9">
        <w:rPr>
          <w:rFonts w:ascii="Calibri" w:hAnsi="Calibri" w:cs="Calibri"/>
          <w:sz w:val="16"/>
          <w:szCs w:val="20"/>
        </w:rPr>
        <w:t xml:space="preserve">Survey of Income </w:t>
      </w:r>
      <w:r>
        <w:rPr>
          <w:rFonts w:ascii="Calibri" w:hAnsi="Calibri" w:cs="Calibri"/>
          <w:sz w:val="16"/>
          <w:szCs w:val="20"/>
        </w:rPr>
        <w:t>and Housing basic confidentializ</w:t>
      </w:r>
      <w:r w:rsidRPr="00D204D9">
        <w:rPr>
          <w:rFonts w:ascii="Calibri" w:hAnsi="Calibri" w:cs="Calibri"/>
          <w:sz w:val="16"/>
          <w:szCs w:val="20"/>
        </w:rPr>
        <w:t>ed unit record files for years 1995-96 through 2015-16 as available at 25/10/17.</w:t>
      </w:r>
      <w:r>
        <w:rPr>
          <w:rFonts w:ascii="Calibri" w:hAnsi="Calibri" w:cs="Calibri"/>
          <w:sz w:val="16"/>
          <w:szCs w:val="20"/>
        </w:rPr>
        <w:t xml:space="preserve"> Canadian data are from the Statistics Canada </w:t>
      </w:r>
      <w:r w:rsidRPr="00106FCF">
        <w:rPr>
          <w:rFonts w:ascii="Calibri" w:hAnsi="Calibri" w:cs="Calibri"/>
          <w:sz w:val="16"/>
          <w:szCs w:val="20"/>
        </w:rPr>
        <w:t>Survey of Consumer Finance, the Survey of Labour and Income Dynamics,</w:t>
      </w:r>
      <w:r>
        <w:rPr>
          <w:rFonts w:ascii="Calibri" w:hAnsi="Calibri" w:cs="Calibri"/>
          <w:sz w:val="16"/>
          <w:szCs w:val="20"/>
        </w:rPr>
        <w:t xml:space="preserve"> and the Canadian Income Survey. </w:t>
      </w:r>
      <w:r>
        <w:rPr>
          <w:rFonts w:ascii="Calibri" w:hAnsi="Calibri" w:cs="Calibri"/>
          <w:sz w:val="16"/>
          <w:szCs w:val="20"/>
        </w:rPr>
        <w:br/>
      </w:r>
      <w:r w:rsidRPr="00106FCF">
        <w:rPr>
          <w:rFonts w:ascii="Calibri" w:hAnsi="Calibri" w:cs="Calibri"/>
          <w:b/>
          <w:sz w:val="16"/>
          <w:szCs w:val="20"/>
        </w:rPr>
        <w:t>Note:</w:t>
      </w:r>
      <w:r w:rsidRPr="00106FCF">
        <w:rPr>
          <w:rFonts w:ascii="Calibri" w:hAnsi="Calibri" w:cs="Calibri"/>
          <w:sz w:val="16"/>
          <w:szCs w:val="20"/>
        </w:rPr>
        <w:t xml:space="preserve"> Income is adjusted for household size.</w:t>
      </w:r>
      <w:r>
        <w:rPr>
          <w:rFonts w:ascii="Calibri" w:hAnsi="Calibri" w:cs="Calibri"/>
          <w:sz w:val="16"/>
          <w:szCs w:val="20"/>
        </w:rPr>
        <w:t xml:space="preserve"> Income is calculated in constant local currency units.</w:t>
      </w:r>
    </w:p>
    <w:p w14:paraId="5D5F0267" w14:textId="77777777" w:rsidR="000B649B" w:rsidRPr="002B1D6A" w:rsidRDefault="000B649B" w:rsidP="000B649B">
      <w:pPr>
        <w:spacing w:line="240" w:lineRule="auto"/>
      </w:pPr>
      <w:r w:rsidRPr="00636BE7">
        <w:rPr>
          <w:rFonts w:asciiTheme="minorHAnsi" w:hAnsiTheme="minorHAnsi" w:cstheme="minorHAnsi"/>
          <w:sz w:val="22"/>
        </w:rPr>
        <w:t>However, despite rising incomes and moderate overall levels of inequality,</w:t>
      </w:r>
      <w:r>
        <w:rPr>
          <w:rFonts w:asciiTheme="minorHAnsi" w:hAnsiTheme="minorHAnsi" w:cstheme="minorHAnsi"/>
          <w:sz w:val="22"/>
        </w:rPr>
        <w:t xml:space="preserve"> relative</w:t>
      </w:r>
      <w:r w:rsidRPr="00636BE7">
        <w:rPr>
          <w:rFonts w:asciiTheme="minorHAnsi" w:hAnsiTheme="minorHAnsi" w:cstheme="minorHAnsi"/>
          <w:sz w:val="22"/>
        </w:rPr>
        <w:t xml:space="preserve"> poverty rates remain elevated and persistent among certain disadvantaged groups in both countries. In Australia, strong income growth occurred through the 1990s and during the mining boom that began in the mid-2000s. But post-</w:t>
      </w:r>
      <w:r>
        <w:rPr>
          <w:rFonts w:asciiTheme="minorHAnsi" w:hAnsiTheme="minorHAnsi" w:cstheme="minorHAnsi"/>
          <w:sz w:val="22"/>
        </w:rPr>
        <w:t>Global Financial Crisis</w:t>
      </w:r>
      <w:r w:rsidRPr="00636BE7">
        <w:rPr>
          <w:rFonts w:asciiTheme="minorHAnsi" w:hAnsiTheme="minorHAnsi" w:cstheme="minorHAnsi"/>
          <w:sz w:val="22"/>
        </w:rPr>
        <w:t>, wage growth has reached record lows despite strong rises in job numbers and low unemployment. About one in 12 Australian</w:t>
      </w:r>
      <w:r>
        <w:rPr>
          <w:rFonts w:asciiTheme="minorHAnsi" w:hAnsiTheme="minorHAnsi" w:cstheme="minorHAnsi"/>
          <w:sz w:val="22"/>
        </w:rPr>
        <w:t xml:space="preserve"> workers are underemployed</w:t>
      </w:r>
      <w:r w:rsidRPr="00636BE7">
        <w:rPr>
          <w:color w:val="000000" w:themeColor="text1"/>
        </w:rPr>
        <w:t>.</w:t>
      </w:r>
      <w:r w:rsidRPr="00636BE7">
        <w:rPr>
          <w:rStyle w:val="EndnoteReference"/>
          <w:rFonts w:asciiTheme="minorHAnsi" w:hAnsiTheme="minorHAnsi" w:cstheme="minorHAnsi"/>
          <w:color w:val="000000" w:themeColor="text1"/>
          <w:sz w:val="22"/>
        </w:rPr>
        <w:endnoteReference w:id="3"/>
      </w:r>
      <w:r w:rsidRPr="00636BE7">
        <w:rPr>
          <w:rFonts w:asciiTheme="minorHAnsi" w:hAnsiTheme="minorHAnsi" w:cstheme="minorHAnsi"/>
          <w:color w:val="000000" w:themeColor="text1"/>
          <w:sz w:val="22"/>
        </w:rPr>
        <w:t xml:space="preserve">  Similarly</w:t>
      </w:r>
      <w:r w:rsidRPr="002707FB">
        <w:rPr>
          <w:rFonts w:asciiTheme="minorHAnsi" w:hAnsiTheme="minorHAnsi" w:cstheme="minorHAnsi"/>
          <w:sz w:val="22"/>
        </w:rPr>
        <w:t>, in Canada the unemployment rate is at a historically low level</w:t>
      </w:r>
      <w:r>
        <w:rPr>
          <w:rFonts w:asciiTheme="minorHAnsi" w:hAnsiTheme="minorHAnsi" w:cstheme="minorHAnsi"/>
          <w:sz w:val="22"/>
        </w:rPr>
        <w:t>,</w:t>
      </w:r>
      <w:r w:rsidRPr="002707FB">
        <w:rPr>
          <w:rFonts w:asciiTheme="minorHAnsi" w:hAnsiTheme="minorHAnsi" w:cstheme="minorHAnsi"/>
          <w:sz w:val="22"/>
        </w:rPr>
        <w:t xml:space="preserve"> but</w:t>
      </w:r>
      <w:r>
        <w:rPr>
          <w:rFonts w:asciiTheme="minorHAnsi" w:hAnsiTheme="minorHAnsi" w:cstheme="minorHAnsi"/>
          <w:sz w:val="22"/>
        </w:rPr>
        <w:t xml:space="preserve"> the</w:t>
      </w:r>
      <w:r w:rsidRPr="002707FB">
        <w:rPr>
          <w:rFonts w:asciiTheme="minorHAnsi" w:hAnsiTheme="minorHAnsi" w:cstheme="minorHAnsi"/>
          <w:sz w:val="22"/>
        </w:rPr>
        <w:t xml:space="preserve"> </w:t>
      </w:r>
      <w:r>
        <w:rPr>
          <w:rFonts w:asciiTheme="minorHAnsi" w:hAnsiTheme="minorHAnsi" w:cstheme="minorHAnsi"/>
          <w:sz w:val="22"/>
        </w:rPr>
        <w:t xml:space="preserve">median hourly wage growth of full-time workers </w:t>
      </w:r>
      <w:r>
        <w:rPr>
          <w:rFonts w:asciiTheme="minorHAnsi" w:hAnsiTheme="minorHAnsi" w:cstheme="minorHAnsi"/>
          <w:sz w:val="22"/>
        </w:rPr>
        <w:lastRenderedPageBreak/>
        <w:t>aged 25–54 years since 2000 has been modest, especially for men, and nearly 5% of all Canadian workers are involuntarily working part time.</w:t>
      </w:r>
    </w:p>
    <w:p w14:paraId="20EC13F8" w14:textId="3EE7BA3C" w:rsidR="000B649B" w:rsidRPr="002707FB" w:rsidRDefault="000B649B" w:rsidP="000B649B">
      <w:pPr>
        <w:spacing w:after="100" w:line="240" w:lineRule="auto"/>
        <w:rPr>
          <w:rFonts w:asciiTheme="minorHAnsi" w:hAnsiTheme="minorHAnsi" w:cstheme="minorHAnsi"/>
          <w:sz w:val="22"/>
        </w:rPr>
      </w:pPr>
      <w:r w:rsidRPr="002707FB">
        <w:rPr>
          <w:rFonts w:asciiTheme="minorHAnsi" w:hAnsiTheme="minorHAnsi" w:cstheme="minorHAnsi"/>
          <w:sz w:val="22"/>
        </w:rPr>
        <w:t xml:space="preserve">The slowdown in wage growth is partly due to </w:t>
      </w:r>
      <w:r>
        <w:rPr>
          <w:rFonts w:asciiTheme="minorHAnsi" w:hAnsiTheme="minorHAnsi" w:cstheme="minorHAnsi"/>
          <w:sz w:val="22"/>
        </w:rPr>
        <w:t>low</w:t>
      </w:r>
      <w:r w:rsidRPr="002707FB">
        <w:rPr>
          <w:rFonts w:asciiTheme="minorHAnsi" w:hAnsiTheme="minorHAnsi" w:cstheme="minorHAnsi"/>
          <w:sz w:val="22"/>
        </w:rPr>
        <w:t xml:space="preserve"> productivity growth</w:t>
      </w:r>
      <w:r>
        <w:rPr>
          <w:rFonts w:asciiTheme="minorHAnsi" w:hAnsiTheme="minorHAnsi" w:cstheme="minorHAnsi"/>
          <w:sz w:val="22"/>
        </w:rPr>
        <w:t>,</w:t>
      </w:r>
      <w:r w:rsidRPr="002707FB">
        <w:rPr>
          <w:rFonts w:asciiTheme="minorHAnsi" w:hAnsiTheme="minorHAnsi" w:cstheme="minorHAnsi"/>
          <w:sz w:val="22"/>
        </w:rPr>
        <w:t xml:space="preserve"> which has been observed across advanced economies since the early 2000s</w:t>
      </w:r>
      <w:r>
        <w:rPr>
          <w:rFonts w:asciiTheme="minorHAnsi" w:hAnsiTheme="minorHAnsi" w:cstheme="minorHAnsi"/>
          <w:sz w:val="22"/>
        </w:rPr>
        <w:t xml:space="preserve"> (</w:t>
      </w:r>
      <w:r>
        <w:rPr>
          <w:rFonts w:asciiTheme="minorHAnsi" w:hAnsiTheme="minorHAnsi" w:cstheme="minorHAnsi"/>
          <w:b/>
          <w:sz w:val="22"/>
        </w:rPr>
        <w:t>Fig. 2</w:t>
      </w:r>
      <w:r>
        <w:rPr>
          <w:rFonts w:asciiTheme="minorHAnsi" w:hAnsiTheme="minorHAnsi" w:cstheme="minorHAnsi"/>
          <w:sz w:val="22"/>
        </w:rPr>
        <w:t>)</w:t>
      </w:r>
      <w:r w:rsidRPr="002707FB">
        <w:rPr>
          <w:rFonts w:asciiTheme="minorHAnsi" w:hAnsiTheme="minorHAnsi" w:cstheme="minorHAnsi"/>
          <w:sz w:val="22"/>
        </w:rPr>
        <w:t xml:space="preserve">. This slump </w:t>
      </w:r>
      <w:r>
        <w:rPr>
          <w:rFonts w:asciiTheme="minorHAnsi" w:hAnsiTheme="minorHAnsi" w:cstheme="minorHAnsi"/>
          <w:sz w:val="22"/>
        </w:rPr>
        <w:t>is observed</w:t>
      </w:r>
      <w:r w:rsidRPr="002707FB">
        <w:rPr>
          <w:rFonts w:asciiTheme="minorHAnsi" w:hAnsiTheme="minorHAnsi" w:cstheme="minorHAnsi"/>
          <w:sz w:val="22"/>
        </w:rPr>
        <w:t xml:space="preserve"> </w:t>
      </w:r>
      <w:r>
        <w:rPr>
          <w:rFonts w:asciiTheme="minorHAnsi" w:hAnsiTheme="minorHAnsi" w:cstheme="minorHAnsi"/>
          <w:sz w:val="22"/>
        </w:rPr>
        <w:t xml:space="preserve">broadly </w:t>
      </w:r>
      <w:r w:rsidRPr="002707FB">
        <w:rPr>
          <w:rFonts w:asciiTheme="minorHAnsi" w:hAnsiTheme="minorHAnsi" w:cstheme="minorHAnsi"/>
          <w:sz w:val="22"/>
        </w:rPr>
        <w:t>across industries</w:t>
      </w:r>
      <w:r>
        <w:rPr>
          <w:rFonts w:asciiTheme="minorHAnsi" w:hAnsiTheme="minorHAnsi" w:cstheme="minorHAnsi"/>
          <w:sz w:val="22"/>
        </w:rPr>
        <w:t>. R</w:t>
      </w:r>
      <w:r w:rsidRPr="002707FB">
        <w:rPr>
          <w:rFonts w:asciiTheme="minorHAnsi" w:hAnsiTheme="minorHAnsi" w:cstheme="minorHAnsi"/>
          <w:sz w:val="22"/>
        </w:rPr>
        <w:t xml:space="preserve">estoring productivity growth will be </w:t>
      </w:r>
      <w:r>
        <w:rPr>
          <w:rFonts w:asciiTheme="minorHAnsi" w:hAnsiTheme="minorHAnsi" w:cstheme="minorHAnsi"/>
          <w:sz w:val="22"/>
        </w:rPr>
        <w:t xml:space="preserve">a major goal of policy to </w:t>
      </w:r>
      <w:r w:rsidRPr="002707FB">
        <w:rPr>
          <w:rFonts w:asciiTheme="minorHAnsi" w:hAnsiTheme="minorHAnsi" w:cstheme="minorHAnsi"/>
          <w:sz w:val="22"/>
        </w:rPr>
        <w:t>generat</w:t>
      </w:r>
      <w:r>
        <w:rPr>
          <w:rFonts w:asciiTheme="minorHAnsi" w:hAnsiTheme="minorHAnsi" w:cstheme="minorHAnsi"/>
          <w:sz w:val="22"/>
        </w:rPr>
        <w:t>e</w:t>
      </w:r>
      <w:r w:rsidRPr="002707FB">
        <w:rPr>
          <w:rFonts w:asciiTheme="minorHAnsi" w:hAnsiTheme="minorHAnsi" w:cstheme="minorHAnsi"/>
          <w:sz w:val="22"/>
        </w:rPr>
        <w:t xml:space="preserve"> improvements in </w:t>
      </w:r>
      <w:r>
        <w:rPr>
          <w:rFonts w:asciiTheme="minorHAnsi" w:hAnsiTheme="minorHAnsi" w:cstheme="minorHAnsi"/>
          <w:sz w:val="22"/>
        </w:rPr>
        <w:t>well-being</w:t>
      </w:r>
      <w:r w:rsidRPr="002707FB">
        <w:rPr>
          <w:rFonts w:asciiTheme="minorHAnsi" w:hAnsiTheme="minorHAnsi" w:cstheme="minorHAnsi"/>
          <w:sz w:val="22"/>
        </w:rPr>
        <w:t xml:space="preserve"> and l</w:t>
      </w:r>
      <w:r>
        <w:rPr>
          <w:rFonts w:asciiTheme="minorHAnsi" w:hAnsiTheme="minorHAnsi" w:cstheme="minorHAnsi"/>
          <w:sz w:val="22"/>
        </w:rPr>
        <w:t>iving standards going forward. In an environment where Canada and Australia can no longer rely on rising female labour force participation, increased educational attainment, and high commodity prices to drive growth, higher productivity growth will be especially important. Moreover, a</w:t>
      </w:r>
      <w:r w:rsidRPr="002707FB">
        <w:rPr>
          <w:rFonts w:asciiTheme="minorHAnsi" w:hAnsiTheme="minorHAnsi" w:cstheme="minorHAnsi"/>
          <w:sz w:val="22"/>
        </w:rPr>
        <w:t xml:space="preserve">ging populations </w:t>
      </w:r>
      <w:r>
        <w:rPr>
          <w:rFonts w:asciiTheme="minorHAnsi" w:hAnsiTheme="minorHAnsi" w:cstheme="minorHAnsi"/>
          <w:sz w:val="22"/>
        </w:rPr>
        <w:t xml:space="preserve">are </w:t>
      </w:r>
      <w:r w:rsidRPr="002707FB">
        <w:rPr>
          <w:rFonts w:asciiTheme="minorHAnsi" w:hAnsiTheme="minorHAnsi" w:cstheme="minorHAnsi"/>
          <w:sz w:val="22"/>
        </w:rPr>
        <w:t>expected to dampen economic growth in the coming decades, as older workers exit the labour force</w:t>
      </w:r>
      <w:r>
        <w:rPr>
          <w:rFonts w:asciiTheme="minorHAnsi" w:hAnsiTheme="minorHAnsi" w:cstheme="minorHAnsi"/>
          <w:sz w:val="22"/>
        </w:rPr>
        <w:t>;</w:t>
      </w:r>
      <w:r w:rsidRPr="002707FB">
        <w:rPr>
          <w:rFonts w:asciiTheme="minorHAnsi" w:hAnsiTheme="minorHAnsi" w:cstheme="minorHAnsi"/>
          <w:sz w:val="22"/>
        </w:rPr>
        <w:t xml:space="preserve"> </w:t>
      </w:r>
      <w:r>
        <w:rPr>
          <w:rFonts w:asciiTheme="minorHAnsi" w:hAnsiTheme="minorHAnsi" w:cstheme="minorHAnsi"/>
          <w:sz w:val="22"/>
        </w:rPr>
        <w:t>and s</w:t>
      </w:r>
      <w:r w:rsidRPr="002707FB">
        <w:rPr>
          <w:rFonts w:asciiTheme="minorHAnsi" w:hAnsiTheme="minorHAnsi" w:cstheme="minorHAnsi"/>
          <w:sz w:val="22"/>
        </w:rPr>
        <w:t xml:space="preserve">hifting public sentiment regarding the benefits of </w:t>
      </w:r>
      <w:r>
        <w:rPr>
          <w:rFonts w:asciiTheme="minorHAnsi" w:hAnsiTheme="minorHAnsi" w:cstheme="minorHAnsi"/>
          <w:sz w:val="22"/>
        </w:rPr>
        <w:t>free</w:t>
      </w:r>
      <w:r w:rsidRPr="002707FB">
        <w:rPr>
          <w:rFonts w:asciiTheme="minorHAnsi" w:hAnsiTheme="minorHAnsi" w:cstheme="minorHAnsi"/>
          <w:sz w:val="22"/>
        </w:rPr>
        <w:t xml:space="preserve"> trade, particularly in the United States, has created uncertainty about the potential for protectionist trade policies to disrupt Canada</w:t>
      </w:r>
      <w:r>
        <w:rPr>
          <w:rFonts w:asciiTheme="minorHAnsi" w:hAnsiTheme="minorHAnsi" w:cstheme="minorHAnsi"/>
          <w:sz w:val="22"/>
        </w:rPr>
        <w:t>’s</w:t>
      </w:r>
      <w:r w:rsidRPr="002707FB">
        <w:rPr>
          <w:rFonts w:asciiTheme="minorHAnsi" w:hAnsiTheme="minorHAnsi" w:cstheme="minorHAnsi"/>
          <w:sz w:val="22"/>
        </w:rPr>
        <w:t xml:space="preserve"> and Australia’s global trade networks.</w:t>
      </w:r>
      <w:r w:rsidR="003659E9">
        <w:rPr>
          <w:rStyle w:val="EndnoteReference"/>
          <w:rFonts w:asciiTheme="minorHAnsi" w:hAnsiTheme="minorHAnsi" w:cstheme="minorHAnsi"/>
          <w:sz w:val="22"/>
        </w:rPr>
        <w:endnoteReference w:id="4"/>
      </w:r>
      <w:r w:rsidR="003659E9">
        <w:rPr>
          <w:rFonts w:asciiTheme="minorHAnsi" w:hAnsiTheme="minorHAnsi" w:cstheme="minorHAnsi"/>
          <w:sz w:val="22"/>
        </w:rPr>
        <w:t xml:space="preserve"> </w:t>
      </w:r>
    </w:p>
    <w:p w14:paraId="1BC6CFD0" w14:textId="77777777" w:rsidR="000B649B" w:rsidRDefault="000B649B" w:rsidP="000B649B">
      <w:pPr>
        <w:spacing w:before="240" w:after="240"/>
        <w:jc w:val="center"/>
        <w:rPr>
          <w:rFonts w:asciiTheme="minorHAnsi" w:hAnsiTheme="minorHAnsi" w:cstheme="minorHAnsi"/>
          <w:sz w:val="22"/>
        </w:rPr>
      </w:pPr>
      <w:r w:rsidRPr="00106FCF">
        <w:rPr>
          <w:rFonts w:ascii="Calibri" w:hAnsi="Calibri" w:cs="Calibri"/>
          <w:b/>
          <w:szCs w:val="20"/>
        </w:rPr>
        <w:t>Fig. 2  Annual multifactor productivity</w:t>
      </w:r>
      <w:r>
        <w:rPr>
          <w:rFonts w:ascii="Calibri" w:hAnsi="Calibri" w:cs="Calibri"/>
          <w:b/>
          <w:szCs w:val="20"/>
        </w:rPr>
        <w:t xml:space="preserve"> growth</w:t>
      </w:r>
      <w:r w:rsidRPr="00106FCF">
        <w:rPr>
          <w:rFonts w:ascii="Calibri" w:hAnsi="Calibri" w:cs="Calibri"/>
          <w:b/>
          <w:szCs w:val="20"/>
        </w:rPr>
        <w:t>, selected OECD countries, 1990-2016</w:t>
      </w:r>
      <w:r>
        <w:rPr>
          <w:noProof/>
          <w:sz w:val="22"/>
          <w:lang w:eastAsia="en-AU"/>
        </w:rPr>
        <w:br/>
      </w:r>
      <w:r w:rsidRPr="00106FCF">
        <w:rPr>
          <w:noProof/>
          <w:sz w:val="22"/>
          <w:lang w:eastAsia="en-AU"/>
        </w:rPr>
        <w:br/>
      </w:r>
      <w:r w:rsidRPr="00E65883">
        <w:rPr>
          <w:noProof/>
          <w:sz w:val="22"/>
          <w:lang w:val="en-US"/>
        </w:rPr>
        <w:drawing>
          <wp:inline distT="0" distB="0" distL="0" distR="0" wp14:anchorId="7576A1D8" wp14:editId="632BD97F">
            <wp:extent cx="4679950" cy="2857500"/>
            <wp:effectExtent l="0" t="0" r="635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cs="Times New Roman"/>
          <w:sz w:val="20"/>
          <w:szCs w:val="20"/>
        </w:rPr>
        <w:br/>
      </w:r>
      <w:r w:rsidRPr="00106FCF">
        <w:rPr>
          <w:rFonts w:ascii="Calibri" w:hAnsi="Calibri" w:cs="Calibri"/>
          <w:b/>
          <w:sz w:val="16"/>
          <w:szCs w:val="20"/>
        </w:rPr>
        <w:t>Source:</w:t>
      </w:r>
      <w:r w:rsidRPr="00106FCF">
        <w:rPr>
          <w:rFonts w:ascii="Calibri" w:hAnsi="Calibri" w:cs="Calibri"/>
          <w:sz w:val="16"/>
          <w:szCs w:val="20"/>
        </w:rPr>
        <w:t xml:space="preserve"> OECD data. Growth rates have been calculated as compound annual averages.</w:t>
      </w:r>
    </w:p>
    <w:p w14:paraId="351F1350" w14:textId="77777777" w:rsidR="000B649B" w:rsidRPr="00636BE7" w:rsidRDefault="000B649B" w:rsidP="000B649B">
      <w:pPr>
        <w:spacing w:after="100" w:line="240" w:lineRule="auto"/>
        <w:rPr>
          <w:rFonts w:asciiTheme="minorHAnsi" w:eastAsia="Times New Roman" w:hAnsiTheme="minorHAnsi" w:cs="Times New Roman"/>
          <w:sz w:val="22"/>
        </w:rPr>
      </w:pPr>
      <w:r>
        <w:rPr>
          <w:rFonts w:asciiTheme="minorHAnsi" w:hAnsiTheme="minorHAnsi" w:cstheme="minorHAnsi"/>
          <w:sz w:val="22"/>
        </w:rPr>
        <w:t>R</w:t>
      </w:r>
      <w:r w:rsidRPr="002707FB">
        <w:rPr>
          <w:rFonts w:asciiTheme="minorHAnsi" w:hAnsiTheme="minorHAnsi" w:cstheme="minorHAnsi"/>
          <w:sz w:val="22"/>
        </w:rPr>
        <w:t xml:space="preserve">ecent technological advances related to digital technology and automation </w:t>
      </w:r>
      <w:r w:rsidRPr="002707FB">
        <w:rPr>
          <w:rFonts w:asciiTheme="minorHAnsi" w:eastAsia="Times New Roman" w:hAnsiTheme="minorHAnsi" w:cs="Times New Roman"/>
          <w:sz w:val="22"/>
        </w:rPr>
        <w:t xml:space="preserve">have the potential </w:t>
      </w:r>
      <w:r>
        <w:rPr>
          <w:rFonts w:asciiTheme="minorHAnsi" w:eastAsia="Times New Roman" w:hAnsiTheme="minorHAnsi" w:cs="Times New Roman"/>
          <w:sz w:val="22"/>
        </w:rPr>
        <w:t xml:space="preserve">to grow </w:t>
      </w:r>
      <w:r w:rsidRPr="002707FB">
        <w:rPr>
          <w:rFonts w:asciiTheme="minorHAnsi" w:eastAsia="Times New Roman" w:hAnsiTheme="minorHAnsi" w:cs="Times New Roman"/>
          <w:sz w:val="22"/>
        </w:rPr>
        <w:t>productivity, create new jobs</w:t>
      </w:r>
      <w:r>
        <w:rPr>
          <w:rFonts w:asciiTheme="minorHAnsi" w:eastAsia="Times New Roman" w:hAnsiTheme="minorHAnsi" w:cs="Times New Roman"/>
          <w:sz w:val="22"/>
        </w:rPr>
        <w:t xml:space="preserve"> and business models</w:t>
      </w:r>
      <w:r w:rsidRPr="002707FB">
        <w:rPr>
          <w:rFonts w:asciiTheme="minorHAnsi" w:eastAsia="Times New Roman" w:hAnsiTheme="minorHAnsi" w:cs="Times New Roman"/>
          <w:sz w:val="22"/>
        </w:rPr>
        <w:t>, raise incomes, and deliver a better standard of living.</w:t>
      </w:r>
      <w:r>
        <w:rPr>
          <w:rFonts w:asciiTheme="minorHAnsi" w:eastAsia="Times New Roman" w:hAnsiTheme="minorHAnsi" w:cs="Times New Roman"/>
          <w:sz w:val="22"/>
        </w:rPr>
        <w:t xml:space="preserve"> H</w:t>
      </w:r>
      <w:r w:rsidRPr="002707FB">
        <w:rPr>
          <w:rFonts w:asciiTheme="minorHAnsi" w:eastAsia="Times New Roman" w:hAnsiTheme="minorHAnsi" w:cs="Times New Roman"/>
          <w:sz w:val="22"/>
        </w:rPr>
        <w:t>istory show</w:t>
      </w:r>
      <w:r>
        <w:rPr>
          <w:rFonts w:asciiTheme="minorHAnsi" w:eastAsia="Times New Roman" w:hAnsiTheme="minorHAnsi" w:cs="Times New Roman"/>
          <w:sz w:val="22"/>
        </w:rPr>
        <w:t xml:space="preserve">s </w:t>
      </w:r>
      <w:r w:rsidRPr="002707FB">
        <w:rPr>
          <w:rFonts w:asciiTheme="minorHAnsi" w:eastAsia="Times New Roman" w:hAnsiTheme="minorHAnsi" w:cs="Times New Roman"/>
          <w:sz w:val="22"/>
        </w:rPr>
        <w:t xml:space="preserve">new technologies </w:t>
      </w:r>
      <w:r w:rsidRPr="00462E8E">
        <w:rPr>
          <w:rFonts w:asciiTheme="minorHAnsi" w:hAnsiTheme="minorHAnsi" w:cstheme="minorHAnsi"/>
          <w:sz w:val="22"/>
        </w:rPr>
        <w:t>increase</w:t>
      </w:r>
      <w:r>
        <w:rPr>
          <w:rFonts w:asciiTheme="minorHAnsi" w:eastAsia="Times New Roman" w:hAnsiTheme="minorHAnsi" w:cs="Times New Roman"/>
          <w:sz w:val="22"/>
        </w:rPr>
        <w:t xml:space="preserve"> prosperity in the long run, although </w:t>
      </w:r>
      <w:r w:rsidRPr="00B81DD8">
        <w:rPr>
          <w:rFonts w:asciiTheme="minorHAnsi" w:hAnsiTheme="minorHAnsi" w:cs="Times New Roman"/>
          <w:sz w:val="22"/>
        </w:rPr>
        <w:t xml:space="preserve">individuals </w:t>
      </w:r>
      <w:r>
        <w:rPr>
          <w:rFonts w:asciiTheme="minorHAnsi" w:hAnsiTheme="minorHAnsi" w:cs="Times New Roman"/>
          <w:sz w:val="22"/>
        </w:rPr>
        <w:t>do need the right skills mix</w:t>
      </w:r>
      <w:r w:rsidRPr="00B81DD8">
        <w:rPr>
          <w:rFonts w:asciiTheme="minorHAnsi" w:hAnsiTheme="minorHAnsi" w:cs="Times New Roman"/>
          <w:sz w:val="22"/>
        </w:rPr>
        <w:t xml:space="preserve"> </w:t>
      </w:r>
      <w:r>
        <w:rPr>
          <w:rFonts w:asciiTheme="minorHAnsi" w:hAnsiTheme="minorHAnsi" w:cs="Times New Roman"/>
          <w:sz w:val="22"/>
        </w:rPr>
        <w:t xml:space="preserve">and adaptive capacity to benefit from short- to medium-term changes in the labour market. </w:t>
      </w:r>
    </w:p>
    <w:p w14:paraId="0434B91C" w14:textId="77777777" w:rsidR="000B649B" w:rsidRDefault="000B649B" w:rsidP="000B649B">
      <w:pPr>
        <w:spacing w:after="100" w:line="240" w:lineRule="auto"/>
        <w:rPr>
          <w:rFonts w:asciiTheme="minorHAnsi" w:hAnsiTheme="minorHAnsi" w:cstheme="minorHAnsi"/>
          <w:sz w:val="22"/>
        </w:rPr>
      </w:pPr>
      <w:r w:rsidRPr="002707FB">
        <w:rPr>
          <w:rFonts w:asciiTheme="minorHAnsi" w:hAnsiTheme="minorHAnsi" w:cstheme="minorHAnsi"/>
          <w:sz w:val="22"/>
        </w:rPr>
        <w:t xml:space="preserve">For example, new technologies </w:t>
      </w:r>
      <w:r>
        <w:rPr>
          <w:rFonts w:asciiTheme="minorHAnsi" w:hAnsiTheme="minorHAnsi" w:cstheme="minorHAnsi"/>
          <w:sz w:val="22"/>
        </w:rPr>
        <w:t xml:space="preserve">and globalization </w:t>
      </w:r>
      <w:r w:rsidRPr="002707FB">
        <w:rPr>
          <w:rFonts w:asciiTheme="minorHAnsi" w:hAnsiTheme="minorHAnsi" w:cstheme="minorHAnsi"/>
          <w:sz w:val="22"/>
        </w:rPr>
        <w:t xml:space="preserve">have contributed to the relative increase in demand for higher skills, </w:t>
      </w:r>
      <w:r>
        <w:rPr>
          <w:rFonts w:asciiTheme="minorHAnsi" w:hAnsiTheme="minorHAnsi" w:cstheme="minorHAnsi"/>
          <w:sz w:val="22"/>
        </w:rPr>
        <w:t xml:space="preserve">by automating routine manual jobs or </w:t>
      </w:r>
      <w:r w:rsidRPr="002707FB">
        <w:rPr>
          <w:rFonts w:asciiTheme="minorHAnsi" w:hAnsiTheme="minorHAnsi" w:cstheme="minorHAnsi"/>
          <w:sz w:val="22"/>
        </w:rPr>
        <w:t xml:space="preserve">shifting </w:t>
      </w:r>
      <w:r>
        <w:rPr>
          <w:rFonts w:asciiTheme="minorHAnsi" w:hAnsiTheme="minorHAnsi" w:cstheme="minorHAnsi"/>
          <w:sz w:val="22"/>
        </w:rPr>
        <w:t xml:space="preserve">them </w:t>
      </w:r>
      <w:r w:rsidRPr="002707FB">
        <w:rPr>
          <w:rFonts w:asciiTheme="minorHAnsi" w:hAnsiTheme="minorHAnsi" w:cstheme="minorHAnsi"/>
          <w:sz w:val="22"/>
        </w:rPr>
        <w:t xml:space="preserve">to developing countries with lower labour costs. </w:t>
      </w:r>
      <w:r>
        <w:rPr>
          <w:rFonts w:asciiTheme="minorHAnsi" w:eastAsia="Times New Roman" w:hAnsiTheme="minorHAnsi" w:cs="Times New Roman"/>
          <w:sz w:val="22"/>
        </w:rPr>
        <w:t xml:space="preserve">These trends have typically had the greatest impact on </w:t>
      </w:r>
      <w:r w:rsidRPr="009F4D80">
        <w:rPr>
          <w:rFonts w:asciiTheme="minorHAnsi" w:eastAsia="Times New Roman" w:hAnsiTheme="minorHAnsi" w:cs="Times New Roman"/>
          <w:sz w:val="22"/>
        </w:rPr>
        <w:t xml:space="preserve">opportunities for </w:t>
      </w:r>
      <w:r>
        <w:rPr>
          <w:rFonts w:asciiTheme="minorHAnsi" w:eastAsia="Times New Roman" w:hAnsiTheme="minorHAnsi" w:cs="Times New Roman"/>
          <w:sz w:val="22"/>
        </w:rPr>
        <w:t xml:space="preserve">men with no post-secondary education in physical industries. </w:t>
      </w:r>
      <w:r>
        <w:rPr>
          <w:rFonts w:asciiTheme="minorHAnsi" w:hAnsiTheme="minorHAnsi" w:cstheme="minorHAnsi"/>
          <w:sz w:val="22"/>
        </w:rPr>
        <w:t>However, with artificial intelligence (AI) now enabling the automation of routine cognitive tasks, w</w:t>
      </w:r>
      <w:r w:rsidRPr="0028605F">
        <w:rPr>
          <w:rFonts w:asciiTheme="minorHAnsi" w:hAnsiTheme="minorHAnsi" w:cstheme="minorHAnsi"/>
          <w:sz w:val="22"/>
        </w:rPr>
        <w:t xml:space="preserve">orkers with higher education levels </w:t>
      </w:r>
      <w:r>
        <w:rPr>
          <w:rFonts w:asciiTheme="minorHAnsi" w:hAnsiTheme="minorHAnsi" w:cstheme="minorHAnsi"/>
          <w:sz w:val="22"/>
        </w:rPr>
        <w:t>may be at greater risk than during previous labour market adjustments.</w:t>
      </w:r>
      <w:r>
        <w:rPr>
          <w:rStyle w:val="EndnoteReference"/>
          <w:rFonts w:asciiTheme="minorHAnsi" w:hAnsiTheme="minorHAnsi" w:cstheme="minorHAnsi"/>
          <w:sz w:val="22"/>
        </w:rPr>
        <w:endnoteReference w:id="5"/>
      </w:r>
      <w:r>
        <w:rPr>
          <w:rFonts w:asciiTheme="minorHAnsi" w:hAnsiTheme="minorHAnsi" w:cstheme="minorHAnsi"/>
          <w:sz w:val="22"/>
        </w:rPr>
        <w:t xml:space="preserve"> There are also concerns that inequality will rise if technological changes lead to greater market concentration, “winner-take-all” dynamics, and a greater share of income accruing to capital owners. </w:t>
      </w:r>
    </w:p>
    <w:p w14:paraId="75AE20DD" w14:textId="77777777" w:rsidR="000B649B" w:rsidRPr="00636BE7" w:rsidRDefault="000B649B" w:rsidP="000B649B">
      <w:pPr>
        <w:spacing w:after="100" w:line="240" w:lineRule="auto"/>
        <w:rPr>
          <w:rFonts w:asciiTheme="minorHAnsi" w:eastAsia="Times New Roman" w:hAnsiTheme="minorHAnsi" w:cs="Times New Roman"/>
          <w:sz w:val="22"/>
        </w:rPr>
      </w:pPr>
      <w:r>
        <w:rPr>
          <w:rFonts w:asciiTheme="minorHAnsi" w:eastAsia="Times New Roman" w:hAnsiTheme="minorHAnsi" w:cs="Times New Roman"/>
          <w:sz w:val="22"/>
        </w:rPr>
        <w:t xml:space="preserve">Collectively, these trends have </w:t>
      </w:r>
      <w:r w:rsidRPr="002707FB">
        <w:rPr>
          <w:rFonts w:asciiTheme="minorHAnsi" w:hAnsiTheme="minorHAnsi" w:cstheme="minorHAnsi"/>
          <w:sz w:val="22"/>
        </w:rPr>
        <w:t>fuel</w:t>
      </w:r>
      <w:r>
        <w:rPr>
          <w:rFonts w:asciiTheme="minorHAnsi" w:hAnsiTheme="minorHAnsi" w:cstheme="minorHAnsi"/>
          <w:sz w:val="22"/>
        </w:rPr>
        <w:t>led</w:t>
      </w:r>
      <w:r w:rsidRPr="002707FB">
        <w:rPr>
          <w:rFonts w:asciiTheme="minorHAnsi" w:hAnsiTheme="minorHAnsi" w:cstheme="minorHAnsi"/>
          <w:sz w:val="22"/>
        </w:rPr>
        <w:t xml:space="preserve"> fears </w:t>
      </w:r>
      <w:r>
        <w:rPr>
          <w:rFonts w:asciiTheme="minorHAnsi" w:hAnsiTheme="minorHAnsi" w:cstheme="minorHAnsi"/>
          <w:sz w:val="22"/>
        </w:rPr>
        <w:t>of</w:t>
      </w:r>
      <w:r w:rsidRPr="002707FB">
        <w:rPr>
          <w:rFonts w:asciiTheme="minorHAnsi" w:hAnsiTheme="minorHAnsi" w:cstheme="minorHAnsi"/>
          <w:sz w:val="22"/>
        </w:rPr>
        <w:t xml:space="preserve"> large-scale job losses, prolonged unemployment, and precarious work arrangements for low-skilled workers who struggle to adjust</w:t>
      </w:r>
      <w:r>
        <w:rPr>
          <w:rFonts w:asciiTheme="minorHAnsi" w:eastAsia="Times New Roman" w:hAnsiTheme="minorHAnsi" w:cs="Times New Roman"/>
          <w:sz w:val="22"/>
        </w:rPr>
        <w:t xml:space="preserve">—despite there being </w:t>
      </w:r>
      <w:r w:rsidRPr="002707FB">
        <w:rPr>
          <w:rFonts w:asciiTheme="minorHAnsi" w:eastAsia="Times New Roman" w:hAnsiTheme="minorHAnsi" w:cs="Times New Roman"/>
          <w:sz w:val="22"/>
        </w:rPr>
        <w:t xml:space="preserve">limited evidence </w:t>
      </w:r>
      <w:r>
        <w:rPr>
          <w:rFonts w:asciiTheme="minorHAnsi" w:eastAsia="Times New Roman" w:hAnsiTheme="minorHAnsi" w:cs="Times New Roman"/>
          <w:sz w:val="22"/>
        </w:rPr>
        <w:t>of this occurring in Australia or Canada so far.</w:t>
      </w:r>
    </w:p>
    <w:p w14:paraId="342FB93E" w14:textId="77777777" w:rsidR="000B649B" w:rsidRPr="002707FB" w:rsidRDefault="000B649B" w:rsidP="000B649B">
      <w:pPr>
        <w:spacing w:after="100" w:line="240" w:lineRule="auto"/>
        <w:rPr>
          <w:rFonts w:asciiTheme="minorHAnsi" w:hAnsiTheme="minorHAnsi" w:cstheme="minorHAnsi"/>
          <w:sz w:val="22"/>
        </w:rPr>
      </w:pPr>
      <w:r>
        <w:rPr>
          <w:rFonts w:asciiTheme="minorHAnsi" w:hAnsiTheme="minorHAnsi" w:cstheme="minorHAnsi"/>
          <w:sz w:val="22"/>
        </w:rPr>
        <w:t>Against this backdrop</w:t>
      </w:r>
      <w:r w:rsidRPr="002707FB">
        <w:rPr>
          <w:rFonts w:asciiTheme="minorHAnsi" w:hAnsiTheme="minorHAnsi" w:cstheme="minorHAnsi"/>
          <w:sz w:val="22"/>
        </w:rPr>
        <w:t xml:space="preserve">, </w:t>
      </w:r>
      <w:r>
        <w:rPr>
          <w:rFonts w:asciiTheme="minorHAnsi" w:hAnsiTheme="minorHAnsi" w:cstheme="minorHAnsi"/>
          <w:sz w:val="22"/>
        </w:rPr>
        <w:t>the Australian and Canadian publics are expressing</w:t>
      </w:r>
      <w:r w:rsidRPr="002707FB">
        <w:rPr>
          <w:rFonts w:asciiTheme="minorHAnsi" w:hAnsiTheme="minorHAnsi" w:cstheme="minorHAnsi"/>
          <w:sz w:val="22"/>
        </w:rPr>
        <w:t xml:space="preserve"> growing resentment</w:t>
      </w:r>
      <w:r>
        <w:rPr>
          <w:rFonts w:asciiTheme="minorHAnsi" w:hAnsiTheme="minorHAnsi" w:cstheme="minorHAnsi"/>
          <w:sz w:val="22"/>
        </w:rPr>
        <w:t xml:space="preserve"> or fear</w:t>
      </w:r>
      <w:r w:rsidRPr="002707FB">
        <w:rPr>
          <w:rFonts w:asciiTheme="minorHAnsi" w:hAnsiTheme="minorHAnsi" w:cstheme="minorHAnsi"/>
          <w:sz w:val="22"/>
        </w:rPr>
        <w:t xml:space="preserve"> </w:t>
      </w:r>
      <w:r>
        <w:rPr>
          <w:rFonts w:asciiTheme="minorHAnsi" w:hAnsiTheme="minorHAnsi" w:cstheme="minorHAnsi"/>
          <w:sz w:val="22"/>
        </w:rPr>
        <w:t>around the fairness of economic outcomes</w:t>
      </w:r>
      <w:r w:rsidRPr="002707FB">
        <w:rPr>
          <w:rFonts w:asciiTheme="minorHAnsi" w:hAnsiTheme="minorHAnsi" w:cstheme="minorHAnsi"/>
          <w:sz w:val="22"/>
        </w:rPr>
        <w:t xml:space="preserve">. The </w:t>
      </w:r>
      <w:r w:rsidRPr="002707FB">
        <w:rPr>
          <w:rFonts w:asciiTheme="minorHAnsi" w:hAnsiTheme="minorHAnsi" w:cstheme="minorHAnsi"/>
          <w:i/>
          <w:sz w:val="22"/>
        </w:rPr>
        <w:t>Pulse of the Nation</w:t>
      </w:r>
      <w:r w:rsidRPr="002707FB">
        <w:rPr>
          <w:rFonts w:asciiTheme="minorHAnsi" w:hAnsiTheme="minorHAnsi" w:cstheme="minorHAnsi"/>
          <w:sz w:val="22"/>
        </w:rPr>
        <w:t xml:space="preserve"> survey by the Committee for Economic Development of Australia</w:t>
      </w:r>
      <w:r>
        <w:rPr>
          <w:rFonts w:asciiTheme="minorHAnsi" w:hAnsiTheme="minorHAnsi" w:cstheme="minorHAnsi"/>
          <w:sz w:val="22"/>
        </w:rPr>
        <w:t xml:space="preserve"> </w:t>
      </w:r>
      <w:r w:rsidRPr="002707FB">
        <w:rPr>
          <w:rFonts w:asciiTheme="minorHAnsi" w:hAnsiTheme="minorHAnsi" w:cstheme="minorHAnsi"/>
          <w:sz w:val="22"/>
        </w:rPr>
        <w:t xml:space="preserve">found that just 5% of Australians believed they had “personally gained a lot” from Australia’s </w:t>
      </w:r>
      <w:r>
        <w:rPr>
          <w:rFonts w:asciiTheme="minorHAnsi" w:hAnsiTheme="minorHAnsi" w:cstheme="minorHAnsi"/>
          <w:sz w:val="22"/>
        </w:rPr>
        <w:t>period</w:t>
      </w:r>
      <w:r w:rsidRPr="002707FB">
        <w:rPr>
          <w:rFonts w:asciiTheme="minorHAnsi" w:hAnsiTheme="minorHAnsi" w:cstheme="minorHAnsi"/>
          <w:sz w:val="22"/>
        </w:rPr>
        <w:t xml:space="preserve"> of uninterrupted economic</w:t>
      </w:r>
      <w:r>
        <w:rPr>
          <w:rFonts w:asciiTheme="minorHAnsi" w:hAnsiTheme="minorHAnsi" w:cstheme="minorHAnsi"/>
          <w:sz w:val="22"/>
        </w:rPr>
        <w:t xml:space="preserve"> growth</w:t>
      </w:r>
      <w:r w:rsidRPr="002707FB">
        <w:rPr>
          <w:rFonts w:asciiTheme="minorHAnsi" w:hAnsiTheme="minorHAnsi" w:cstheme="minorHAnsi"/>
          <w:sz w:val="22"/>
        </w:rPr>
        <w:t xml:space="preserve">, and 79% of Australians believed the gap between the richest and poorest Australians was </w:t>
      </w:r>
      <w:r>
        <w:rPr>
          <w:rFonts w:asciiTheme="minorHAnsi" w:hAnsiTheme="minorHAnsi" w:cstheme="minorHAnsi"/>
          <w:sz w:val="22"/>
        </w:rPr>
        <w:t>un</w:t>
      </w:r>
      <w:r w:rsidRPr="002707FB">
        <w:rPr>
          <w:rFonts w:asciiTheme="minorHAnsi" w:hAnsiTheme="minorHAnsi" w:cstheme="minorHAnsi"/>
          <w:sz w:val="22"/>
        </w:rPr>
        <w:t>acceptable.</w:t>
      </w:r>
      <w:r>
        <w:rPr>
          <w:rFonts w:asciiTheme="minorHAnsi" w:hAnsiTheme="minorHAnsi" w:cstheme="minorHAnsi"/>
          <w:sz w:val="22"/>
        </w:rPr>
        <w:t xml:space="preserve"> There is also considerable scepticism that technological advances will generate widespread benefits. A Pew Research survey conducted in 2017 found that about 80% of Canadians thought it likely that automation would make it harder to find a job and would increase inequality, while less than half thought that it would make the economy more efficient or increase the number of high-paying jobs.</w:t>
      </w:r>
      <w:r>
        <w:rPr>
          <w:rStyle w:val="EndnoteReference"/>
          <w:rFonts w:asciiTheme="minorHAnsi" w:hAnsiTheme="minorHAnsi" w:cstheme="minorHAnsi"/>
          <w:sz w:val="22"/>
        </w:rPr>
        <w:endnoteReference w:id="6"/>
      </w:r>
    </w:p>
    <w:p w14:paraId="25E25C36" w14:textId="77777777" w:rsidR="000B649B" w:rsidRDefault="000B649B" w:rsidP="000B649B">
      <w:pPr>
        <w:spacing w:after="100" w:line="240" w:lineRule="auto"/>
        <w:rPr>
          <w:rFonts w:asciiTheme="minorHAnsi" w:hAnsiTheme="minorHAnsi" w:cstheme="minorHAnsi"/>
          <w:sz w:val="22"/>
        </w:rPr>
      </w:pPr>
      <w:r>
        <w:rPr>
          <w:rFonts w:asciiTheme="minorHAnsi" w:hAnsiTheme="minorHAnsi" w:cstheme="minorHAnsi"/>
          <w:sz w:val="22"/>
        </w:rPr>
        <w:t>These perceptions</w:t>
      </w:r>
      <w:r w:rsidRPr="002707FB">
        <w:rPr>
          <w:rFonts w:asciiTheme="minorHAnsi" w:hAnsiTheme="minorHAnsi" w:cstheme="minorHAnsi"/>
          <w:sz w:val="22"/>
        </w:rPr>
        <w:t xml:space="preserve"> </w:t>
      </w:r>
      <w:r>
        <w:rPr>
          <w:rFonts w:asciiTheme="minorHAnsi" w:hAnsiTheme="minorHAnsi" w:cstheme="minorHAnsi"/>
          <w:sz w:val="22"/>
        </w:rPr>
        <w:t xml:space="preserve">that economic policy is not delivering fair outcomes or future security </w:t>
      </w:r>
      <w:r w:rsidRPr="002707FB">
        <w:rPr>
          <w:rFonts w:asciiTheme="minorHAnsi" w:hAnsiTheme="minorHAnsi" w:cstheme="minorHAnsi"/>
          <w:sz w:val="22"/>
        </w:rPr>
        <w:t xml:space="preserve">likely contribute to </w:t>
      </w:r>
      <w:r>
        <w:rPr>
          <w:rFonts w:asciiTheme="minorHAnsi" w:hAnsiTheme="minorHAnsi" w:cstheme="minorHAnsi"/>
          <w:sz w:val="22"/>
        </w:rPr>
        <w:t>a</w:t>
      </w:r>
      <w:r w:rsidRPr="002707FB">
        <w:rPr>
          <w:rFonts w:asciiTheme="minorHAnsi" w:hAnsiTheme="minorHAnsi" w:cstheme="minorHAnsi"/>
          <w:sz w:val="22"/>
        </w:rPr>
        <w:t xml:space="preserve"> parallel trend </w:t>
      </w:r>
      <w:r>
        <w:rPr>
          <w:rFonts w:asciiTheme="minorHAnsi" w:hAnsiTheme="minorHAnsi" w:cstheme="minorHAnsi"/>
          <w:sz w:val="22"/>
        </w:rPr>
        <w:t xml:space="preserve">observed in both countries </w:t>
      </w:r>
      <w:r w:rsidRPr="002707FB">
        <w:rPr>
          <w:rFonts w:asciiTheme="minorHAnsi" w:hAnsiTheme="minorHAnsi" w:cstheme="minorHAnsi"/>
          <w:sz w:val="22"/>
        </w:rPr>
        <w:t xml:space="preserve">of declining trust in political institutions. </w:t>
      </w:r>
      <w:r>
        <w:rPr>
          <w:rFonts w:asciiTheme="minorHAnsi" w:hAnsiTheme="minorHAnsi" w:cstheme="minorHAnsi"/>
          <w:sz w:val="22"/>
        </w:rPr>
        <w:t>There is a</w:t>
      </w:r>
      <w:r w:rsidRPr="002707FB">
        <w:rPr>
          <w:rFonts w:asciiTheme="minorHAnsi" w:hAnsiTheme="minorHAnsi" w:cstheme="minorHAnsi"/>
          <w:sz w:val="22"/>
        </w:rPr>
        <w:t xml:space="preserve"> large body of international research correlating low political trust with economic insecurity</w:t>
      </w:r>
      <w:r>
        <w:rPr>
          <w:rFonts w:asciiTheme="minorHAnsi" w:hAnsiTheme="minorHAnsi" w:cstheme="minorHAnsi"/>
          <w:sz w:val="22"/>
        </w:rPr>
        <w:t>.</w:t>
      </w:r>
      <w:r w:rsidRPr="002707FB">
        <w:rPr>
          <w:rStyle w:val="EndnoteReference"/>
          <w:rFonts w:asciiTheme="minorHAnsi" w:hAnsiTheme="minorHAnsi" w:cstheme="minorHAnsi"/>
          <w:sz w:val="22"/>
        </w:rPr>
        <w:endnoteReference w:id="7"/>
      </w:r>
      <w:r w:rsidRPr="002707FB">
        <w:rPr>
          <w:rFonts w:asciiTheme="minorHAnsi" w:hAnsiTheme="minorHAnsi" w:cstheme="minorHAnsi"/>
          <w:sz w:val="22"/>
        </w:rPr>
        <w:t xml:space="preserve"> </w:t>
      </w:r>
      <w:r>
        <w:rPr>
          <w:rFonts w:asciiTheme="minorHAnsi" w:hAnsiTheme="minorHAnsi" w:cstheme="minorHAnsi"/>
          <w:sz w:val="22"/>
        </w:rPr>
        <w:t xml:space="preserve">Consistent with this, </w:t>
      </w:r>
      <w:r w:rsidRPr="008A5C1F">
        <w:rPr>
          <w:rFonts w:asciiTheme="minorHAnsi" w:hAnsiTheme="minorHAnsi" w:cstheme="minorHAnsi"/>
          <w:sz w:val="22"/>
        </w:rPr>
        <w:t xml:space="preserve">surveys commissioned by the Museum of Australian Democracy have identified </w:t>
      </w:r>
      <w:r>
        <w:rPr>
          <w:rFonts w:asciiTheme="minorHAnsi" w:hAnsiTheme="minorHAnsi" w:cstheme="minorHAnsi"/>
          <w:sz w:val="22"/>
        </w:rPr>
        <w:t xml:space="preserve">that </w:t>
      </w:r>
      <w:r w:rsidRPr="008A5C1F">
        <w:rPr>
          <w:rFonts w:asciiTheme="minorHAnsi" w:hAnsiTheme="minorHAnsi" w:cstheme="minorHAnsi"/>
          <w:sz w:val="22"/>
        </w:rPr>
        <w:t>20% of the electorate are completely disengaged from and disillusioned with Australian democracy</w:t>
      </w:r>
      <w:r>
        <w:rPr>
          <w:rFonts w:asciiTheme="minorHAnsi" w:hAnsiTheme="minorHAnsi" w:cstheme="minorHAnsi"/>
          <w:sz w:val="22"/>
        </w:rPr>
        <w:t>,</w:t>
      </w:r>
      <w:r w:rsidRPr="008A5C1F">
        <w:rPr>
          <w:rFonts w:asciiTheme="minorHAnsi" w:hAnsiTheme="minorHAnsi" w:cstheme="minorHAnsi"/>
          <w:sz w:val="22"/>
        </w:rPr>
        <w:t xml:space="preserve"> </w:t>
      </w:r>
      <w:r>
        <w:rPr>
          <w:rFonts w:asciiTheme="minorHAnsi" w:hAnsiTheme="minorHAnsi" w:cstheme="minorHAnsi"/>
          <w:sz w:val="22"/>
        </w:rPr>
        <w:t>and that this group largely consists</w:t>
      </w:r>
      <w:r w:rsidRPr="008A5C1F">
        <w:rPr>
          <w:rFonts w:asciiTheme="minorHAnsi" w:hAnsiTheme="minorHAnsi" w:cstheme="minorHAnsi"/>
          <w:sz w:val="22"/>
        </w:rPr>
        <w:t xml:space="preserve"> of Australians who have been left behind economically or are feeling very economically insecure</w:t>
      </w:r>
      <w:r>
        <w:rPr>
          <w:rFonts w:asciiTheme="minorHAnsi" w:hAnsiTheme="minorHAnsi" w:cstheme="minorHAnsi"/>
          <w:sz w:val="22"/>
        </w:rPr>
        <w:t xml:space="preserve">. </w:t>
      </w:r>
      <w:r w:rsidRPr="002707FB">
        <w:rPr>
          <w:rFonts w:asciiTheme="minorHAnsi" w:hAnsiTheme="minorHAnsi" w:cstheme="minorHAnsi"/>
          <w:sz w:val="22"/>
        </w:rPr>
        <w:t xml:space="preserve">By contrast, Australians </w:t>
      </w:r>
      <w:r>
        <w:rPr>
          <w:rFonts w:asciiTheme="minorHAnsi" w:hAnsiTheme="minorHAnsi" w:cstheme="minorHAnsi"/>
          <w:sz w:val="22"/>
        </w:rPr>
        <w:t xml:space="preserve">with </w:t>
      </w:r>
      <w:r w:rsidRPr="002707FB">
        <w:rPr>
          <w:rFonts w:asciiTheme="minorHAnsi" w:hAnsiTheme="minorHAnsi" w:cstheme="minorHAnsi"/>
          <w:sz w:val="22"/>
        </w:rPr>
        <w:t xml:space="preserve">incomes </w:t>
      </w:r>
      <w:r>
        <w:rPr>
          <w:rFonts w:asciiTheme="minorHAnsi" w:hAnsiTheme="minorHAnsi" w:cstheme="minorHAnsi"/>
          <w:sz w:val="22"/>
        </w:rPr>
        <w:t xml:space="preserve">of </w:t>
      </w:r>
      <w:r w:rsidRPr="002707FB">
        <w:rPr>
          <w:rFonts w:asciiTheme="minorHAnsi" w:hAnsiTheme="minorHAnsi" w:cstheme="minorHAnsi"/>
          <w:sz w:val="22"/>
        </w:rPr>
        <w:t xml:space="preserve">$200,000 a year or more are the most satisfied with Australian democracy. </w:t>
      </w:r>
      <w:r>
        <w:rPr>
          <w:rFonts w:asciiTheme="minorHAnsi" w:hAnsiTheme="minorHAnsi" w:cstheme="minorHAnsi"/>
          <w:sz w:val="22"/>
        </w:rPr>
        <w:t>More broadly, s</w:t>
      </w:r>
      <w:r w:rsidRPr="002707FB">
        <w:rPr>
          <w:rFonts w:asciiTheme="minorHAnsi" w:hAnsiTheme="minorHAnsi" w:cstheme="minorHAnsi"/>
          <w:sz w:val="22"/>
        </w:rPr>
        <w:t>atisfaction with democracy in Australia overall is at its lowest level since the introduction of time series data in 1996, and just 31% of Australians trust the federal government.</w:t>
      </w:r>
      <w:r w:rsidRPr="002707FB">
        <w:rPr>
          <w:rStyle w:val="EndnoteReference"/>
          <w:rFonts w:asciiTheme="minorHAnsi" w:hAnsiTheme="minorHAnsi" w:cstheme="minorHAnsi"/>
          <w:sz w:val="22"/>
        </w:rPr>
        <w:endnoteReference w:id="8"/>
      </w:r>
      <w:r>
        <w:rPr>
          <w:rFonts w:asciiTheme="minorHAnsi" w:hAnsiTheme="minorHAnsi" w:cstheme="minorHAnsi"/>
          <w:sz w:val="22"/>
        </w:rPr>
        <w:t xml:space="preserve"> </w:t>
      </w:r>
    </w:p>
    <w:p w14:paraId="77F8518A" w14:textId="675E0852" w:rsidR="000B649B" w:rsidRPr="002707FB" w:rsidRDefault="000B649B" w:rsidP="000B649B">
      <w:pPr>
        <w:spacing w:after="100" w:line="240" w:lineRule="auto"/>
        <w:rPr>
          <w:rFonts w:asciiTheme="minorHAnsi" w:hAnsiTheme="minorHAnsi" w:cstheme="minorHAnsi"/>
          <w:sz w:val="22"/>
        </w:rPr>
      </w:pPr>
      <w:r>
        <w:rPr>
          <w:rFonts w:asciiTheme="minorHAnsi" w:hAnsiTheme="minorHAnsi" w:cstheme="minorHAnsi"/>
          <w:sz w:val="22"/>
        </w:rPr>
        <w:t xml:space="preserve">Similarly, a study from Ekos entitled </w:t>
      </w:r>
      <w:r w:rsidRPr="00827DF3">
        <w:rPr>
          <w:rFonts w:asciiTheme="minorHAnsi" w:hAnsiTheme="minorHAnsi" w:cstheme="minorHAnsi"/>
          <w:i/>
          <w:sz w:val="22"/>
        </w:rPr>
        <w:t>Rethinking Citizen Engagement</w:t>
      </w:r>
      <w:r>
        <w:rPr>
          <w:rFonts w:asciiTheme="minorHAnsi" w:hAnsiTheme="minorHAnsi" w:cstheme="minorHAnsi"/>
          <w:sz w:val="22"/>
        </w:rPr>
        <w:t xml:space="preserve"> </w:t>
      </w:r>
      <w:r w:rsidR="002B3610">
        <w:rPr>
          <w:rFonts w:asciiTheme="minorHAnsi" w:hAnsiTheme="minorHAnsi" w:cstheme="minorHAnsi"/>
          <w:sz w:val="22"/>
        </w:rPr>
        <w:t xml:space="preserve">suggests </w:t>
      </w:r>
      <w:r>
        <w:rPr>
          <w:rFonts w:asciiTheme="minorHAnsi" w:hAnsiTheme="minorHAnsi" w:cstheme="minorHAnsi"/>
          <w:sz w:val="22"/>
        </w:rPr>
        <w:t xml:space="preserve">that </w:t>
      </w:r>
      <w:r w:rsidR="00562420" w:rsidRPr="00562420">
        <w:rPr>
          <w:rFonts w:asciiTheme="minorHAnsi" w:hAnsiTheme="minorHAnsi" w:cstheme="minorHAnsi"/>
          <w:sz w:val="22"/>
        </w:rPr>
        <w:t xml:space="preserve">close to half of Canadians feel that their government does not care very much about the views of </w:t>
      </w:r>
      <w:r w:rsidR="00562420">
        <w:rPr>
          <w:rFonts w:asciiTheme="minorHAnsi" w:hAnsiTheme="minorHAnsi" w:cstheme="minorHAnsi"/>
          <w:sz w:val="22"/>
        </w:rPr>
        <w:t>a</w:t>
      </w:r>
      <w:r w:rsidR="00695880">
        <w:rPr>
          <w:rFonts w:asciiTheme="minorHAnsi" w:hAnsiTheme="minorHAnsi" w:cstheme="minorHAnsi"/>
          <w:sz w:val="22"/>
        </w:rPr>
        <w:t>verage citizens.</w:t>
      </w:r>
      <w:r w:rsidR="00695880">
        <w:rPr>
          <w:rStyle w:val="EndnoteReference"/>
          <w:rFonts w:asciiTheme="minorHAnsi" w:hAnsiTheme="minorHAnsi" w:cstheme="minorHAnsi"/>
          <w:sz w:val="22"/>
        </w:rPr>
        <w:endnoteReference w:id="9"/>
      </w:r>
      <w:r>
        <w:rPr>
          <w:rFonts w:asciiTheme="minorHAnsi" w:hAnsiTheme="minorHAnsi" w:cstheme="minorHAnsi"/>
          <w:sz w:val="22"/>
        </w:rPr>
        <w:t xml:space="preserve"> These views were more prevalent among older and more economically vulnerable Canadians. The same study also found that Canadians with lower levels of education and income were less likely to be reached by government engagement and less likely to vote.</w:t>
      </w:r>
    </w:p>
    <w:p w14:paraId="0C5D17BE" w14:textId="77777777" w:rsidR="000B649B" w:rsidRDefault="000B649B" w:rsidP="000B649B">
      <w:pPr>
        <w:spacing w:after="100" w:line="240" w:lineRule="auto"/>
        <w:rPr>
          <w:rFonts w:asciiTheme="minorHAnsi" w:hAnsiTheme="minorHAnsi" w:cstheme="minorHAnsi"/>
          <w:sz w:val="22"/>
        </w:rPr>
      </w:pPr>
      <w:r w:rsidRPr="002707FB">
        <w:rPr>
          <w:rFonts w:asciiTheme="minorHAnsi" w:hAnsiTheme="minorHAnsi" w:cstheme="minorHAnsi"/>
          <w:sz w:val="22"/>
        </w:rPr>
        <w:t xml:space="preserve">There remains considerable uncertainty about the future of work and its effects on individuals and regions. </w:t>
      </w:r>
      <w:r>
        <w:rPr>
          <w:rFonts w:asciiTheme="minorHAnsi" w:hAnsiTheme="minorHAnsi" w:cstheme="minorHAnsi"/>
          <w:sz w:val="22"/>
        </w:rPr>
        <w:t>D</w:t>
      </w:r>
      <w:r w:rsidRPr="002707FB">
        <w:rPr>
          <w:rFonts w:asciiTheme="minorHAnsi" w:hAnsiTheme="minorHAnsi" w:cstheme="minorHAnsi"/>
          <w:sz w:val="22"/>
        </w:rPr>
        <w:t xml:space="preserve">espite public perceptions, so far </w:t>
      </w:r>
      <w:r>
        <w:rPr>
          <w:rFonts w:asciiTheme="minorHAnsi" w:hAnsiTheme="minorHAnsi" w:cstheme="minorHAnsi"/>
          <w:sz w:val="22"/>
        </w:rPr>
        <w:t xml:space="preserve">aggregate </w:t>
      </w:r>
      <w:r w:rsidRPr="002707FB">
        <w:rPr>
          <w:rFonts w:asciiTheme="minorHAnsi" w:hAnsiTheme="minorHAnsi" w:cstheme="minorHAnsi"/>
          <w:sz w:val="22"/>
        </w:rPr>
        <w:t xml:space="preserve">economic indicators do not provide evidence of widespread labour market disruptions. </w:t>
      </w:r>
      <w:r>
        <w:rPr>
          <w:rFonts w:asciiTheme="minorHAnsi" w:hAnsiTheme="minorHAnsi" w:cstheme="minorHAnsi"/>
          <w:sz w:val="22"/>
        </w:rPr>
        <w:t>Unemployment rates are low, more firms are reporting labour shortages, job retention is strong, and the number of workers with non-standard work arrangements is stable.</w:t>
      </w:r>
    </w:p>
    <w:p w14:paraId="6A648A32" w14:textId="77777777" w:rsidR="000B649B" w:rsidRDefault="000B649B" w:rsidP="000B649B">
      <w:pPr>
        <w:spacing w:line="240" w:lineRule="auto"/>
      </w:pPr>
      <w:r w:rsidRPr="002707FB">
        <w:rPr>
          <w:rFonts w:asciiTheme="minorHAnsi" w:hAnsiTheme="minorHAnsi" w:cstheme="minorHAnsi"/>
          <w:sz w:val="22"/>
        </w:rPr>
        <w:t>Nevertheless, policy</w:t>
      </w:r>
      <w:r>
        <w:rPr>
          <w:rFonts w:asciiTheme="minorHAnsi" w:hAnsiTheme="minorHAnsi" w:cstheme="minorHAnsi"/>
          <w:sz w:val="22"/>
        </w:rPr>
        <w:t>-</w:t>
      </w:r>
      <w:r w:rsidRPr="002707FB">
        <w:rPr>
          <w:rFonts w:asciiTheme="minorHAnsi" w:hAnsiTheme="minorHAnsi" w:cstheme="minorHAnsi"/>
          <w:sz w:val="22"/>
        </w:rPr>
        <w:t xml:space="preserve">makers must try to </w:t>
      </w:r>
      <w:r>
        <w:rPr>
          <w:rFonts w:asciiTheme="minorHAnsi" w:hAnsiTheme="minorHAnsi" w:cstheme="minorHAnsi"/>
          <w:sz w:val="22"/>
        </w:rPr>
        <w:t>understand</w:t>
      </w:r>
      <w:r w:rsidRPr="002707FB">
        <w:rPr>
          <w:rFonts w:asciiTheme="minorHAnsi" w:hAnsiTheme="minorHAnsi" w:cstheme="minorHAnsi"/>
          <w:sz w:val="22"/>
        </w:rPr>
        <w:t xml:space="preserve"> how economic changes and new technologies may reshape production, and </w:t>
      </w:r>
      <w:r>
        <w:rPr>
          <w:rFonts w:asciiTheme="minorHAnsi" w:hAnsiTheme="minorHAnsi" w:cstheme="minorHAnsi"/>
          <w:sz w:val="22"/>
        </w:rPr>
        <w:t xml:space="preserve">help </w:t>
      </w:r>
      <w:r w:rsidRPr="002707FB">
        <w:rPr>
          <w:rFonts w:asciiTheme="minorHAnsi" w:hAnsiTheme="minorHAnsi" w:cstheme="minorHAnsi"/>
          <w:sz w:val="22"/>
        </w:rPr>
        <w:t xml:space="preserve">position businesses and workers to adapt and compete internationally. At the same time, </w:t>
      </w:r>
      <w:r>
        <w:rPr>
          <w:rFonts w:asciiTheme="minorHAnsi" w:hAnsiTheme="minorHAnsi" w:cstheme="minorHAnsi"/>
          <w:sz w:val="22"/>
        </w:rPr>
        <w:t xml:space="preserve">skills programs and </w:t>
      </w:r>
      <w:r w:rsidRPr="002707FB">
        <w:rPr>
          <w:rFonts w:asciiTheme="minorHAnsi" w:hAnsiTheme="minorHAnsi" w:cstheme="minorHAnsi"/>
          <w:sz w:val="22"/>
        </w:rPr>
        <w:t xml:space="preserve">social safety nets </w:t>
      </w:r>
      <w:r>
        <w:rPr>
          <w:rFonts w:asciiTheme="minorHAnsi" w:hAnsiTheme="minorHAnsi" w:cstheme="minorHAnsi"/>
          <w:sz w:val="22"/>
        </w:rPr>
        <w:t>may</w:t>
      </w:r>
      <w:r w:rsidRPr="002707FB">
        <w:rPr>
          <w:rFonts w:asciiTheme="minorHAnsi" w:hAnsiTheme="minorHAnsi" w:cstheme="minorHAnsi"/>
          <w:sz w:val="22"/>
        </w:rPr>
        <w:t xml:space="preserve"> need to be adjusted to ensure that they are robust to disruptions. </w:t>
      </w:r>
      <w:r>
        <w:rPr>
          <w:rFonts w:asciiTheme="minorHAnsi" w:hAnsiTheme="minorHAnsi" w:cstheme="minorHAnsi"/>
          <w:sz w:val="22"/>
        </w:rPr>
        <w:t xml:space="preserve">To </w:t>
      </w:r>
      <w:r w:rsidRPr="002707FB">
        <w:rPr>
          <w:rFonts w:asciiTheme="minorHAnsi" w:hAnsiTheme="minorHAnsi" w:cstheme="minorHAnsi"/>
          <w:sz w:val="22"/>
        </w:rPr>
        <w:t xml:space="preserve">achieve these goals, it is essential that governments seek input from all relevant stakeholders and adopt a </w:t>
      </w:r>
      <w:r>
        <w:rPr>
          <w:rFonts w:asciiTheme="minorHAnsi" w:hAnsiTheme="minorHAnsi" w:cstheme="minorHAnsi"/>
          <w:sz w:val="22"/>
        </w:rPr>
        <w:t>citizen</w:t>
      </w:r>
      <w:r w:rsidRPr="002707FB">
        <w:rPr>
          <w:rFonts w:asciiTheme="minorHAnsi" w:hAnsiTheme="minorHAnsi" w:cstheme="minorHAnsi"/>
          <w:sz w:val="22"/>
        </w:rPr>
        <w:t>-centric approach to policy development.</w:t>
      </w:r>
    </w:p>
    <w:p w14:paraId="2E168684" w14:textId="77777777" w:rsidR="000B649B" w:rsidRPr="005D5A83" w:rsidRDefault="000B649B" w:rsidP="00BC2039">
      <w:pPr>
        <w:pStyle w:val="Heading1"/>
        <w:numPr>
          <w:ilvl w:val="0"/>
          <w:numId w:val="12"/>
        </w:numPr>
      </w:pPr>
      <w:r>
        <w:t>Supporting b</w:t>
      </w:r>
      <w:r w:rsidRPr="005D5A83">
        <w:t>usi</w:t>
      </w:r>
      <w:r>
        <w:t>nesses to adopt innovation and remain globally competitive</w:t>
      </w:r>
    </w:p>
    <w:p w14:paraId="31335470" w14:textId="77777777" w:rsidR="000B649B" w:rsidRPr="002707F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 xml:space="preserve">Canada and Australia </w:t>
      </w:r>
      <w:r>
        <w:rPr>
          <w:rFonts w:asciiTheme="minorHAnsi" w:hAnsiTheme="minorHAnsi" w:cstheme="minorHAnsi"/>
          <w:sz w:val="22"/>
        </w:rPr>
        <w:t>share</w:t>
      </w:r>
      <w:r w:rsidRPr="002707FB">
        <w:rPr>
          <w:rFonts w:asciiTheme="minorHAnsi" w:hAnsiTheme="minorHAnsi" w:cstheme="minorHAnsi"/>
          <w:sz w:val="22"/>
        </w:rPr>
        <w:t xml:space="preserve"> an understanding that thriving businesses and innovative entrepreneurship are keys to </w:t>
      </w:r>
      <w:r>
        <w:rPr>
          <w:rFonts w:asciiTheme="minorHAnsi" w:hAnsiTheme="minorHAnsi" w:cstheme="minorHAnsi"/>
          <w:sz w:val="22"/>
        </w:rPr>
        <w:t xml:space="preserve">broad-based </w:t>
      </w:r>
      <w:r w:rsidRPr="002707FB">
        <w:rPr>
          <w:rFonts w:asciiTheme="minorHAnsi" w:hAnsiTheme="minorHAnsi" w:cstheme="minorHAnsi"/>
          <w:sz w:val="22"/>
        </w:rPr>
        <w:t>economic growth for open economies</w:t>
      </w:r>
      <w:r>
        <w:rPr>
          <w:rFonts w:asciiTheme="minorHAnsi" w:hAnsiTheme="minorHAnsi" w:cstheme="minorHAnsi"/>
          <w:sz w:val="22"/>
        </w:rPr>
        <w:t>. The Canadian Government</w:t>
      </w:r>
      <w:r w:rsidRPr="002707FB">
        <w:rPr>
          <w:rFonts w:asciiTheme="minorHAnsi" w:hAnsiTheme="minorHAnsi" w:cstheme="minorHAnsi"/>
          <w:sz w:val="22"/>
        </w:rPr>
        <w:t xml:space="preserve">’s Innovation and Skills Plan and </w:t>
      </w:r>
      <w:r>
        <w:rPr>
          <w:rFonts w:asciiTheme="minorHAnsi" w:hAnsiTheme="minorHAnsi" w:cstheme="minorHAnsi"/>
          <w:sz w:val="22"/>
        </w:rPr>
        <w:t xml:space="preserve">the </w:t>
      </w:r>
      <w:r w:rsidRPr="002707FB">
        <w:rPr>
          <w:rFonts w:asciiTheme="minorHAnsi" w:hAnsiTheme="minorHAnsi" w:cstheme="minorHAnsi"/>
          <w:sz w:val="22"/>
        </w:rPr>
        <w:t>Australia</w:t>
      </w:r>
      <w:r>
        <w:rPr>
          <w:rFonts w:asciiTheme="minorHAnsi" w:hAnsiTheme="minorHAnsi" w:cstheme="minorHAnsi"/>
          <w:sz w:val="22"/>
        </w:rPr>
        <w:t>n Government</w:t>
      </w:r>
      <w:r w:rsidRPr="002707FB">
        <w:rPr>
          <w:rFonts w:asciiTheme="minorHAnsi" w:hAnsiTheme="minorHAnsi" w:cstheme="minorHAnsi"/>
          <w:sz w:val="22"/>
        </w:rPr>
        <w:t>’s National Science and Innovation Agenda both identify entrepreneurship and innovation as central to Canadians’ and</w:t>
      </w:r>
      <w:r>
        <w:rPr>
          <w:rFonts w:asciiTheme="minorHAnsi" w:hAnsiTheme="minorHAnsi" w:cstheme="minorHAnsi"/>
          <w:sz w:val="22"/>
        </w:rPr>
        <w:t xml:space="preserve"> Australians’ future prosperity.</w:t>
      </w:r>
    </w:p>
    <w:p w14:paraId="193B2867" w14:textId="77777777" w:rsidR="000B649B" w:rsidRDefault="000B649B" w:rsidP="000B649B">
      <w:pPr>
        <w:spacing w:line="240" w:lineRule="auto"/>
        <w:rPr>
          <w:rFonts w:asciiTheme="minorHAnsi" w:hAnsiTheme="minorHAnsi" w:cstheme="minorHAnsi"/>
          <w:sz w:val="22"/>
        </w:rPr>
      </w:pPr>
      <w:r>
        <w:rPr>
          <w:rFonts w:asciiTheme="minorHAnsi" w:hAnsiTheme="minorHAnsi" w:cstheme="minorHAnsi"/>
          <w:sz w:val="22"/>
        </w:rPr>
        <w:t>B</w:t>
      </w:r>
      <w:r w:rsidRPr="002707FB">
        <w:rPr>
          <w:rFonts w:asciiTheme="minorHAnsi" w:hAnsiTheme="minorHAnsi" w:cstheme="minorHAnsi"/>
          <w:sz w:val="22"/>
        </w:rPr>
        <w:t xml:space="preserve">oth countries </w:t>
      </w:r>
      <w:r>
        <w:rPr>
          <w:rFonts w:asciiTheme="minorHAnsi" w:hAnsiTheme="minorHAnsi" w:cstheme="minorHAnsi"/>
          <w:sz w:val="22"/>
        </w:rPr>
        <w:t>have</w:t>
      </w:r>
      <w:r w:rsidRPr="002707FB">
        <w:rPr>
          <w:rFonts w:asciiTheme="minorHAnsi" w:hAnsiTheme="minorHAnsi" w:cstheme="minorHAnsi"/>
          <w:sz w:val="22"/>
        </w:rPr>
        <w:t xml:space="preserve"> advanced economies with highly educated workforces, world-class research institutions, well-functioning capital markets, and national innovation strategies</w:t>
      </w:r>
      <w:r>
        <w:rPr>
          <w:rFonts w:asciiTheme="minorHAnsi" w:hAnsiTheme="minorHAnsi" w:cstheme="minorHAnsi"/>
          <w:sz w:val="22"/>
        </w:rPr>
        <w:t>.</w:t>
      </w:r>
      <w:r w:rsidRPr="002707FB">
        <w:rPr>
          <w:rFonts w:asciiTheme="minorHAnsi" w:hAnsiTheme="minorHAnsi" w:cstheme="minorHAnsi"/>
          <w:sz w:val="22"/>
        </w:rPr>
        <w:t xml:space="preserve"> </w:t>
      </w:r>
      <w:r>
        <w:rPr>
          <w:rFonts w:asciiTheme="minorHAnsi" w:hAnsiTheme="minorHAnsi" w:cstheme="minorHAnsi"/>
          <w:sz w:val="22"/>
        </w:rPr>
        <w:t>T</w:t>
      </w:r>
      <w:r w:rsidRPr="002707FB">
        <w:rPr>
          <w:rFonts w:asciiTheme="minorHAnsi" w:hAnsiTheme="minorHAnsi" w:cstheme="minorHAnsi"/>
          <w:sz w:val="22"/>
        </w:rPr>
        <w:t xml:space="preserve">heir business sectors would </w:t>
      </w:r>
      <w:r>
        <w:rPr>
          <w:rFonts w:asciiTheme="minorHAnsi" w:hAnsiTheme="minorHAnsi" w:cstheme="minorHAnsi"/>
          <w:sz w:val="22"/>
        </w:rPr>
        <w:t xml:space="preserve">therefore </w:t>
      </w:r>
      <w:r w:rsidRPr="002707FB">
        <w:rPr>
          <w:rFonts w:asciiTheme="minorHAnsi" w:hAnsiTheme="minorHAnsi" w:cstheme="minorHAnsi"/>
          <w:sz w:val="22"/>
        </w:rPr>
        <w:t>appear to be well positioned to benefit from technological opportunities. However, despite these strong fundamentals, both countries have weak records on business sector research a</w:t>
      </w:r>
      <w:r>
        <w:rPr>
          <w:rFonts w:asciiTheme="minorHAnsi" w:hAnsiTheme="minorHAnsi" w:cstheme="minorHAnsi"/>
          <w:sz w:val="22"/>
        </w:rPr>
        <w:t>nd development, the commercializ</w:t>
      </w:r>
      <w:r w:rsidRPr="002707FB">
        <w:rPr>
          <w:rFonts w:asciiTheme="minorHAnsi" w:hAnsiTheme="minorHAnsi" w:cstheme="minorHAnsi"/>
          <w:sz w:val="22"/>
        </w:rPr>
        <w:t>ation of academic research, and technology adoption by businesses</w:t>
      </w:r>
      <w:r>
        <w:rPr>
          <w:rFonts w:asciiTheme="minorHAnsi" w:hAnsiTheme="minorHAnsi" w:cstheme="minorHAnsi"/>
          <w:sz w:val="22"/>
        </w:rPr>
        <w:t xml:space="preserve"> (</w:t>
      </w:r>
      <w:r>
        <w:rPr>
          <w:rFonts w:asciiTheme="minorHAnsi" w:hAnsiTheme="minorHAnsi" w:cstheme="minorHAnsi"/>
          <w:b/>
          <w:sz w:val="22"/>
        </w:rPr>
        <w:t>Fig. 4</w:t>
      </w:r>
      <w:r>
        <w:rPr>
          <w:rFonts w:asciiTheme="minorHAnsi" w:hAnsiTheme="minorHAnsi" w:cstheme="minorHAnsi"/>
          <w:sz w:val="22"/>
        </w:rPr>
        <w:t>)</w:t>
      </w:r>
      <w:r w:rsidRPr="002707FB">
        <w:rPr>
          <w:rFonts w:asciiTheme="minorHAnsi" w:hAnsiTheme="minorHAnsi" w:cstheme="minorHAnsi"/>
          <w:sz w:val="22"/>
        </w:rPr>
        <w:t>.</w:t>
      </w:r>
      <w:r>
        <w:rPr>
          <w:rFonts w:asciiTheme="minorHAnsi" w:hAnsiTheme="minorHAnsi" w:cstheme="minorHAnsi"/>
          <w:sz w:val="22"/>
        </w:rPr>
        <w:t xml:space="preserve"> Both governments are exploring ways to address these weaknesses, and to support their business sectors to remain globally competitive and exploit new opportunities.</w:t>
      </w:r>
    </w:p>
    <w:p w14:paraId="0D89B77C" w14:textId="5CC4FAA8" w:rsidR="000B649B" w:rsidRPr="00457062" w:rsidRDefault="000B649B" w:rsidP="000B649B">
      <w:pPr>
        <w:keepNext/>
        <w:spacing w:line="240" w:lineRule="auto"/>
        <w:jc w:val="center"/>
        <w:rPr>
          <w:rFonts w:asciiTheme="minorHAnsi" w:eastAsia="Times New Roman" w:hAnsiTheme="minorHAnsi" w:cstheme="minorHAnsi"/>
          <w:b/>
        </w:rPr>
      </w:pPr>
      <w:r w:rsidRPr="00457062">
        <w:rPr>
          <w:rFonts w:asciiTheme="minorHAnsi" w:eastAsia="Times New Roman" w:hAnsiTheme="minorHAnsi" w:cstheme="minorHAnsi"/>
          <w:b/>
        </w:rPr>
        <w:t xml:space="preserve">Fig. </w:t>
      </w:r>
      <w:r w:rsidR="001F41AC">
        <w:rPr>
          <w:rFonts w:asciiTheme="minorHAnsi" w:eastAsia="Times New Roman" w:hAnsiTheme="minorHAnsi" w:cstheme="minorHAnsi"/>
          <w:b/>
        </w:rPr>
        <w:t>3</w:t>
      </w:r>
      <w:r w:rsidR="00563E5E">
        <w:rPr>
          <w:rFonts w:asciiTheme="minorHAnsi" w:eastAsia="Times New Roman" w:hAnsiTheme="minorHAnsi" w:cstheme="minorHAnsi"/>
          <w:b/>
        </w:rPr>
        <w:t xml:space="preserve"> </w:t>
      </w:r>
      <w:r w:rsidRPr="00457062">
        <w:rPr>
          <w:rFonts w:asciiTheme="minorHAnsi" w:eastAsia="Times New Roman" w:hAnsiTheme="minorHAnsi" w:cstheme="minorHAnsi"/>
          <w:b/>
        </w:rPr>
        <w:t>Innovation-related expenditure by businesses</w:t>
      </w:r>
    </w:p>
    <w:p w14:paraId="7750CF22" w14:textId="77777777" w:rsidR="000B649B" w:rsidRPr="002707FB" w:rsidRDefault="000B649B" w:rsidP="000B649B">
      <w:pPr>
        <w:spacing w:after="240" w:line="240" w:lineRule="auto"/>
        <w:rPr>
          <w:rFonts w:asciiTheme="minorHAnsi" w:hAnsiTheme="minorHAnsi" w:cstheme="minorHAnsi"/>
          <w:sz w:val="22"/>
        </w:rPr>
      </w:pPr>
      <w:r w:rsidRPr="002707FB">
        <w:rPr>
          <w:rFonts w:asciiTheme="minorHAnsi" w:hAnsiTheme="minorHAnsi" w:cstheme="minorHAnsi"/>
          <w:noProof/>
          <w:sz w:val="22"/>
          <w:lang w:val="en-US"/>
        </w:rPr>
        <w:drawing>
          <wp:inline distT="0" distB="0" distL="0" distR="0" wp14:anchorId="2443CB0F" wp14:editId="57D1C3D5">
            <wp:extent cx="2907665" cy="3090545"/>
            <wp:effectExtent l="0" t="0" r="6985"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707FB">
        <w:rPr>
          <w:rFonts w:asciiTheme="minorHAnsi" w:hAnsiTheme="minorHAnsi" w:cstheme="minorHAnsi"/>
          <w:noProof/>
          <w:sz w:val="22"/>
          <w:lang w:val="en-US"/>
        </w:rPr>
        <w:drawing>
          <wp:inline distT="0" distB="0" distL="0" distR="0" wp14:anchorId="2552A3DD" wp14:editId="0B34D88D">
            <wp:extent cx="3057525" cy="3092477"/>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cs="Times New Roman"/>
          <w:color w:val="0F243E" w:themeColor="text2" w:themeShade="80"/>
          <w:sz w:val="16"/>
          <w:szCs w:val="20"/>
        </w:rPr>
        <w:br/>
      </w:r>
      <w:r>
        <w:rPr>
          <w:rFonts w:cs="Times New Roman"/>
          <w:color w:val="0F243E" w:themeColor="text2" w:themeShade="80"/>
          <w:sz w:val="16"/>
          <w:szCs w:val="20"/>
        </w:rPr>
        <w:br/>
      </w:r>
      <w:r w:rsidRPr="00106FCF">
        <w:rPr>
          <w:rFonts w:ascii="Calibri" w:hAnsi="Calibri" w:cs="Calibri"/>
          <w:b/>
          <w:sz w:val="16"/>
          <w:szCs w:val="20"/>
        </w:rPr>
        <w:t>Source:</w:t>
      </w:r>
      <w:r w:rsidRPr="00106FCF">
        <w:rPr>
          <w:rFonts w:ascii="Calibri" w:hAnsi="Calibri" w:cs="Calibri"/>
          <w:sz w:val="16"/>
          <w:szCs w:val="20"/>
        </w:rPr>
        <w:t xml:space="preserve"> Left chart: OECD Science, Technology and Industry Scoreboard 2017. Right chart: OECD, Annual National Accounts Database, http://www.oecd.org/std/na, Eurostat and national sources, July 2017. *BERD for Australia is for 2016.</w:t>
      </w:r>
      <w:r w:rsidRPr="00106FCF">
        <w:rPr>
          <w:rFonts w:ascii="Calibri" w:hAnsi="Calibri" w:cs="Calibri"/>
          <w:sz w:val="16"/>
          <w:szCs w:val="20"/>
        </w:rPr>
        <w:br/>
      </w:r>
      <w:r w:rsidRPr="00106FCF">
        <w:rPr>
          <w:rFonts w:ascii="Calibri" w:hAnsi="Calibri" w:cs="Calibri"/>
          <w:b/>
          <w:sz w:val="16"/>
          <w:szCs w:val="20"/>
        </w:rPr>
        <w:t>Note:</w:t>
      </w:r>
      <w:r w:rsidRPr="00106FCF">
        <w:rPr>
          <w:rFonts w:ascii="Calibri" w:hAnsi="Calibri" w:cs="Calibri"/>
          <w:sz w:val="16"/>
          <w:szCs w:val="20"/>
        </w:rPr>
        <w:t xml:space="preserve"> Note: Knowledge based capital investment here refers to investment in research and innovation, software and databases and excludes investments in organizational capital and training.</w:t>
      </w:r>
    </w:p>
    <w:p w14:paraId="7227494E" w14:textId="77777777" w:rsidR="000B649B" w:rsidRPr="002707F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 xml:space="preserve">Both governments must </w:t>
      </w:r>
      <w:r>
        <w:rPr>
          <w:rFonts w:asciiTheme="minorHAnsi" w:hAnsiTheme="minorHAnsi" w:cstheme="minorHAnsi"/>
          <w:sz w:val="22"/>
        </w:rPr>
        <w:t>also support businesses and workers</w:t>
      </w:r>
      <w:r w:rsidRPr="002707FB">
        <w:rPr>
          <w:rFonts w:asciiTheme="minorHAnsi" w:hAnsiTheme="minorHAnsi" w:cstheme="minorHAnsi"/>
          <w:sz w:val="22"/>
        </w:rPr>
        <w:t xml:space="preserve"> </w:t>
      </w:r>
      <w:r>
        <w:rPr>
          <w:rFonts w:asciiTheme="minorHAnsi" w:hAnsiTheme="minorHAnsi" w:cstheme="minorHAnsi"/>
          <w:sz w:val="22"/>
        </w:rPr>
        <w:t>to adjust to new realities</w:t>
      </w:r>
      <w:r w:rsidRPr="002707FB">
        <w:rPr>
          <w:rFonts w:asciiTheme="minorHAnsi" w:hAnsiTheme="minorHAnsi" w:cstheme="minorHAnsi"/>
          <w:sz w:val="22"/>
        </w:rPr>
        <w:t xml:space="preserve"> </w:t>
      </w:r>
      <w:r>
        <w:rPr>
          <w:rFonts w:asciiTheme="minorHAnsi" w:hAnsiTheme="minorHAnsi" w:cstheme="minorHAnsi"/>
          <w:sz w:val="22"/>
        </w:rPr>
        <w:t xml:space="preserve">and </w:t>
      </w:r>
      <w:r w:rsidRPr="002707FB">
        <w:rPr>
          <w:rFonts w:asciiTheme="minorHAnsi" w:hAnsiTheme="minorHAnsi" w:cstheme="minorHAnsi"/>
          <w:sz w:val="22"/>
        </w:rPr>
        <w:t>navigate tension</w:t>
      </w:r>
      <w:r>
        <w:rPr>
          <w:rFonts w:asciiTheme="minorHAnsi" w:hAnsiTheme="minorHAnsi" w:cstheme="minorHAnsi"/>
          <w:sz w:val="22"/>
        </w:rPr>
        <w:t>s</w:t>
      </w:r>
      <w:r w:rsidRPr="002707FB">
        <w:rPr>
          <w:rFonts w:asciiTheme="minorHAnsi" w:hAnsiTheme="minorHAnsi" w:cstheme="minorHAnsi"/>
          <w:sz w:val="22"/>
        </w:rPr>
        <w:t xml:space="preserve"> </w:t>
      </w:r>
      <w:r>
        <w:rPr>
          <w:rFonts w:asciiTheme="minorHAnsi" w:hAnsiTheme="minorHAnsi" w:cstheme="minorHAnsi"/>
          <w:sz w:val="22"/>
        </w:rPr>
        <w:t>where</w:t>
      </w:r>
      <w:r w:rsidRPr="002707FB">
        <w:rPr>
          <w:rFonts w:asciiTheme="minorHAnsi" w:hAnsiTheme="minorHAnsi" w:cstheme="minorHAnsi"/>
          <w:sz w:val="22"/>
        </w:rPr>
        <w:t xml:space="preserve"> businesses </w:t>
      </w:r>
      <w:r>
        <w:rPr>
          <w:rFonts w:asciiTheme="minorHAnsi" w:hAnsiTheme="minorHAnsi" w:cstheme="minorHAnsi"/>
          <w:sz w:val="22"/>
        </w:rPr>
        <w:t xml:space="preserve">fail. </w:t>
      </w:r>
      <w:r w:rsidRPr="002707FB">
        <w:rPr>
          <w:rFonts w:asciiTheme="minorHAnsi" w:hAnsiTheme="minorHAnsi" w:cstheme="minorHAnsi"/>
          <w:sz w:val="22"/>
        </w:rPr>
        <w:t xml:space="preserve">Both </w:t>
      </w:r>
      <w:r>
        <w:rPr>
          <w:rFonts w:asciiTheme="minorHAnsi" w:hAnsiTheme="minorHAnsi" w:cstheme="minorHAnsi"/>
          <w:sz w:val="22"/>
        </w:rPr>
        <w:t xml:space="preserve">the </w:t>
      </w:r>
      <w:r w:rsidRPr="002707FB">
        <w:rPr>
          <w:rFonts w:asciiTheme="minorHAnsi" w:hAnsiTheme="minorHAnsi" w:cstheme="minorHAnsi"/>
          <w:sz w:val="22"/>
        </w:rPr>
        <w:t>Australia</w:t>
      </w:r>
      <w:r>
        <w:rPr>
          <w:rFonts w:asciiTheme="minorHAnsi" w:hAnsiTheme="minorHAnsi" w:cstheme="minorHAnsi"/>
          <w:sz w:val="22"/>
        </w:rPr>
        <w:t>n</w:t>
      </w:r>
      <w:r w:rsidRPr="002707FB">
        <w:rPr>
          <w:rFonts w:asciiTheme="minorHAnsi" w:hAnsiTheme="minorHAnsi" w:cstheme="minorHAnsi"/>
          <w:sz w:val="22"/>
        </w:rPr>
        <w:t xml:space="preserve"> and Canad</w:t>
      </w:r>
      <w:r>
        <w:rPr>
          <w:rFonts w:asciiTheme="minorHAnsi" w:hAnsiTheme="minorHAnsi" w:cstheme="minorHAnsi"/>
          <w:sz w:val="22"/>
        </w:rPr>
        <w:t>ian Governments</w:t>
      </w:r>
      <w:r w:rsidRPr="002707FB">
        <w:rPr>
          <w:rFonts w:asciiTheme="minorHAnsi" w:hAnsiTheme="minorHAnsi" w:cstheme="minorHAnsi"/>
          <w:sz w:val="22"/>
        </w:rPr>
        <w:t xml:space="preserve"> are pursuing policies to enable businesses across their </w:t>
      </w:r>
      <w:r>
        <w:rPr>
          <w:rFonts w:asciiTheme="minorHAnsi" w:hAnsiTheme="minorHAnsi" w:cstheme="minorHAnsi"/>
          <w:sz w:val="22"/>
        </w:rPr>
        <w:t xml:space="preserve">diverse industries and </w:t>
      </w:r>
      <w:r w:rsidRPr="002707FB">
        <w:rPr>
          <w:rFonts w:asciiTheme="minorHAnsi" w:hAnsiTheme="minorHAnsi" w:cstheme="minorHAnsi"/>
          <w:sz w:val="22"/>
        </w:rPr>
        <w:t>wide territories to adjust to the changing conditions</w:t>
      </w:r>
      <w:r>
        <w:rPr>
          <w:rFonts w:asciiTheme="minorHAnsi" w:hAnsiTheme="minorHAnsi" w:cstheme="minorHAnsi"/>
          <w:sz w:val="22"/>
        </w:rPr>
        <w:t>.</w:t>
      </w:r>
      <w:r w:rsidRPr="002707FB">
        <w:rPr>
          <w:rFonts w:asciiTheme="minorHAnsi" w:hAnsiTheme="minorHAnsi" w:cstheme="minorHAnsi"/>
          <w:sz w:val="22"/>
        </w:rPr>
        <w:t xml:space="preserve"> </w:t>
      </w:r>
      <w:r>
        <w:rPr>
          <w:rFonts w:asciiTheme="minorHAnsi" w:hAnsiTheme="minorHAnsi" w:cstheme="minorHAnsi"/>
          <w:sz w:val="22"/>
        </w:rPr>
        <w:t xml:space="preserve">These policies </w:t>
      </w:r>
      <w:r w:rsidRPr="002707FB">
        <w:rPr>
          <w:rFonts w:asciiTheme="minorHAnsi" w:hAnsiTheme="minorHAnsi" w:cstheme="minorHAnsi"/>
          <w:sz w:val="22"/>
        </w:rPr>
        <w:t>includ</w:t>
      </w:r>
      <w:r>
        <w:rPr>
          <w:rFonts w:asciiTheme="minorHAnsi" w:hAnsiTheme="minorHAnsi" w:cstheme="minorHAnsi"/>
          <w:sz w:val="22"/>
        </w:rPr>
        <w:t>e</w:t>
      </w:r>
      <w:r w:rsidRPr="002707FB">
        <w:rPr>
          <w:rFonts w:asciiTheme="minorHAnsi" w:hAnsiTheme="minorHAnsi" w:cstheme="minorHAnsi"/>
          <w:sz w:val="22"/>
        </w:rPr>
        <w:t xml:space="preserve"> support for the transformation of traditional industries like resources, agriculture</w:t>
      </w:r>
      <w:r>
        <w:rPr>
          <w:rFonts w:asciiTheme="minorHAnsi" w:hAnsiTheme="minorHAnsi" w:cstheme="minorHAnsi"/>
          <w:sz w:val="22"/>
        </w:rPr>
        <w:t>,</w:t>
      </w:r>
      <w:r w:rsidRPr="002707FB">
        <w:rPr>
          <w:rFonts w:asciiTheme="minorHAnsi" w:hAnsiTheme="minorHAnsi" w:cstheme="minorHAnsi"/>
          <w:sz w:val="22"/>
        </w:rPr>
        <w:t xml:space="preserve"> and manufacturing. </w:t>
      </w:r>
      <w:r w:rsidRPr="002707FB">
        <w:rPr>
          <w:rFonts w:asciiTheme="minorHAnsi" w:eastAsia="Calibri" w:hAnsiTheme="minorHAnsi" w:cstheme="minorHAnsi"/>
          <w:sz w:val="22"/>
        </w:rPr>
        <w:t xml:space="preserve">In 2017 the </w:t>
      </w:r>
      <w:r>
        <w:rPr>
          <w:rFonts w:asciiTheme="minorHAnsi" w:eastAsia="Calibri" w:hAnsiTheme="minorHAnsi" w:cstheme="minorHAnsi"/>
          <w:sz w:val="22"/>
        </w:rPr>
        <w:t>Canadian Government</w:t>
      </w:r>
      <w:r w:rsidRPr="002707FB">
        <w:rPr>
          <w:rFonts w:asciiTheme="minorHAnsi" w:eastAsia="Calibri" w:hAnsiTheme="minorHAnsi" w:cstheme="minorHAnsi"/>
          <w:sz w:val="22"/>
        </w:rPr>
        <w:t xml:space="preserve"> established industry-led Economic Strategy Tables to support innovation in six key emerging sectors. This initiative is similar to the Australian</w:t>
      </w:r>
      <w:r w:rsidRPr="002707FB">
        <w:rPr>
          <w:rFonts w:asciiTheme="minorHAnsi" w:hAnsiTheme="minorHAnsi" w:cstheme="minorHAnsi"/>
          <w:sz w:val="22"/>
        </w:rPr>
        <w:t xml:space="preserve"> </w:t>
      </w:r>
      <w:r w:rsidRPr="002707FB">
        <w:rPr>
          <w:rFonts w:asciiTheme="minorHAnsi" w:eastAsia="Calibri" w:hAnsiTheme="minorHAnsi" w:cstheme="minorHAnsi"/>
          <w:sz w:val="22"/>
        </w:rPr>
        <w:t>Indu</w:t>
      </w:r>
      <w:r>
        <w:rPr>
          <w:rFonts w:asciiTheme="minorHAnsi" w:eastAsia="Calibri" w:hAnsiTheme="minorHAnsi" w:cstheme="minorHAnsi"/>
          <w:sz w:val="22"/>
        </w:rPr>
        <w:t xml:space="preserve">stry Growth Centres Initiative </w:t>
      </w:r>
      <w:r w:rsidRPr="002707FB">
        <w:rPr>
          <w:rFonts w:asciiTheme="minorHAnsi" w:eastAsia="Calibri" w:hAnsiTheme="minorHAnsi" w:cstheme="minorHAnsi"/>
          <w:sz w:val="22"/>
        </w:rPr>
        <w:t xml:space="preserve">launched in 2014 to address barriers in sectors </w:t>
      </w:r>
      <w:r w:rsidRPr="00861764">
        <w:rPr>
          <w:rFonts w:asciiTheme="minorHAnsi" w:eastAsia="Calibri" w:hAnsiTheme="minorHAnsi" w:cstheme="minorHAnsi"/>
          <w:sz w:val="22"/>
        </w:rPr>
        <w:t>of competitive strength and strategic priority</w:t>
      </w:r>
      <w:r>
        <w:rPr>
          <w:rFonts w:asciiTheme="minorHAnsi" w:eastAsia="Calibri" w:hAnsiTheme="minorHAnsi" w:cstheme="minorHAnsi"/>
          <w:sz w:val="22"/>
        </w:rPr>
        <w:t>. The Growth Centres’ Sector Competitiveness Plans outline 10-year strategies</w:t>
      </w:r>
      <w:r w:rsidRPr="00462E8E">
        <w:rPr>
          <w:rFonts w:asciiTheme="minorHAnsi" w:eastAsia="Calibri" w:hAnsiTheme="minorHAnsi" w:cstheme="minorHAnsi"/>
          <w:sz w:val="22"/>
        </w:rPr>
        <w:t xml:space="preserve"> to support the future of their sectors</w:t>
      </w:r>
      <w:r>
        <w:rPr>
          <w:rFonts w:asciiTheme="minorHAnsi" w:eastAsia="Calibri" w:hAnsiTheme="minorHAnsi" w:cstheme="minorHAnsi"/>
          <w:sz w:val="22"/>
        </w:rPr>
        <w:t>, including identifying knowledge and skills gaps that must be addressed to stay competitive</w:t>
      </w:r>
      <w:r w:rsidRPr="00462E8E">
        <w:rPr>
          <w:rFonts w:asciiTheme="minorHAnsi" w:eastAsia="Calibri" w:hAnsiTheme="minorHAnsi" w:cstheme="minorHAnsi"/>
          <w:sz w:val="22"/>
        </w:rPr>
        <w:t>.</w:t>
      </w:r>
    </w:p>
    <w:p w14:paraId="68341C36" w14:textId="6D64E2DF" w:rsidR="000B649B" w:rsidRPr="002707F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As business</w:t>
      </w:r>
      <w:r>
        <w:rPr>
          <w:rFonts w:asciiTheme="minorHAnsi" w:hAnsiTheme="minorHAnsi" w:cstheme="minorHAnsi"/>
          <w:sz w:val="22"/>
        </w:rPr>
        <w:t xml:space="preserve"> models adapt to globaliz</w:t>
      </w:r>
      <w:r w:rsidRPr="002707FB">
        <w:rPr>
          <w:rFonts w:asciiTheme="minorHAnsi" w:hAnsiTheme="minorHAnsi" w:cstheme="minorHAnsi"/>
          <w:sz w:val="22"/>
        </w:rPr>
        <w:t xml:space="preserve">ation and the possibilities </w:t>
      </w:r>
      <w:r>
        <w:rPr>
          <w:rFonts w:asciiTheme="minorHAnsi" w:hAnsiTheme="minorHAnsi" w:cstheme="minorHAnsi"/>
          <w:sz w:val="22"/>
        </w:rPr>
        <w:t>afforded</w:t>
      </w:r>
      <w:r w:rsidRPr="002707FB">
        <w:rPr>
          <w:rFonts w:asciiTheme="minorHAnsi" w:hAnsiTheme="minorHAnsi" w:cstheme="minorHAnsi"/>
          <w:sz w:val="22"/>
        </w:rPr>
        <w:t xml:space="preserve"> by digital technology, concerns are emerging that corporate tax, competition, and regulatory settings are not keeping pace. Both </w:t>
      </w:r>
      <w:r>
        <w:rPr>
          <w:rFonts w:asciiTheme="minorHAnsi" w:hAnsiTheme="minorHAnsi" w:cstheme="minorHAnsi"/>
          <w:sz w:val="22"/>
        </w:rPr>
        <w:t xml:space="preserve">the </w:t>
      </w:r>
      <w:r w:rsidRPr="002707FB">
        <w:rPr>
          <w:rFonts w:asciiTheme="minorHAnsi" w:hAnsiTheme="minorHAnsi" w:cstheme="minorHAnsi"/>
          <w:sz w:val="22"/>
        </w:rPr>
        <w:t>Australia</w:t>
      </w:r>
      <w:r>
        <w:rPr>
          <w:rFonts w:asciiTheme="minorHAnsi" w:hAnsiTheme="minorHAnsi" w:cstheme="minorHAnsi"/>
          <w:sz w:val="22"/>
        </w:rPr>
        <w:t>n</w:t>
      </w:r>
      <w:r w:rsidRPr="002707FB">
        <w:rPr>
          <w:rFonts w:asciiTheme="minorHAnsi" w:hAnsiTheme="minorHAnsi" w:cstheme="minorHAnsi"/>
          <w:sz w:val="22"/>
        </w:rPr>
        <w:t xml:space="preserve"> and Canad</w:t>
      </w:r>
      <w:r>
        <w:rPr>
          <w:rFonts w:asciiTheme="minorHAnsi" w:hAnsiTheme="minorHAnsi" w:cstheme="minorHAnsi"/>
          <w:sz w:val="22"/>
        </w:rPr>
        <w:t>ian Governments</w:t>
      </w:r>
      <w:r w:rsidRPr="002707FB">
        <w:rPr>
          <w:rFonts w:asciiTheme="minorHAnsi" w:hAnsiTheme="minorHAnsi" w:cstheme="minorHAnsi"/>
          <w:sz w:val="22"/>
        </w:rPr>
        <w:t xml:space="preserve"> are grappling with how to regulate and tax business in a way that supports both incumbent and new firms’ global competitiveness and ability to innovate, while </w:t>
      </w:r>
      <w:r>
        <w:rPr>
          <w:rFonts w:asciiTheme="minorHAnsi" w:hAnsiTheme="minorHAnsi" w:cstheme="minorHAnsi"/>
          <w:sz w:val="22"/>
        </w:rPr>
        <w:t xml:space="preserve">protecting consumers, safeguarding the environment, and guarding against </w:t>
      </w:r>
      <w:r w:rsidRPr="002707FB">
        <w:rPr>
          <w:rFonts w:asciiTheme="minorHAnsi" w:hAnsiTheme="minorHAnsi" w:cstheme="minorHAnsi"/>
          <w:sz w:val="22"/>
        </w:rPr>
        <w:t>tax avoidance</w:t>
      </w:r>
      <w:r>
        <w:rPr>
          <w:rFonts w:asciiTheme="minorHAnsi" w:hAnsiTheme="minorHAnsi" w:cstheme="minorHAnsi"/>
          <w:sz w:val="22"/>
        </w:rPr>
        <w:t>.</w:t>
      </w:r>
      <w:r w:rsidR="00915332">
        <w:rPr>
          <w:rStyle w:val="EndnoteReference"/>
          <w:rFonts w:asciiTheme="minorHAnsi" w:hAnsiTheme="minorHAnsi" w:cstheme="minorHAnsi"/>
          <w:sz w:val="22"/>
        </w:rPr>
        <w:endnoteReference w:id="10"/>
      </w:r>
      <w:r w:rsidRPr="002707FB">
        <w:rPr>
          <w:rFonts w:asciiTheme="minorHAnsi" w:hAnsiTheme="minorHAnsi" w:cstheme="minorHAnsi"/>
          <w:sz w:val="22"/>
        </w:rPr>
        <w:t xml:space="preserve"> </w:t>
      </w:r>
    </w:p>
    <w:p w14:paraId="322B2C98" w14:textId="77777777" w:rsidR="000B649B" w:rsidRPr="002707FB" w:rsidRDefault="000B649B" w:rsidP="000B649B">
      <w:pPr>
        <w:pStyle w:val="Heading2"/>
        <w:rPr>
          <w:rFonts w:asciiTheme="minorHAnsi" w:hAnsiTheme="minorHAnsi" w:cstheme="minorHAnsi"/>
          <w:sz w:val="22"/>
        </w:rPr>
      </w:pPr>
      <w:r w:rsidRPr="002707FB">
        <w:rPr>
          <w:rFonts w:asciiTheme="minorHAnsi" w:hAnsiTheme="minorHAnsi" w:cstheme="minorHAnsi"/>
          <w:sz w:val="22"/>
        </w:rPr>
        <w:t>Australian challenges and policy responses</w:t>
      </w:r>
    </w:p>
    <w:p w14:paraId="3D5A890D" w14:textId="77871ED9" w:rsidR="000B649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Australian industry and innovation policy contributes, directly and indirectly, to the well</w:t>
      </w:r>
      <w:r>
        <w:rPr>
          <w:rFonts w:asciiTheme="minorHAnsi" w:hAnsiTheme="minorHAnsi" w:cstheme="minorHAnsi"/>
          <w:sz w:val="22"/>
        </w:rPr>
        <w:t>-</w:t>
      </w:r>
      <w:r w:rsidRPr="002707FB">
        <w:rPr>
          <w:rFonts w:asciiTheme="minorHAnsi" w:hAnsiTheme="minorHAnsi" w:cstheme="minorHAnsi"/>
          <w:sz w:val="22"/>
        </w:rPr>
        <w:t xml:space="preserve">being of Australians by helping to raise real incomes, fostering the creation of high-value jobs, and improving Australians’ standard of living. It seeks to </w:t>
      </w:r>
      <w:r w:rsidRPr="008C12AA">
        <w:rPr>
          <w:rFonts w:asciiTheme="minorHAnsi" w:hAnsiTheme="minorHAnsi" w:cstheme="minorHAnsi"/>
          <w:sz w:val="22"/>
        </w:rPr>
        <w:t>boost Australia’s competitiveness and facilitate economic transformation by backing business, science, innovation</w:t>
      </w:r>
      <w:r>
        <w:rPr>
          <w:rFonts w:asciiTheme="minorHAnsi" w:hAnsiTheme="minorHAnsi" w:cstheme="minorHAnsi"/>
          <w:sz w:val="22"/>
        </w:rPr>
        <w:t>,</w:t>
      </w:r>
      <w:r w:rsidRPr="008C12AA">
        <w:rPr>
          <w:rFonts w:asciiTheme="minorHAnsi" w:hAnsiTheme="minorHAnsi" w:cstheme="minorHAnsi"/>
          <w:sz w:val="22"/>
        </w:rPr>
        <w:t xml:space="preserve"> and investment.</w:t>
      </w:r>
      <w:r>
        <w:rPr>
          <w:rFonts w:asciiTheme="minorHAnsi" w:hAnsiTheme="minorHAnsi" w:cstheme="minorHAnsi"/>
          <w:sz w:val="22"/>
        </w:rPr>
        <w:t xml:space="preserve"> In the 2018-19 Budget, the Australian Government invested</w:t>
      </w:r>
      <w:r w:rsidRPr="004D2BE9">
        <w:rPr>
          <w:rFonts w:asciiTheme="minorHAnsi" w:hAnsiTheme="minorHAnsi" w:cstheme="minorHAnsi"/>
          <w:sz w:val="22"/>
        </w:rPr>
        <w:t xml:space="preserve"> $2.4 billion into research, science, and technology, including in research infrastructure, AI, skills development, and export competitiveness</w:t>
      </w:r>
      <w:r w:rsidRPr="00D72D89">
        <w:rPr>
          <w:rFonts w:asciiTheme="minorHAnsi" w:hAnsiTheme="minorHAnsi" w:cstheme="minorHAnsi"/>
          <w:sz w:val="22"/>
        </w:rPr>
        <w:t>.</w:t>
      </w:r>
      <w:r>
        <w:rPr>
          <w:rFonts w:asciiTheme="minorHAnsi" w:hAnsiTheme="minorHAnsi" w:cstheme="minorHAnsi"/>
          <w:sz w:val="22"/>
        </w:rPr>
        <w:t xml:space="preserve"> The Australian Government is also promoting a strong, safe, and inclusive digital economy through a na</w:t>
      </w:r>
      <w:r w:rsidR="00B739CE">
        <w:rPr>
          <w:rFonts w:asciiTheme="minorHAnsi" w:hAnsiTheme="minorHAnsi" w:cstheme="minorHAnsi"/>
          <w:sz w:val="22"/>
        </w:rPr>
        <w:t>tional digital economy strategy.</w:t>
      </w:r>
    </w:p>
    <w:p w14:paraId="55489CA6" w14:textId="37FC90BE" w:rsidR="000B649B" w:rsidRDefault="000B649B" w:rsidP="000B649B">
      <w:pPr>
        <w:spacing w:line="240" w:lineRule="auto"/>
        <w:rPr>
          <w:rFonts w:asciiTheme="minorHAnsi" w:hAnsiTheme="minorHAnsi" w:cstheme="minorHAnsi"/>
          <w:sz w:val="22"/>
        </w:rPr>
      </w:pPr>
      <w:r>
        <w:rPr>
          <w:rFonts w:asciiTheme="minorHAnsi" w:hAnsiTheme="minorHAnsi" w:cstheme="minorHAnsi"/>
          <w:sz w:val="22"/>
        </w:rPr>
        <w:t xml:space="preserve">The increasingly digital economy presents new challenges and opportunities for Australian businesses. While </w:t>
      </w:r>
      <w:r w:rsidRPr="00E7718E">
        <w:rPr>
          <w:rFonts w:asciiTheme="minorHAnsi" w:hAnsiTheme="minorHAnsi" w:cstheme="minorHAnsi"/>
          <w:sz w:val="22"/>
        </w:rPr>
        <w:t xml:space="preserve">Australian citizens are voracious users of digital technologies and services, there isn’t the same level of usage or adoption among </w:t>
      </w:r>
      <w:r>
        <w:rPr>
          <w:rFonts w:asciiTheme="minorHAnsi" w:hAnsiTheme="minorHAnsi" w:cstheme="minorHAnsi"/>
          <w:sz w:val="22"/>
        </w:rPr>
        <w:t xml:space="preserve">businesses—particularly </w:t>
      </w:r>
      <w:r w:rsidRPr="00E7718E">
        <w:rPr>
          <w:rFonts w:asciiTheme="minorHAnsi" w:hAnsiTheme="minorHAnsi" w:cstheme="minorHAnsi"/>
          <w:sz w:val="22"/>
        </w:rPr>
        <w:t>small businesses</w:t>
      </w:r>
      <w:r>
        <w:rPr>
          <w:rFonts w:asciiTheme="minorHAnsi" w:hAnsiTheme="minorHAnsi" w:cstheme="minorHAnsi"/>
          <w:sz w:val="22"/>
        </w:rPr>
        <w:t>. The March 2018 report to government by the Prime Minister’s Small Business Digital Taskforce identified barriers stopping Australian SMEs from adopting digital tools, such as feeling they lack the necessary skills or trusted information.</w:t>
      </w:r>
      <w:r w:rsidR="00167B8B">
        <w:rPr>
          <w:rStyle w:val="EndnoteReference"/>
          <w:rFonts w:asciiTheme="minorHAnsi" w:hAnsiTheme="minorHAnsi" w:cstheme="minorHAnsi"/>
          <w:sz w:val="22"/>
        </w:rPr>
        <w:endnoteReference w:id="11"/>
      </w:r>
      <w:r>
        <w:rPr>
          <w:rFonts w:asciiTheme="minorHAnsi" w:hAnsiTheme="minorHAnsi" w:cstheme="minorHAnsi"/>
          <w:sz w:val="22"/>
        </w:rPr>
        <w:t xml:space="preserve"> The Australian Government’s response to the taskforce recommendations seeks to address these challenges.</w:t>
      </w:r>
    </w:p>
    <w:p w14:paraId="5DAE7FD8" w14:textId="4CB02E00" w:rsidR="000B649B" w:rsidRDefault="000B649B" w:rsidP="000B649B">
      <w:pPr>
        <w:spacing w:line="240" w:lineRule="auto"/>
        <w:rPr>
          <w:rFonts w:asciiTheme="minorHAnsi" w:hAnsiTheme="minorHAnsi" w:cstheme="minorHAnsi"/>
          <w:sz w:val="22"/>
        </w:rPr>
      </w:pPr>
      <w:r>
        <w:rPr>
          <w:rFonts w:asciiTheme="minorHAnsi" w:hAnsiTheme="minorHAnsi" w:cstheme="minorHAnsi"/>
          <w:sz w:val="22"/>
        </w:rPr>
        <w:t xml:space="preserve">The Australian Government recognises that an increasingly digital economy also requires government to adapt and to ensure that regulatory and institutional frameworks enable business innovation and competitiveness. </w:t>
      </w:r>
      <w:r w:rsidRPr="002707FB">
        <w:rPr>
          <w:rFonts w:asciiTheme="minorHAnsi" w:hAnsiTheme="minorHAnsi" w:cstheme="minorHAnsi"/>
          <w:sz w:val="22"/>
        </w:rPr>
        <w:t xml:space="preserve">For example, Australia’s independent Productivity Commission has identified the potential </w:t>
      </w:r>
      <w:r>
        <w:rPr>
          <w:rFonts w:asciiTheme="minorHAnsi" w:hAnsiTheme="minorHAnsi" w:cstheme="minorHAnsi"/>
          <w:sz w:val="22"/>
        </w:rPr>
        <w:t>for</w:t>
      </w:r>
      <w:r w:rsidRPr="002707FB">
        <w:rPr>
          <w:rFonts w:asciiTheme="minorHAnsi" w:hAnsiTheme="minorHAnsi" w:cstheme="minorHAnsi"/>
          <w:sz w:val="22"/>
        </w:rPr>
        <w:t xml:space="preserve"> major productivity gains</w:t>
      </w:r>
      <w:r>
        <w:rPr>
          <w:rFonts w:asciiTheme="minorHAnsi" w:hAnsiTheme="minorHAnsi" w:cstheme="minorHAnsi"/>
          <w:sz w:val="22"/>
        </w:rPr>
        <w:t xml:space="preserve"> </w:t>
      </w:r>
      <w:r w:rsidRPr="002707FB">
        <w:rPr>
          <w:rFonts w:asciiTheme="minorHAnsi" w:hAnsiTheme="minorHAnsi" w:cstheme="minorHAnsi"/>
          <w:sz w:val="22"/>
        </w:rPr>
        <w:t>from innovative use</w:t>
      </w:r>
      <w:r>
        <w:rPr>
          <w:rFonts w:asciiTheme="minorHAnsi" w:hAnsiTheme="minorHAnsi" w:cstheme="minorHAnsi"/>
          <w:sz w:val="22"/>
        </w:rPr>
        <w:t>s</w:t>
      </w:r>
      <w:r w:rsidRPr="002707FB">
        <w:rPr>
          <w:rFonts w:asciiTheme="minorHAnsi" w:hAnsiTheme="minorHAnsi" w:cstheme="minorHAnsi"/>
          <w:sz w:val="22"/>
        </w:rPr>
        <w:t xml:space="preserve"> of data.</w:t>
      </w:r>
      <w:r w:rsidR="003659E9">
        <w:rPr>
          <w:rStyle w:val="EndnoteReference"/>
          <w:rFonts w:asciiTheme="minorHAnsi" w:hAnsiTheme="minorHAnsi" w:cstheme="minorHAnsi"/>
          <w:sz w:val="22"/>
        </w:rPr>
        <w:endnoteReference w:id="12"/>
      </w:r>
      <w:r w:rsidRPr="002707FB">
        <w:rPr>
          <w:rFonts w:asciiTheme="minorHAnsi" w:hAnsiTheme="minorHAnsi" w:cstheme="minorHAnsi"/>
          <w:sz w:val="22"/>
        </w:rPr>
        <w:t xml:space="preserve"> However, the </w:t>
      </w:r>
      <w:r>
        <w:rPr>
          <w:rFonts w:asciiTheme="minorHAnsi" w:hAnsiTheme="minorHAnsi" w:cstheme="minorHAnsi"/>
          <w:sz w:val="22"/>
        </w:rPr>
        <w:t>ability</w:t>
      </w:r>
      <w:r w:rsidRPr="002707FB">
        <w:rPr>
          <w:rFonts w:asciiTheme="minorHAnsi" w:hAnsiTheme="minorHAnsi" w:cstheme="minorHAnsi"/>
          <w:sz w:val="22"/>
        </w:rPr>
        <w:t xml:space="preserve"> of businesses to innovate using data</w:t>
      </w:r>
      <w:r>
        <w:rPr>
          <w:rFonts w:asciiTheme="minorHAnsi" w:hAnsiTheme="minorHAnsi" w:cstheme="minorHAnsi"/>
          <w:sz w:val="22"/>
        </w:rPr>
        <w:t>—</w:t>
      </w:r>
      <w:r w:rsidRPr="002707FB">
        <w:rPr>
          <w:rFonts w:asciiTheme="minorHAnsi" w:hAnsiTheme="minorHAnsi" w:cstheme="minorHAnsi"/>
          <w:sz w:val="22"/>
        </w:rPr>
        <w:t>including by deploying AI approaches</w:t>
      </w:r>
      <w:r>
        <w:rPr>
          <w:rFonts w:asciiTheme="minorHAnsi" w:hAnsiTheme="minorHAnsi" w:cstheme="minorHAnsi"/>
          <w:sz w:val="22"/>
        </w:rPr>
        <w:t>—</w:t>
      </w:r>
      <w:r w:rsidRPr="002707FB">
        <w:rPr>
          <w:rFonts w:asciiTheme="minorHAnsi" w:hAnsiTheme="minorHAnsi" w:cstheme="minorHAnsi"/>
          <w:sz w:val="22"/>
        </w:rPr>
        <w:t>depends on having a social license to do so, and clarity around the legally and ethically acceptable parameters</w:t>
      </w:r>
      <w:r>
        <w:rPr>
          <w:rFonts w:asciiTheme="minorHAnsi" w:hAnsiTheme="minorHAnsi" w:cstheme="minorHAnsi"/>
          <w:sz w:val="22"/>
        </w:rPr>
        <w:t>.</w:t>
      </w:r>
      <w:r>
        <w:rPr>
          <w:rStyle w:val="EndnoteReference"/>
          <w:rFonts w:asciiTheme="minorHAnsi" w:hAnsiTheme="minorHAnsi" w:cstheme="minorHAnsi"/>
          <w:sz w:val="22"/>
        </w:rPr>
        <w:endnoteReference w:id="13"/>
      </w:r>
      <w:r>
        <w:rPr>
          <w:rFonts w:asciiTheme="minorHAnsi" w:hAnsiTheme="minorHAnsi" w:cstheme="minorHAnsi"/>
          <w:sz w:val="22"/>
        </w:rPr>
        <w:t xml:space="preserve"> Regulatory uncertainty can undermine </w:t>
      </w:r>
      <w:r w:rsidRPr="002707FB">
        <w:rPr>
          <w:rFonts w:asciiTheme="minorHAnsi" w:hAnsiTheme="minorHAnsi" w:cstheme="minorHAnsi"/>
          <w:sz w:val="22"/>
        </w:rPr>
        <w:t>business</w:t>
      </w:r>
      <w:r>
        <w:rPr>
          <w:rFonts w:asciiTheme="minorHAnsi" w:hAnsiTheme="minorHAnsi" w:cstheme="minorHAnsi"/>
          <w:sz w:val="22"/>
        </w:rPr>
        <w:t>es’ ability to plan effectively and</w:t>
      </w:r>
      <w:r w:rsidRPr="002707FB">
        <w:rPr>
          <w:rFonts w:asciiTheme="minorHAnsi" w:hAnsiTheme="minorHAnsi" w:cstheme="minorHAnsi"/>
          <w:sz w:val="22"/>
        </w:rPr>
        <w:t xml:space="preserve"> </w:t>
      </w:r>
      <w:r>
        <w:rPr>
          <w:rFonts w:asciiTheme="minorHAnsi" w:hAnsiTheme="minorHAnsi" w:cstheme="minorHAnsi"/>
          <w:sz w:val="22"/>
        </w:rPr>
        <w:t xml:space="preserve">thus </w:t>
      </w:r>
      <w:r w:rsidRPr="002707FB">
        <w:rPr>
          <w:rFonts w:asciiTheme="minorHAnsi" w:hAnsiTheme="minorHAnsi" w:cstheme="minorHAnsi"/>
          <w:sz w:val="22"/>
        </w:rPr>
        <w:t>delay prod</w:t>
      </w:r>
      <w:r>
        <w:rPr>
          <w:rFonts w:asciiTheme="minorHAnsi" w:hAnsiTheme="minorHAnsi" w:cstheme="minorHAnsi"/>
          <w:sz w:val="22"/>
        </w:rPr>
        <w:t>uctivity-enhancing innovations.</w:t>
      </w:r>
    </w:p>
    <w:p w14:paraId="0A6B5EC2" w14:textId="77777777" w:rsidR="000B649B" w:rsidRPr="002707F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To protect customers and provide clarity for businesses,</w:t>
      </w:r>
      <w:r>
        <w:rPr>
          <w:rFonts w:asciiTheme="minorHAnsi" w:hAnsiTheme="minorHAnsi" w:cstheme="minorHAnsi"/>
          <w:sz w:val="22"/>
        </w:rPr>
        <w:t xml:space="preserve"> the Australian Government has recently </w:t>
      </w:r>
      <w:r w:rsidRPr="00D57530">
        <w:rPr>
          <w:rFonts w:asciiTheme="minorHAnsi" w:hAnsiTheme="minorHAnsi" w:cstheme="minorHAnsi"/>
          <w:sz w:val="22"/>
        </w:rPr>
        <w:t>establish</w:t>
      </w:r>
      <w:r>
        <w:rPr>
          <w:rFonts w:asciiTheme="minorHAnsi" w:hAnsiTheme="minorHAnsi" w:cstheme="minorHAnsi"/>
          <w:sz w:val="22"/>
        </w:rPr>
        <w:t>ed the Consumer Data Right and</w:t>
      </w:r>
      <w:r w:rsidRPr="00D57530">
        <w:rPr>
          <w:rFonts w:asciiTheme="minorHAnsi" w:hAnsiTheme="minorHAnsi" w:cstheme="minorHAnsi"/>
          <w:sz w:val="22"/>
        </w:rPr>
        <w:t xml:space="preserve"> </w:t>
      </w:r>
      <w:r>
        <w:rPr>
          <w:rFonts w:asciiTheme="minorHAnsi" w:hAnsiTheme="minorHAnsi" w:cstheme="minorHAnsi"/>
          <w:sz w:val="22"/>
        </w:rPr>
        <w:t>a National Data Commissioner; introduced</w:t>
      </w:r>
      <w:r w:rsidRPr="002707FB">
        <w:rPr>
          <w:rFonts w:asciiTheme="minorHAnsi" w:hAnsiTheme="minorHAnsi" w:cstheme="minorHAnsi"/>
          <w:sz w:val="22"/>
        </w:rPr>
        <w:t xml:space="preserve"> a Notifiable Data Breaches Scheme to ensure consumers are told if their pe</w:t>
      </w:r>
      <w:r>
        <w:rPr>
          <w:rFonts w:asciiTheme="minorHAnsi" w:hAnsiTheme="minorHAnsi" w:cstheme="minorHAnsi"/>
          <w:sz w:val="22"/>
        </w:rPr>
        <w:t>rsonal data is leaked or hacked;</w:t>
      </w:r>
      <w:r w:rsidRPr="002707FB">
        <w:rPr>
          <w:rFonts w:asciiTheme="minorHAnsi" w:hAnsiTheme="minorHAnsi" w:cstheme="minorHAnsi"/>
          <w:sz w:val="22"/>
        </w:rPr>
        <w:t xml:space="preserve"> and </w:t>
      </w:r>
      <w:r>
        <w:rPr>
          <w:rFonts w:asciiTheme="minorHAnsi" w:hAnsiTheme="minorHAnsi" w:cstheme="minorHAnsi"/>
          <w:sz w:val="22"/>
        </w:rPr>
        <w:t>commissioned</w:t>
      </w:r>
      <w:r w:rsidRPr="002707FB">
        <w:rPr>
          <w:rFonts w:asciiTheme="minorHAnsi" w:hAnsiTheme="minorHAnsi" w:cstheme="minorHAnsi"/>
          <w:sz w:val="22"/>
        </w:rPr>
        <w:t xml:space="preserve"> a national ethics framework for AI use</w:t>
      </w:r>
      <w:r>
        <w:rPr>
          <w:rFonts w:asciiTheme="minorHAnsi" w:hAnsiTheme="minorHAnsi" w:cstheme="minorHAnsi"/>
          <w:sz w:val="22"/>
        </w:rPr>
        <w:t>, which is now under development</w:t>
      </w:r>
      <w:r w:rsidRPr="002707FB">
        <w:rPr>
          <w:rFonts w:asciiTheme="minorHAnsi" w:hAnsiTheme="minorHAnsi" w:cstheme="minorHAnsi"/>
          <w:sz w:val="22"/>
        </w:rPr>
        <w:t>.</w:t>
      </w:r>
    </w:p>
    <w:p w14:paraId="541EF16C" w14:textId="77777777" w:rsidR="000B649B" w:rsidRDefault="000B649B" w:rsidP="000B649B">
      <w:pPr>
        <w:spacing w:line="240" w:lineRule="auto"/>
        <w:rPr>
          <w:rFonts w:asciiTheme="minorHAnsi" w:hAnsiTheme="minorHAnsi" w:cstheme="minorHAnsi"/>
          <w:sz w:val="22"/>
        </w:rPr>
      </w:pPr>
      <w:r>
        <w:rPr>
          <w:rFonts w:asciiTheme="minorHAnsi" w:hAnsiTheme="minorHAnsi" w:cstheme="minorHAnsi"/>
          <w:sz w:val="22"/>
        </w:rPr>
        <w:t xml:space="preserve">In a world where many digital business operations are global, domestic regulation must be sensitive to a complex and ever-shifting international regulatory environment. </w:t>
      </w:r>
      <w:r w:rsidDel="001E0733">
        <w:rPr>
          <w:rFonts w:asciiTheme="minorHAnsi" w:hAnsiTheme="minorHAnsi" w:cstheme="minorHAnsi"/>
          <w:sz w:val="22"/>
        </w:rPr>
        <w:t>This challenge has a social license</w:t>
      </w:r>
      <w:r w:rsidRPr="002707FB" w:rsidDel="001E0733">
        <w:rPr>
          <w:rFonts w:asciiTheme="minorHAnsi" w:hAnsiTheme="minorHAnsi" w:cstheme="minorHAnsi"/>
          <w:sz w:val="22"/>
        </w:rPr>
        <w:t xml:space="preserve"> </w:t>
      </w:r>
      <w:r w:rsidDel="001E0733">
        <w:rPr>
          <w:rFonts w:asciiTheme="minorHAnsi" w:hAnsiTheme="minorHAnsi" w:cstheme="minorHAnsi"/>
          <w:sz w:val="22"/>
        </w:rPr>
        <w:t xml:space="preserve">or corporate social responsibility </w:t>
      </w:r>
      <w:r w:rsidRPr="002707FB" w:rsidDel="001E0733">
        <w:rPr>
          <w:rFonts w:asciiTheme="minorHAnsi" w:hAnsiTheme="minorHAnsi" w:cstheme="minorHAnsi"/>
          <w:sz w:val="22"/>
        </w:rPr>
        <w:t xml:space="preserve">dimension. </w:t>
      </w:r>
      <w:r>
        <w:rPr>
          <w:rFonts w:asciiTheme="minorHAnsi" w:hAnsiTheme="minorHAnsi" w:cstheme="minorHAnsi"/>
          <w:sz w:val="22"/>
        </w:rPr>
        <w:t>For example, t</w:t>
      </w:r>
      <w:r w:rsidRPr="002707FB">
        <w:rPr>
          <w:rFonts w:asciiTheme="minorHAnsi" w:hAnsiTheme="minorHAnsi" w:cstheme="minorHAnsi"/>
          <w:sz w:val="22"/>
        </w:rPr>
        <w:t>he rapid growth of the digitali</w:t>
      </w:r>
      <w:r>
        <w:rPr>
          <w:rFonts w:asciiTheme="minorHAnsi" w:hAnsiTheme="minorHAnsi" w:cstheme="minorHAnsi"/>
          <w:sz w:val="22"/>
        </w:rPr>
        <w:t>z</w:t>
      </w:r>
      <w:r w:rsidRPr="002707FB">
        <w:rPr>
          <w:rFonts w:asciiTheme="minorHAnsi" w:hAnsiTheme="minorHAnsi" w:cstheme="minorHAnsi"/>
          <w:sz w:val="22"/>
        </w:rPr>
        <w:t>ed economy has provoked questions about whether there is a need to change the way that taxing rights over business profits are allocated between countries. In October 2018, the Australian Government released a discussion paper on the digital economy and Australia’s corporate tax system, and its position on these issues will be informed by stakeholder feedback and international developments.</w:t>
      </w:r>
      <w:r>
        <w:rPr>
          <w:rStyle w:val="EndnoteReference"/>
          <w:rFonts w:asciiTheme="minorHAnsi" w:hAnsiTheme="minorHAnsi" w:cstheme="minorHAnsi"/>
          <w:sz w:val="22"/>
        </w:rPr>
        <w:endnoteReference w:id="14"/>
      </w:r>
    </w:p>
    <w:p w14:paraId="422097DF" w14:textId="17173A05" w:rsidR="000B649B" w:rsidRDefault="000B649B" w:rsidP="000B649B">
      <w:pPr>
        <w:spacing w:line="240" w:lineRule="auto"/>
        <w:rPr>
          <w:rFonts w:asciiTheme="minorHAnsi" w:hAnsiTheme="minorHAnsi" w:cstheme="minorHAnsi"/>
          <w:sz w:val="22"/>
        </w:rPr>
      </w:pPr>
      <w:r>
        <w:rPr>
          <w:rFonts w:asciiTheme="minorHAnsi" w:hAnsiTheme="minorHAnsi" w:cstheme="minorHAnsi"/>
          <w:sz w:val="22"/>
        </w:rPr>
        <w:t>The task of Australian regulators and policy-makers may be</w:t>
      </w:r>
      <w:r w:rsidRPr="00E7718E">
        <w:rPr>
          <w:rFonts w:asciiTheme="minorHAnsi" w:hAnsiTheme="minorHAnsi" w:cstheme="minorHAnsi"/>
          <w:sz w:val="22"/>
        </w:rPr>
        <w:t xml:space="preserve"> </w:t>
      </w:r>
      <w:r>
        <w:rPr>
          <w:rFonts w:asciiTheme="minorHAnsi" w:hAnsiTheme="minorHAnsi" w:cstheme="minorHAnsi"/>
          <w:sz w:val="22"/>
        </w:rPr>
        <w:t xml:space="preserve">complicated by further </w:t>
      </w:r>
      <w:r w:rsidRPr="00E7718E">
        <w:rPr>
          <w:rFonts w:asciiTheme="minorHAnsi" w:hAnsiTheme="minorHAnsi" w:cstheme="minorHAnsi"/>
          <w:sz w:val="22"/>
        </w:rPr>
        <w:t>challenges on the horizon. The percentage of Australians who trust businesses has been progressively declining, and was just 45% in the 2018 Edelman Trust Barometer</w:t>
      </w:r>
      <w:r>
        <w:rPr>
          <w:rFonts w:asciiTheme="minorHAnsi" w:hAnsiTheme="minorHAnsi" w:cstheme="minorHAnsi"/>
          <w:sz w:val="22"/>
        </w:rPr>
        <w:t xml:space="preserve">. The past year also saw intense media focus on the </w:t>
      </w:r>
      <w:r w:rsidRPr="002707FB">
        <w:rPr>
          <w:rFonts w:asciiTheme="minorHAnsi" w:hAnsiTheme="minorHAnsi" w:cstheme="minorHAnsi"/>
          <w:sz w:val="22"/>
        </w:rPr>
        <w:t>Royal Commission into Misconduct in the Financial Services Industry,</w:t>
      </w:r>
      <w:r w:rsidR="009D47F7">
        <w:rPr>
          <w:rStyle w:val="EndnoteReference"/>
          <w:rFonts w:asciiTheme="minorHAnsi" w:hAnsiTheme="minorHAnsi" w:cstheme="minorHAnsi"/>
          <w:sz w:val="22"/>
        </w:rPr>
        <w:endnoteReference w:id="15"/>
      </w:r>
      <w:r w:rsidRPr="002707FB">
        <w:rPr>
          <w:rFonts w:asciiTheme="minorHAnsi" w:hAnsiTheme="minorHAnsi" w:cstheme="minorHAnsi"/>
          <w:sz w:val="22"/>
        </w:rPr>
        <w:t xml:space="preserve"> which </w:t>
      </w:r>
      <w:r>
        <w:rPr>
          <w:rFonts w:asciiTheme="minorHAnsi" w:hAnsiTheme="minorHAnsi" w:cstheme="minorHAnsi"/>
          <w:sz w:val="22"/>
        </w:rPr>
        <w:t xml:space="preserve">has </w:t>
      </w:r>
      <w:r w:rsidRPr="002707FB">
        <w:rPr>
          <w:rFonts w:asciiTheme="minorHAnsi" w:hAnsiTheme="minorHAnsi" w:cstheme="minorHAnsi"/>
          <w:sz w:val="22"/>
        </w:rPr>
        <w:t>revealed unethical and criminal behaviour by Australian financial firms</w:t>
      </w:r>
      <w:r>
        <w:rPr>
          <w:rFonts w:asciiTheme="minorHAnsi" w:hAnsiTheme="minorHAnsi" w:cstheme="minorHAnsi"/>
          <w:sz w:val="22"/>
        </w:rPr>
        <w:t xml:space="preserve"> and generated sustained public discussion. Regulatory policy-makers must now navigate their task of balancing business and consumer needs, enabling innovation, and managing international interdependencies under the added pressure of intense media scrutiny of business regulation issues.</w:t>
      </w:r>
    </w:p>
    <w:p w14:paraId="776F2578" w14:textId="77777777" w:rsidR="000B649B" w:rsidRPr="002707FB" w:rsidRDefault="000B649B" w:rsidP="000B649B">
      <w:pPr>
        <w:spacing w:line="240" w:lineRule="auto"/>
        <w:rPr>
          <w:rFonts w:asciiTheme="minorHAnsi" w:hAnsiTheme="minorHAnsi" w:cstheme="minorHAnsi"/>
          <w:sz w:val="22"/>
        </w:rPr>
      </w:pPr>
      <w:r>
        <w:rPr>
          <w:rFonts w:asciiTheme="minorHAnsi" w:hAnsiTheme="minorHAnsi" w:cstheme="minorHAnsi"/>
          <w:sz w:val="22"/>
        </w:rPr>
        <w:t>The challenges in regulating appropriately for today’s rapidly changing business environment are likely to continue to be a feature of the Australian policy landscape for years to come.</w:t>
      </w:r>
    </w:p>
    <w:p w14:paraId="7DFD562A" w14:textId="39228758" w:rsidR="000B649B" w:rsidRPr="002707FB" w:rsidRDefault="000B649B" w:rsidP="000B649B">
      <w:pPr>
        <w:pStyle w:val="Heading2"/>
        <w:rPr>
          <w:rFonts w:asciiTheme="minorHAnsi" w:hAnsiTheme="minorHAnsi" w:cstheme="minorHAnsi"/>
          <w:sz w:val="22"/>
        </w:rPr>
      </w:pPr>
      <w:r w:rsidRPr="002707FB">
        <w:rPr>
          <w:rFonts w:asciiTheme="minorHAnsi" w:hAnsiTheme="minorHAnsi" w:cstheme="minorHAnsi"/>
          <w:sz w:val="22"/>
        </w:rPr>
        <w:t>Canadian challenges and policy responses</w:t>
      </w:r>
      <w:r w:rsidRPr="002707FB">
        <w:rPr>
          <w:rFonts w:asciiTheme="minorHAnsi" w:hAnsiTheme="minorHAnsi" w:cstheme="minorHAnsi"/>
          <w:i w:val="0"/>
          <w:noProof/>
          <w:color w:val="1F497D" w:themeColor="text2"/>
          <w:sz w:val="22"/>
          <w:lang w:eastAsia="en-AU"/>
        </w:rPr>
        <w:t xml:space="preserve"> </w:t>
      </w:r>
    </w:p>
    <w:p w14:paraId="7ADF86E9" w14:textId="77777777" w:rsidR="000B649B" w:rsidRPr="002707FB" w:rsidRDefault="000B649B" w:rsidP="000B649B">
      <w:pPr>
        <w:spacing w:line="240" w:lineRule="auto"/>
        <w:rPr>
          <w:rFonts w:asciiTheme="minorHAnsi" w:hAnsiTheme="minorHAnsi" w:cstheme="minorHAnsi"/>
          <w:sz w:val="22"/>
        </w:rPr>
      </w:pPr>
      <w:r w:rsidRPr="002707FB">
        <w:rPr>
          <w:rFonts w:asciiTheme="minorHAnsi" w:eastAsia="Calibri" w:hAnsiTheme="minorHAnsi" w:cstheme="minorHAnsi"/>
          <w:sz w:val="22"/>
        </w:rPr>
        <w:t xml:space="preserve">There is evidence in </w:t>
      </w:r>
      <w:r w:rsidRPr="002707FB">
        <w:rPr>
          <w:rFonts w:asciiTheme="minorHAnsi" w:eastAsia="Times New Roman" w:hAnsiTheme="minorHAnsi" w:cstheme="minorHAnsi"/>
          <w:sz w:val="22"/>
        </w:rPr>
        <w:t>Canada of a widening productivity gulf between the most productive firms and all other firms.</w:t>
      </w:r>
      <w:r w:rsidRPr="002707FB">
        <w:rPr>
          <w:rStyle w:val="EndnoteReference"/>
          <w:rFonts w:asciiTheme="minorHAnsi" w:eastAsia="Calibri" w:hAnsiTheme="minorHAnsi" w:cstheme="minorHAnsi"/>
          <w:sz w:val="22"/>
          <w:lang w:val="en-US"/>
        </w:rPr>
        <w:endnoteReference w:id="16"/>
      </w:r>
      <w:r w:rsidRPr="002707FB">
        <w:rPr>
          <w:rFonts w:asciiTheme="minorHAnsi" w:eastAsia="Times New Roman" w:hAnsiTheme="minorHAnsi" w:cstheme="minorHAnsi"/>
          <w:sz w:val="22"/>
        </w:rPr>
        <w:t xml:space="preserve"> This type of greater productivity disparity is linked to greater concentration of technological adoption among the most productive firms</w:t>
      </w:r>
      <w:r w:rsidRPr="002707FB">
        <w:rPr>
          <w:rStyle w:val="EndnoteReference"/>
          <w:rFonts w:asciiTheme="minorHAnsi" w:eastAsia="Calibri" w:hAnsiTheme="minorHAnsi" w:cstheme="minorHAnsi"/>
          <w:sz w:val="22"/>
          <w:lang w:val="en-US"/>
        </w:rPr>
        <w:endnoteReference w:id="17"/>
      </w:r>
      <w:r w:rsidRPr="002707FB">
        <w:rPr>
          <w:rFonts w:asciiTheme="minorHAnsi" w:eastAsia="Times New Roman" w:hAnsiTheme="minorHAnsi" w:cstheme="minorHAnsi"/>
          <w:sz w:val="22"/>
        </w:rPr>
        <w:t xml:space="preserve"> as well as lower overall productivity.</w:t>
      </w:r>
      <w:r w:rsidRPr="002707FB">
        <w:rPr>
          <w:rStyle w:val="EndnoteReference"/>
          <w:rFonts w:asciiTheme="minorHAnsi" w:eastAsia="Calibri" w:hAnsiTheme="minorHAnsi" w:cstheme="minorHAnsi"/>
          <w:sz w:val="22"/>
          <w:lang w:val="en-US"/>
        </w:rPr>
        <w:endnoteReference w:id="18"/>
      </w:r>
      <w:r w:rsidRPr="002707FB">
        <w:rPr>
          <w:rFonts w:asciiTheme="minorHAnsi" w:eastAsia="Times New Roman" w:hAnsiTheme="minorHAnsi" w:cstheme="minorHAnsi"/>
          <w:sz w:val="22"/>
        </w:rPr>
        <w:t xml:space="preserve"> Combined, these relationships suggest that while a few firms are able to exploit new technologies, </w:t>
      </w:r>
      <w:r>
        <w:rPr>
          <w:rFonts w:asciiTheme="minorHAnsi" w:eastAsia="Times New Roman" w:hAnsiTheme="minorHAnsi" w:cstheme="minorHAnsi"/>
          <w:sz w:val="22"/>
        </w:rPr>
        <w:t>many</w:t>
      </w:r>
      <w:r w:rsidRPr="002707FB">
        <w:rPr>
          <w:rFonts w:asciiTheme="minorHAnsi" w:eastAsia="Times New Roman" w:hAnsiTheme="minorHAnsi" w:cstheme="minorHAnsi"/>
          <w:sz w:val="22"/>
        </w:rPr>
        <w:t xml:space="preserve"> Canadian firms are unable to do the same</w:t>
      </w:r>
      <w:r>
        <w:rPr>
          <w:rFonts w:asciiTheme="minorHAnsi" w:eastAsia="Times New Roman" w:hAnsiTheme="minorHAnsi" w:cstheme="minorHAnsi"/>
          <w:sz w:val="22"/>
        </w:rPr>
        <w:t>,</w:t>
      </w:r>
      <w:r w:rsidRPr="002707FB">
        <w:rPr>
          <w:rFonts w:asciiTheme="minorHAnsi" w:eastAsia="Times New Roman" w:hAnsiTheme="minorHAnsi" w:cstheme="minorHAnsi"/>
          <w:sz w:val="22"/>
        </w:rPr>
        <w:t xml:space="preserve"> </w:t>
      </w:r>
      <w:r>
        <w:rPr>
          <w:rFonts w:asciiTheme="minorHAnsi" w:eastAsia="Times New Roman" w:hAnsiTheme="minorHAnsi" w:cstheme="minorHAnsi"/>
          <w:sz w:val="22"/>
        </w:rPr>
        <w:t xml:space="preserve">placing a weight on </w:t>
      </w:r>
      <w:r w:rsidRPr="002707FB">
        <w:rPr>
          <w:rFonts w:asciiTheme="minorHAnsi" w:eastAsia="Times New Roman" w:hAnsiTheme="minorHAnsi" w:cstheme="minorHAnsi"/>
          <w:sz w:val="22"/>
        </w:rPr>
        <w:t xml:space="preserve">overall productivity </w:t>
      </w:r>
      <w:r>
        <w:rPr>
          <w:rFonts w:asciiTheme="minorHAnsi" w:eastAsia="Times New Roman" w:hAnsiTheme="minorHAnsi" w:cstheme="minorHAnsi"/>
          <w:sz w:val="22"/>
        </w:rPr>
        <w:t>growth</w:t>
      </w:r>
      <w:r w:rsidRPr="002707FB">
        <w:rPr>
          <w:rFonts w:asciiTheme="minorHAnsi" w:eastAsia="Times New Roman" w:hAnsiTheme="minorHAnsi" w:cstheme="minorHAnsi"/>
          <w:sz w:val="22"/>
        </w:rPr>
        <w:t>. Given the increasing importance for businesses to adapt to technological change, this polarization of productivity growth between leading technologically advanced firms and the rest provides a worrying indication that a sizable portion of Canada’s business sector may be ill-equipped to effectively deal with technological disruption.</w:t>
      </w:r>
      <w:r w:rsidRPr="002707FB">
        <w:rPr>
          <w:rFonts w:asciiTheme="minorHAnsi" w:hAnsiTheme="minorHAnsi" w:cstheme="minorHAnsi"/>
          <w:noProof/>
          <w:sz w:val="22"/>
          <w:lang w:eastAsia="en-AU"/>
        </w:rPr>
        <w:t xml:space="preserve"> </w:t>
      </w:r>
    </w:p>
    <w:p w14:paraId="6C478A02" w14:textId="77777777" w:rsidR="000B649B" w:rsidRPr="002707FB" w:rsidRDefault="000B649B" w:rsidP="000B649B">
      <w:pPr>
        <w:spacing w:line="240" w:lineRule="auto"/>
        <w:rPr>
          <w:rFonts w:asciiTheme="minorHAnsi" w:hAnsiTheme="minorHAnsi" w:cstheme="minorHAnsi"/>
          <w:b/>
          <w:sz w:val="22"/>
        </w:rPr>
      </w:pPr>
      <w:r w:rsidRPr="002707FB">
        <w:rPr>
          <w:rFonts w:asciiTheme="minorHAnsi" w:eastAsia="Calibri" w:hAnsiTheme="minorHAnsi" w:cstheme="minorHAnsi"/>
          <w:sz w:val="22"/>
        </w:rPr>
        <w:t xml:space="preserve">Given these concerns, Canada’s policy challenge is to find ways to leverage its strong fundamentals to broaden the share of Canada’s business sector that is actively investing in the adoption of new technologies and R&amp;D. This includes finding ways to help business translate Canada’s world-class fundamental research in emerging fields, such as </w:t>
      </w:r>
      <w:r>
        <w:rPr>
          <w:rFonts w:asciiTheme="minorHAnsi" w:eastAsia="Calibri" w:hAnsiTheme="minorHAnsi" w:cstheme="minorHAnsi"/>
          <w:sz w:val="22"/>
        </w:rPr>
        <w:t>AI</w:t>
      </w:r>
      <w:r w:rsidRPr="002707FB">
        <w:rPr>
          <w:rFonts w:asciiTheme="minorHAnsi" w:eastAsia="Calibri" w:hAnsiTheme="minorHAnsi" w:cstheme="minorHAnsi"/>
          <w:sz w:val="22"/>
        </w:rPr>
        <w:t xml:space="preserve"> and quantum computing, into commercial applications</w:t>
      </w:r>
      <w:r>
        <w:rPr>
          <w:rFonts w:asciiTheme="minorHAnsi" w:eastAsia="Calibri" w:hAnsiTheme="minorHAnsi" w:cstheme="minorHAnsi"/>
          <w:sz w:val="22"/>
        </w:rPr>
        <w:t xml:space="preserve"> and helping Canada’s highly educated workforce to acquire the skills needed to facilitate the adoption of new technologies.</w:t>
      </w:r>
    </w:p>
    <w:p w14:paraId="0F866830" w14:textId="13A71753" w:rsidR="000B649B" w:rsidRPr="002707FB" w:rsidRDefault="00B93DB8" w:rsidP="000B649B">
      <w:pPr>
        <w:spacing w:line="240" w:lineRule="auto"/>
        <w:rPr>
          <w:rFonts w:asciiTheme="minorHAnsi" w:hAnsiTheme="minorHAnsi" w:cstheme="minorHAnsi"/>
          <w:sz w:val="22"/>
        </w:rPr>
      </w:pPr>
      <w:r w:rsidRPr="002707FB">
        <w:rPr>
          <w:rFonts w:asciiTheme="minorHAnsi" w:hAnsiTheme="minorHAnsi" w:cstheme="minorHAnsi"/>
          <w:i/>
          <w:noProof/>
          <w:color w:val="1F497D" w:themeColor="text2"/>
          <w:sz w:val="22"/>
          <w:lang w:val="en-US"/>
        </w:rPr>
        <mc:AlternateContent>
          <mc:Choice Requires="wps">
            <w:drawing>
              <wp:anchor distT="45720" distB="45720" distL="114300" distR="114300" simplePos="0" relativeHeight="251660800" behindDoc="0" locked="0" layoutInCell="1" allowOverlap="1" wp14:anchorId="03059C52" wp14:editId="1B70E4BA">
                <wp:simplePos x="0" y="0"/>
                <wp:positionH relativeFrom="margin">
                  <wp:posOffset>3602990</wp:posOffset>
                </wp:positionH>
                <wp:positionV relativeFrom="page">
                  <wp:posOffset>808355</wp:posOffset>
                </wp:positionV>
                <wp:extent cx="2517140" cy="55753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5575300"/>
                        </a:xfrm>
                        <a:prstGeom prst="rect">
                          <a:avLst/>
                        </a:prstGeom>
                        <a:solidFill>
                          <a:schemeClr val="accent1">
                            <a:lumMod val="20000"/>
                            <a:lumOff val="80000"/>
                          </a:schemeClr>
                        </a:solidFill>
                        <a:ln w="9525">
                          <a:noFill/>
                          <a:miter lim="800000"/>
                          <a:headEnd/>
                          <a:tailEnd/>
                        </a:ln>
                      </wps:spPr>
                      <wps:txbx>
                        <w:txbxContent>
                          <w:p w14:paraId="30EB0947" w14:textId="77777777" w:rsidR="00633B37" w:rsidRPr="00457062" w:rsidRDefault="00633B37" w:rsidP="00B93DB8">
                            <w:pPr>
                              <w:pBdr>
                                <w:bottom w:val="single" w:sz="12" w:space="1" w:color="auto"/>
                              </w:pBdr>
                              <w:spacing w:after="0" w:line="240" w:lineRule="auto"/>
                              <w:jc w:val="right"/>
                              <w:rPr>
                                <w:rFonts w:ascii="Calibri" w:hAnsi="Calibri" w:cs="Calibri"/>
                                <w:b/>
                                <w:i/>
                                <w:color w:val="17365D" w:themeColor="text2" w:themeShade="BF"/>
                                <w:sz w:val="2"/>
                              </w:rPr>
                            </w:pPr>
                          </w:p>
                          <w:p w14:paraId="43CFC541" w14:textId="77777777" w:rsidR="00633B37" w:rsidRPr="00457062" w:rsidRDefault="00633B37" w:rsidP="00B93DB8">
                            <w:pPr>
                              <w:spacing w:after="0" w:line="240" w:lineRule="auto"/>
                              <w:jc w:val="right"/>
                              <w:rPr>
                                <w:rFonts w:ascii="Calibri" w:hAnsi="Calibri" w:cs="Calibri"/>
                                <w:b/>
                                <w:i/>
                                <w:color w:val="17365D" w:themeColor="text2" w:themeShade="BF"/>
                                <w:sz w:val="6"/>
                              </w:rPr>
                            </w:pPr>
                          </w:p>
                          <w:p w14:paraId="14CF2E00" w14:textId="77777777" w:rsidR="00633B37" w:rsidRPr="00457062" w:rsidRDefault="00633B37" w:rsidP="00B93DB8">
                            <w:pPr>
                              <w:spacing w:after="0" w:line="240" w:lineRule="auto"/>
                              <w:jc w:val="right"/>
                              <w:rPr>
                                <w:rFonts w:ascii="Calibri" w:hAnsi="Calibri" w:cs="Calibri"/>
                                <w:b/>
                                <w:i/>
                                <w:color w:val="17365D" w:themeColor="text2" w:themeShade="BF"/>
                                <w:sz w:val="16"/>
                              </w:rPr>
                            </w:pPr>
                            <w:r w:rsidRPr="00457062">
                              <w:rPr>
                                <w:rFonts w:ascii="Calibri" w:hAnsi="Calibri" w:cs="Calibri"/>
                                <w:noProof/>
                                <w:color w:val="17365D" w:themeColor="text2" w:themeShade="BF"/>
                                <w:sz w:val="22"/>
                                <w:lang w:val="en-US"/>
                              </w:rPr>
                              <w:drawing>
                                <wp:inline distT="0" distB="0" distL="0" distR="0" wp14:anchorId="44AA9CB1" wp14:editId="604A138E">
                                  <wp:extent cx="503581" cy="282497"/>
                                  <wp:effectExtent l="0" t="0" r="0" b="3810"/>
                                  <wp:docPr id="310" name="Picture 310"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61" cy="286974"/>
                                          </a:xfrm>
                                          <a:prstGeom prst="rect">
                                            <a:avLst/>
                                          </a:prstGeom>
                                          <a:noFill/>
                                          <a:ln>
                                            <a:noFill/>
                                          </a:ln>
                                        </pic:spPr>
                                      </pic:pic>
                                    </a:graphicData>
                                  </a:graphic>
                                </wp:inline>
                              </w:drawing>
                            </w:r>
                          </w:p>
                          <w:p w14:paraId="6B24723D" w14:textId="77777777" w:rsidR="00633B37" w:rsidRPr="00457062" w:rsidRDefault="00633B37" w:rsidP="00B93DB8">
                            <w:pPr>
                              <w:spacing w:after="0" w:line="240" w:lineRule="auto"/>
                              <w:jc w:val="right"/>
                              <w:rPr>
                                <w:rFonts w:ascii="Calibri" w:hAnsi="Calibri" w:cs="Calibri"/>
                                <w:b/>
                                <w:i/>
                                <w:color w:val="17365D" w:themeColor="text2" w:themeShade="BF"/>
                                <w:sz w:val="16"/>
                              </w:rPr>
                            </w:pPr>
                          </w:p>
                          <w:p w14:paraId="703F8FDC" w14:textId="77777777" w:rsidR="00633B37" w:rsidRPr="00DA72E1" w:rsidRDefault="00633B37" w:rsidP="00B93DB8">
                            <w:pPr>
                              <w:spacing w:line="240" w:lineRule="auto"/>
                              <w:rPr>
                                <w:rFonts w:ascii="Calibri" w:hAnsi="Calibri" w:cs="Calibri"/>
                                <w:b/>
                                <w:color w:val="17365D" w:themeColor="text2" w:themeShade="BF"/>
                                <w:sz w:val="20"/>
                              </w:rPr>
                            </w:pPr>
                            <w:r w:rsidRPr="00DA72E1">
                              <w:rPr>
                                <w:rFonts w:ascii="Calibri" w:hAnsi="Calibri" w:cs="Calibri"/>
                                <w:b/>
                                <w:color w:val="17365D" w:themeColor="text2" w:themeShade="BF"/>
                                <w:sz w:val="20"/>
                              </w:rPr>
                              <w:t>Measures to Support Fundamental R&amp;D and Translate R&amp;D into Innovation</w:t>
                            </w:r>
                          </w:p>
                          <w:p w14:paraId="517ED4F2"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$1.7 billion to the </w:t>
                            </w:r>
                            <w:r w:rsidRPr="00DA72E1">
                              <w:rPr>
                                <w:rFonts w:ascii="Calibri" w:hAnsi="Calibri" w:cs="Calibri"/>
                                <w:b/>
                                <w:color w:val="17365D" w:themeColor="text2" w:themeShade="BF"/>
                                <w:sz w:val="20"/>
                                <w:szCs w:val="20"/>
                              </w:rPr>
                              <w:t>federal granting councils</w:t>
                            </w:r>
                            <w:r w:rsidRPr="00DA72E1">
                              <w:rPr>
                                <w:rFonts w:ascii="Calibri" w:hAnsi="Calibri" w:cs="Calibri"/>
                                <w:color w:val="17365D" w:themeColor="text2" w:themeShade="BF"/>
                                <w:sz w:val="20"/>
                                <w:szCs w:val="20"/>
                              </w:rPr>
                              <w:t xml:space="preserve">, the primary vehicles through which federal support flows to fundamental and applied research at post-secondary institutions. </w:t>
                            </w:r>
                          </w:p>
                          <w:p w14:paraId="09BC22A8"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$700 million in additional funding to the National Research Council’s </w:t>
                            </w:r>
                            <w:r w:rsidRPr="00DA72E1">
                              <w:rPr>
                                <w:rFonts w:ascii="Calibri" w:hAnsi="Calibri" w:cs="Calibri"/>
                                <w:b/>
                                <w:color w:val="17365D" w:themeColor="text2" w:themeShade="BF"/>
                                <w:sz w:val="20"/>
                                <w:szCs w:val="20"/>
                              </w:rPr>
                              <w:t>Industrial Research Assistance Program</w:t>
                            </w:r>
                            <w:r w:rsidRPr="00DA72E1">
                              <w:rPr>
                                <w:rFonts w:ascii="Calibri" w:hAnsi="Calibri" w:cs="Calibri"/>
                                <w:color w:val="17365D" w:themeColor="text2" w:themeShade="BF"/>
                                <w:sz w:val="20"/>
                                <w:szCs w:val="20"/>
                              </w:rPr>
                              <w:t xml:space="preserve"> to provide financial assistance to Canadian entrepreneurs and small business owners to develop innovative technologies and commercialize them. </w:t>
                            </w:r>
                          </w:p>
                          <w:p w14:paraId="118A393D"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Up to $950 million for the </w:t>
                            </w:r>
                            <w:r w:rsidRPr="00DA72E1">
                              <w:rPr>
                                <w:rFonts w:ascii="Calibri" w:hAnsi="Calibri" w:cs="Calibri"/>
                                <w:b/>
                                <w:color w:val="17365D" w:themeColor="text2" w:themeShade="BF"/>
                                <w:sz w:val="20"/>
                                <w:szCs w:val="20"/>
                              </w:rPr>
                              <w:t>Innovation Superclusters Initiative</w:t>
                            </w:r>
                            <w:r w:rsidRPr="00DA72E1">
                              <w:rPr>
                                <w:rFonts w:ascii="Calibri" w:hAnsi="Calibri" w:cs="Calibri"/>
                                <w:color w:val="17365D" w:themeColor="text2" w:themeShade="BF"/>
                                <w:sz w:val="20"/>
                                <w:szCs w:val="20"/>
                              </w:rPr>
                              <w:t xml:space="preserve"> to support large-scale business-led </w:t>
                            </w:r>
                            <w:hyperlink r:id="rId19" w:history="1">
                              <w:r w:rsidRPr="00DA72E1">
                                <w:rPr>
                                  <w:rStyle w:val="Hyperlink"/>
                                  <w:rFonts w:ascii="Calibri" w:hAnsi="Calibri" w:cs="Calibri"/>
                                  <w:sz w:val="20"/>
                                  <w:szCs w:val="20"/>
                                </w:rPr>
                                <w:t>innovation consortiums</w:t>
                              </w:r>
                            </w:hyperlink>
                            <w:r w:rsidRPr="00DA72E1">
                              <w:rPr>
                                <w:rFonts w:ascii="Calibri" w:hAnsi="Calibri" w:cs="Calibri"/>
                                <w:color w:val="17365D" w:themeColor="text2" w:themeShade="BF"/>
                                <w:sz w:val="20"/>
                                <w:szCs w:val="20"/>
                              </w:rPr>
                              <w:t xml:space="preserve"> in a number of key sectors: digital technology, protein industries, advanced manufacturing, AI-powered supply chains</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 ocean technologies.</w:t>
                            </w:r>
                          </w:p>
                          <w:p w14:paraId="7EC28118"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$1.26 billion to the </w:t>
                            </w:r>
                            <w:r w:rsidRPr="00DA72E1">
                              <w:rPr>
                                <w:rFonts w:ascii="Calibri" w:hAnsi="Calibri" w:cs="Calibri"/>
                                <w:b/>
                                <w:color w:val="17365D" w:themeColor="text2" w:themeShade="BF"/>
                                <w:sz w:val="20"/>
                                <w:szCs w:val="20"/>
                              </w:rPr>
                              <w:t>Strategic Innovation Fund</w:t>
                            </w:r>
                            <w:r w:rsidRPr="00DA72E1">
                              <w:rPr>
                                <w:rFonts w:ascii="Calibri" w:hAnsi="Calibri" w:cs="Calibri"/>
                                <w:color w:val="17365D" w:themeColor="text2" w:themeShade="BF"/>
                                <w:sz w:val="20"/>
                                <w:szCs w:val="20"/>
                              </w:rPr>
                              <w:t>, which is focused on attracting and supporting new high-quality business investments, including activities related to the research, development</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 commercialization of innovative products, processes</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and/or services.</w:t>
                            </w:r>
                          </w:p>
                          <w:p w14:paraId="06DF6ECF" w14:textId="77777777" w:rsidR="00633B37" w:rsidRPr="00457062" w:rsidRDefault="00633B37" w:rsidP="00B93DB8">
                            <w:pPr>
                              <w:pBdr>
                                <w:bottom w:val="single" w:sz="12" w:space="1" w:color="auto"/>
                              </w:pBdr>
                              <w:spacing w:after="0" w:line="240" w:lineRule="auto"/>
                              <w:jc w:val="right"/>
                              <w:rPr>
                                <w:rFonts w:ascii="Calibri" w:hAnsi="Calibri" w:cs="Calibri"/>
                                <w:b/>
                                <w:i/>
                                <w:color w:val="17365D" w:themeColor="text2" w:themeShade="BF"/>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59C52" id="_x0000_t202" coordsize="21600,21600" o:spt="202" path="m,l,21600r21600,l21600,xe">
                <v:stroke joinstyle="miter"/>
                <v:path gradientshapeok="t" o:connecttype="rect"/>
              </v:shapetype>
              <v:shape id="_x0000_s1026" type="#_x0000_t202" style="position:absolute;margin-left:283.7pt;margin-top:63.65pt;width:198.2pt;height:439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" fillcolor="#dbe5f1 [660]" stroked="f">
                <v:textbox>
                  <w:txbxContent>
                    <w:p w14:paraId="30EB0947" w14:textId="77777777" w:rsidR="00633B37" w:rsidRPr="00457062" w:rsidRDefault="00633B37" w:rsidP="00B93DB8">
                      <w:pPr>
                        <w:pBdr>
                          <w:bottom w:val="single" w:sz="12" w:space="1" w:color="auto"/>
                        </w:pBdr>
                        <w:spacing w:after="0" w:line="240" w:lineRule="auto"/>
                        <w:jc w:val="right"/>
                        <w:rPr>
                          <w:rFonts w:ascii="Calibri" w:hAnsi="Calibri" w:cs="Calibri"/>
                          <w:b/>
                          <w:i/>
                          <w:color w:val="17365D" w:themeColor="text2" w:themeShade="BF"/>
                          <w:sz w:val="2"/>
                        </w:rPr>
                      </w:pPr>
                    </w:p>
                    <w:p w14:paraId="43CFC541" w14:textId="77777777" w:rsidR="00633B37" w:rsidRPr="00457062" w:rsidRDefault="00633B37" w:rsidP="00B93DB8">
                      <w:pPr>
                        <w:spacing w:after="0" w:line="240" w:lineRule="auto"/>
                        <w:jc w:val="right"/>
                        <w:rPr>
                          <w:rFonts w:ascii="Calibri" w:hAnsi="Calibri" w:cs="Calibri"/>
                          <w:b/>
                          <w:i/>
                          <w:color w:val="17365D" w:themeColor="text2" w:themeShade="BF"/>
                          <w:sz w:val="6"/>
                        </w:rPr>
                      </w:pPr>
                    </w:p>
                    <w:p w14:paraId="14CF2E00" w14:textId="77777777" w:rsidR="00633B37" w:rsidRPr="00457062" w:rsidRDefault="00633B37" w:rsidP="00B93DB8">
                      <w:pPr>
                        <w:spacing w:after="0" w:line="240" w:lineRule="auto"/>
                        <w:jc w:val="right"/>
                        <w:rPr>
                          <w:rFonts w:ascii="Calibri" w:hAnsi="Calibri" w:cs="Calibri"/>
                          <w:b/>
                          <w:i/>
                          <w:color w:val="17365D" w:themeColor="text2" w:themeShade="BF"/>
                          <w:sz w:val="16"/>
                        </w:rPr>
                      </w:pPr>
                      <w:r w:rsidRPr="00457062">
                        <w:rPr>
                          <w:rFonts w:ascii="Calibri" w:hAnsi="Calibri" w:cs="Calibri"/>
                          <w:noProof/>
                          <w:color w:val="17365D" w:themeColor="text2" w:themeShade="BF"/>
                          <w:sz w:val="22"/>
                          <w:lang w:eastAsia="en-AU"/>
                        </w:rPr>
                        <w:drawing>
                          <wp:inline distT="0" distB="0" distL="0" distR="0" wp14:anchorId="44AA9CB1" wp14:editId="604A138E">
                            <wp:extent cx="503581" cy="282497"/>
                            <wp:effectExtent l="0" t="0" r="0" b="3810"/>
                            <wp:docPr id="310" name="Picture 310"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561" cy="286974"/>
                                    </a:xfrm>
                                    <a:prstGeom prst="rect">
                                      <a:avLst/>
                                    </a:prstGeom>
                                    <a:noFill/>
                                    <a:ln>
                                      <a:noFill/>
                                    </a:ln>
                                  </pic:spPr>
                                </pic:pic>
                              </a:graphicData>
                            </a:graphic>
                          </wp:inline>
                        </w:drawing>
                      </w:r>
                    </w:p>
                    <w:p w14:paraId="6B24723D" w14:textId="77777777" w:rsidR="00633B37" w:rsidRPr="00457062" w:rsidRDefault="00633B37" w:rsidP="00B93DB8">
                      <w:pPr>
                        <w:spacing w:after="0" w:line="240" w:lineRule="auto"/>
                        <w:jc w:val="right"/>
                        <w:rPr>
                          <w:rFonts w:ascii="Calibri" w:hAnsi="Calibri" w:cs="Calibri"/>
                          <w:b/>
                          <w:i/>
                          <w:color w:val="17365D" w:themeColor="text2" w:themeShade="BF"/>
                          <w:sz w:val="16"/>
                        </w:rPr>
                      </w:pPr>
                    </w:p>
                    <w:p w14:paraId="703F8FDC" w14:textId="77777777" w:rsidR="00633B37" w:rsidRPr="00DA72E1" w:rsidRDefault="00633B37" w:rsidP="00B93DB8">
                      <w:pPr>
                        <w:spacing w:line="240" w:lineRule="auto"/>
                        <w:rPr>
                          <w:rFonts w:ascii="Calibri" w:hAnsi="Calibri" w:cs="Calibri"/>
                          <w:b/>
                          <w:color w:val="17365D" w:themeColor="text2" w:themeShade="BF"/>
                          <w:sz w:val="20"/>
                        </w:rPr>
                      </w:pPr>
                      <w:r w:rsidRPr="00DA72E1">
                        <w:rPr>
                          <w:rFonts w:ascii="Calibri" w:hAnsi="Calibri" w:cs="Calibri"/>
                          <w:b/>
                          <w:color w:val="17365D" w:themeColor="text2" w:themeShade="BF"/>
                          <w:sz w:val="20"/>
                        </w:rPr>
                        <w:t>Measures to Support Fundamental R&amp;D and Translate R&amp;D into Innovation</w:t>
                      </w:r>
                    </w:p>
                    <w:p w14:paraId="517ED4F2"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$1.7 billion to the </w:t>
                      </w:r>
                      <w:r w:rsidRPr="00DA72E1">
                        <w:rPr>
                          <w:rFonts w:ascii="Calibri" w:hAnsi="Calibri" w:cs="Calibri"/>
                          <w:b/>
                          <w:color w:val="17365D" w:themeColor="text2" w:themeShade="BF"/>
                          <w:sz w:val="20"/>
                          <w:szCs w:val="20"/>
                        </w:rPr>
                        <w:t>federal granting councils</w:t>
                      </w:r>
                      <w:r w:rsidRPr="00DA72E1">
                        <w:rPr>
                          <w:rFonts w:ascii="Calibri" w:hAnsi="Calibri" w:cs="Calibri"/>
                          <w:color w:val="17365D" w:themeColor="text2" w:themeShade="BF"/>
                          <w:sz w:val="20"/>
                          <w:szCs w:val="20"/>
                        </w:rPr>
                        <w:t xml:space="preserve">, the primary vehicles through which federal support flows to fundamental and applied research at post-secondary institutions. </w:t>
                      </w:r>
                    </w:p>
                    <w:p w14:paraId="09BC22A8"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$700 million in additional funding to the National Research Council’s </w:t>
                      </w:r>
                      <w:r w:rsidRPr="00DA72E1">
                        <w:rPr>
                          <w:rFonts w:ascii="Calibri" w:hAnsi="Calibri" w:cs="Calibri"/>
                          <w:b/>
                          <w:color w:val="17365D" w:themeColor="text2" w:themeShade="BF"/>
                          <w:sz w:val="20"/>
                          <w:szCs w:val="20"/>
                        </w:rPr>
                        <w:t>Industrial Research Assistance Program</w:t>
                      </w:r>
                      <w:r w:rsidRPr="00DA72E1">
                        <w:rPr>
                          <w:rFonts w:ascii="Calibri" w:hAnsi="Calibri" w:cs="Calibri"/>
                          <w:color w:val="17365D" w:themeColor="text2" w:themeShade="BF"/>
                          <w:sz w:val="20"/>
                          <w:szCs w:val="20"/>
                        </w:rPr>
                        <w:t xml:space="preserve"> to provide financial assistance to Canadian entrepreneurs and small business owners to develop innovative technologies and commercialize them. </w:t>
                      </w:r>
                    </w:p>
                    <w:p w14:paraId="118A393D"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Up to $950 million for the </w:t>
                      </w:r>
                      <w:r w:rsidRPr="00DA72E1">
                        <w:rPr>
                          <w:rFonts w:ascii="Calibri" w:hAnsi="Calibri" w:cs="Calibri"/>
                          <w:b/>
                          <w:color w:val="17365D" w:themeColor="text2" w:themeShade="BF"/>
                          <w:sz w:val="20"/>
                          <w:szCs w:val="20"/>
                        </w:rPr>
                        <w:t>Innovation Superclusters Initiative</w:t>
                      </w:r>
                      <w:r w:rsidRPr="00DA72E1">
                        <w:rPr>
                          <w:rFonts w:ascii="Calibri" w:hAnsi="Calibri" w:cs="Calibri"/>
                          <w:color w:val="17365D" w:themeColor="text2" w:themeShade="BF"/>
                          <w:sz w:val="20"/>
                          <w:szCs w:val="20"/>
                        </w:rPr>
                        <w:t xml:space="preserve"> to support large-scale business-led </w:t>
                      </w:r>
                      <w:hyperlink r:id="rId21" w:history="1">
                        <w:r w:rsidRPr="00DA72E1">
                          <w:rPr>
                            <w:rStyle w:val="Hyperlink"/>
                            <w:rFonts w:ascii="Calibri" w:hAnsi="Calibri" w:cs="Calibri"/>
                            <w:sz w:val="20"/>
                            <w:szCs w:val="20"/>
                          </w:rPr>
                          <w:t>innovation consortiums</w:t>
                        </w:r>
                      </w:hyperlink>
                      <w:r w:rsidRPr="00DA72E1">
                        <w:rPr>
                          <w:rFonts w:ascii="Calibri" w:hAnsi="Calibri" w:cs="Calibri"/>
                          <w:color w:val="17365D" w:themeColor="text2" w:themeShade="BF"/>
                          <w:sz w:val="20"/>
                          <w:szCs w:val="20"/>
                        </w:rPr>
                        <w:t xml:space="preserve"> in a number of key sectors: digital technology, protein industries, advanced manufacturing, AI-powered supply chains</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 ocean technologies.</w:t>
                      </w:r>
                    </w:p>
                    <w:p w14:paraId="7EC28118" w14:textId="77777777" w:rsidR="00633B37" w:rsidRPr="00DA72E1" w:rsidRDefault="00633B37" w:rsidP="00B93DB8">
                      <w:pPr>
                        <w:pStyle w:val="ListParagraph"/>
                        <w:numPr>
                          <w:ilvl w:val="0"/>
                          <w:numId w:val="14"/>
                        </w:num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$1.26 billion to the </w:t>
                      </w:r>
                      <w:r w:rsidRPr="00DA72E1">
                        <w:rPr>
                          <w:rFonts w:ascii="Calibri" w:hAnsi="Calibri" w:cs="Calibri"/>
                          <w:b/>
                          <w:color w:val="17365D" w:themeColor="text2" w:themeShade="BF"/>
                          <w:sz w:val="20"/>
                          <w:szCs w:val="20"/>
                        </w:rPr>
                        <w:t>Strategic Innovation Fund</w:t>
                      </w:r>
                      <w:r w:rsidRPr="00DA72E1">
                        <w:rPr>
                          <w:rFonts w:ascii="Calibri" w:hAnsi="Calibri" w:cs="Calibri"/>
                          <w:color w:val="17365D" w:themeColor="text2" w:themeShade="BF"/>
                          <w:sz w:val="20"/>
                          <w:szCs w:val="20"/>
                        </w:rPr>
                        <w:t>, which is focused on attracting and supporting new high-quality business investments, including activities related to the research, development</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 commercialization of innovative products, processes</w:t>
                      </w:r>
                      <w:r>
                        <w:rPr>
                          <w:rFonts w:ascii="Calibri" w:hAnsi="Calibri" w:cs="Calibri"/>
                          <w:color w:val="17365D" w:themeColor="text2" w:themeShade="BF"/>
                          <w:sz w:val="20"/>
                          <w:szCs w:val="20"/>
                        </w:rPr>
                        <w:t>,</w:t>
                      </w:r>
                      <w:r w:rsidRPr="00DA72E1">
                        <w:rPr>
                          <w:rFonts w:ascii="Calibri" w:hAnsi="Calibri" w:cs="Calibri"/>
                          <w:color w:val="17365D" w:themeColor="text2" w:themeShade="BF"/>
                          <w:sz w:val="20"/>
                          <w:szCs w:val="20"/>
                        </w:rPr>
                        <w:t xml:space="preserve"> and/or services.</w:t>
                      </w:r>
                    </w:p>
                    <w:p w14:paraId="06DF6ECF" w14:textId="77777777" w:rsidR="00633B37" w:rsidRPr="00457062" w:rsidRDefault="00633B37" w:rsidP="00B93DB8">
                      <w:pPr>
                        <w:pBdr>
                          <w:bottom w:val="single" w:sz="12" w:space="1" w:color="auto"/>
                        </w:pBdr>
                        <w:spacing w:after="0" w:line="240" w:lineRule="auto"/>
                        <w:jc w:val="right"/>
                        <w:rPr>
                          <w:rFonts w:ascii="Calibri" w:hAnsi="Calibri" w:cs="Calibri"/>
                          <w:b/>
                          <w:i/>
                          <w:color w:val="17365D" w:themeColor="text2" w:themeShade="BF"/>
                          <w:sz w:val="2"/>
                        </w:rPr>
                      </w:pPr>
                    </w:p>
                  </w:txbxContent>
                </v:textbox>
                <w10:wrap type="square" anchorx="margin" anchory="page"/>
              </v:shape>
            </w:pict>
          </mc:Fallback>
        </mc:AlternateContent>
      </w:r>
      <w:r w:rsidR="000B649B" w:rsidRPr="002707FB">
        <w:rPr>
          <w:rFonts w:asciiTheme="minorHAnsi" w:eastAsia="Calibri" w:hAnsiTheme="minorHAnsi" w:cstheme="minorHAnsi"/>
          <w:sz w:val="22"/>
        </w:rPr>
        <w:t>In recognition of the need to maintain a modern and efficient innovation support system, in 2017 the Canad</w:t>
      </w:r>
      <w:r w:rsidR="000B649B">
        <w:rPr>
          <w:rFonts w:asciiTheme="minorHAnsi" w:eastAsia="Calibri" w:hAnsiTheme="minorHAnsi" w:cstheme="minorHAnsi"/>
          <w:sz w:val="22"/>
        </w:rPr>
        <w:t>ian Government</w:t>
      </w:r>
      <w:r w:rsidR="000B649B" w:rsidRPr="002707FB">
        <w:rPr>
          <w:rFonts w:asciiTheme="minorHAnsi" w:eastAsia="Calibri" w:hAnsiTheme="minorHAnsi" w:cstheme="minorHAnsi"/>
          <w:sz w:val="22"/>
        </w:rPr>
        <w:t xml:space="preserve"> launched a government-wide review of all of its business innovation and clean technology programs</w:t>
      </w:r>
      <w:r w:rsidR="000B649B">
        <w:rPr>
          <w:rFonts w:asciiTheme="minorHAnsi" w:eastAsia="Calibri" w:hAnsiTheme="minorHAnsi" w:cstheme="minorHAnsi"/>
          <w:sz w:val="22"/>
        </w:rPr>
        <w:t>,</w:t>
      </w:r>
      <w:r w:rsidR="000B649B" w:rsidRPr="002707FB">
        <w:rPr>
          <w:rFonts w:asciiTheme="minorHAnsi" w:eastAsia="Calibri" w:hAnsiTheme="minorHAnsi" w:cstheme="minorHAnsi"/>
          <w:sz w:val="22"/>
        </w:rPr>
        <w:t xml:space="preserve"> with the goal of streamlining and simplifying program delivery in order to better support innovators. </w:t>
      </w:r>
    </w:p>
    <w:p w14:paraId="3257BDD9" w14:textId="1B6FE61D" w:rsidR="000B649B" w:rsidRDefault="000B649B" w:rsidP="000B649B">
      <w:pPr>
        <w:spacing w:line="240" w:lineRule="auto"/>
        <w:rPr>
          <w:rFonts w:asciiTheme="minorHAnsi" w:eastAsiaTheme="minorEastAsia" w:hAnsiTheme="minorHAnsi" w:cstheme="minorHAnsi"/>
          <w:sz w:val="22"/>
        </w:rPr>
      </w:pPr>
      <w:r w:rsidRPr="002707FB">
        <w:rPr>
          <w:rFonts w:asciiTheme="minorHAnsi" w:eastAsiaTheme="minorEastAsia" w:hAnsiTheme="minorHAnsi" w:cstheme="minorHAnsi"/>
          <w:sz w:val="22"/>
        </w:rPr>
        <w:t>To reduce the cost and complexity of accessing the Canada’s intellectual property (IP) system, the Canad</w:t>
      </w:r>
      <w:r>
        <w:rPr>
          <w:rFonts w:asciiTheme="minorHAnsi" w:eastAsiaTheme="minorEastAsia" w:hAnsiTheme="minorHAnsi" w:cstheme="minorHAnsi"/>
          <w:sz w:val="22"/>
        </w:rPr>
        <w:t>ian Government</w:t>
      </w:r>
      <w:r w:rsidRPr="002707FB" w:rsidDel="009E276B">
        <w:rPr>
          <w:rFonts w:asciiTheme="minorHAnsi" w:eastAsiaTheme="minorEastAsia" w:hAnsiTheme="minorHAnsi" w:cstheme="minorHAnsi"/>
          <w:sz w:val="22"/>
        </w:rPr>
        <w:t xml:space="preserve"> </w:t>
      </w:r>
      <w:r w:rsidRPr="002707FB">
        <w:rPr>
          <w:rFonts w:asciiTheme="minorHAnsi" w:eastAsiaTheme="minorEastAsia" w:hAnsiTheme="minorHAnsi" w:cstheme="minorHAnsi"/>
          <w:sz w:val="22"/>
        </w:rPr>
        <w:t>has launched a new Intellectual Property Strategy. The IP Strategy will amend key IP laws to remove barriers to innovation and create an independent body to oversee patent and trademark agents.</w:t>
      </w:r>
    </w:p>
    <w:p w14:paraId="6B1B0173" w14:textId="246B60FF" w:rsidR="000B649B" w:rsidRPr="009A5111" w:rsidRDefault="000B649B" w:rsidP="000B649B">
      <w:pPr>
        <w:autoSpaceDE w:val="0"/>
        <w:autoSpaceDN w:val="0"/>
        <w:adjustRightInd w:val="0"/>
        <w:spacing w:after="0" w:line="240" w:lineRule="auto"/>
        <w:rPr>
          <w:rFonts w:asciiTheme="minorHAnsi" w:hAnsiTheme="minorHAnsi" w:cstheme="minorHAnsi"/>
          <w:sz w:val="22"/>
          <w:lang w:val="en"/>
        </w:rPr>
      </w:pPr>
      <w:r w:rsidRPr="009A5111">
        <w:rPr>
          <w:rFonts w:asciiTheme="minorHAnsi" w:hAnsiTheme="minorHAnsi" w:cstheme="minorHAnsi"/>
          <w:sz w:val="22"/>
          <w:lang w:val="en"/>
        </w:rPr>
        <w:t xml:space="preserve">Although it is clear that that digital innovation is essential for growing the economy, the potential of a data-driven economy must be balanced against </w:t>
      </w:r>
      <w:r>
        <w:rPr>
          <w:rFonts w:asciiTheme="minorHAnsi" w:hAnsiTheme="minorHAnsi" w:cstheme="minorHAnsi"/>
          <w:sz w:val="22"/>
          <w:lang w:val="en"/>
        </w:rPr>
        <w:t>citizens</w:t>
      </w:r>
      <w:r w:rsidRPr="009A5111">
        <w:rPr>
          <w:rFonts w:asciiTheme="minorHAnsi" w:hAnsiTheme="minorHAnsi" w:cstheme="minorHAnsi"/>
          <w:sz w:val="22"/>
          <w:lang w:val="en"/>
        </w:rPr>
        <w:t xml:space="preserve">’ right to have their data and privacy protected. As the next step in the its Innovation and Skills Plan, </w:t>
      </w:r>
      <w:r w:rsidRPr="009A5111">
        <w:rPr>
          <w:rFonts w:asciiTheme="minorHAnsi" w:hAnsiTheme="minorHAnsi" w:cstheme="minorHAnsi"/>
          <w:sz w:val="22"/>
        </w:rPr>
        <w:t xml:space="preserve">in </w:t>
      </w:r>
      <w:r w:rsidRPr="009A5111">
        <w:rPr>
          <w:rFonts w:asciiTheme="minorHAnsi" w:hAnsiTheme="minorHAnsi" w:cstheme="minorHAnsi"/>
          <w:sz w:val="22"/>
          <w:lang w:val="en"/>
        </w:rPr>
        <w:t xml:space="preserve">June of 2018 the Canadian Government launched nation-wide consultations on digital and data transformation with the goal of better understanding how </w:t>
      </w:r>
      <w:r w:rsidRPr="009A5111">
        <w:rPr>
          <w:rFonts w:asciiTheme="minorHAnsi" w:hAnsiTheme="minorHAnsi" w:cstheme="minorHAnsi"/>
          <w:sz w:val="22"/>
        </w:rPr>
        <w:t xml:space="preserve">Canada should position itself to take advantage of the new data economy. </w:t>
      </w:r>
      <w:r w:rsidRPr="009A5111">
        <w:rPr>
          <w:rFonts w:asciiTheme="minorHAnsi" w:hAnsiTheme="minorHAnsi" w:cstheme="minorHAnsi"/>
          <w:sz w:val="22"/>
          <w:lang w:val="en"/>
        </w:rPr>
        <w:t xml:space="preserve"> </w:t>
      </w:r>
    </w:p>
    <w:p w14:paraId="06138DE5" w14:textId="77777777" w:rsidR="000B649B" w:rsidRDefault="000B649B" w:rsidP="000B649B">
      <w:pPr>
        <w:autoSpaceDE w:val="0"/>
        <w:autoSpaceDN w:val="0"/>
        <w:adjustRightInd w:val="0"/>
        <w:spacing w:after="0" w:line="240" w:lineRule="auto"/>
        <w:rPr>
          <w:rFonts w:asciiTheme="minorHAnsi" w:eastAsia="Calibri" w:hAnsiTheme="minorHAnsi" w:cstheme="minorHAnsi"/>
          <w:sz w:val="22"/>
        </w:rPr>
      </w:pPr>
    </w:p>
    <w:p w14:paraId="37373A12" w14:textId="77777777" w:rsidR="000B649B" w:rsidRPr="002707FB" w:rsidRDefault="000B649B" w:rsidP="000B649B">
      <w:pPr>
        <w:autoSpaceDE w:val="0"/>
        <w:autoSpaceDN w:val="0"/>
        <w:adjustRightInd w:val="0"/>
        <w:spacing w:after="0" w:line="240" w:lineRule="auto"/>
        <w:rPr>
          <w:rFonts w:asciiTheme="minorHAnsi" w:hAnsiTheme="minorHAnsi" w:cstheme="minorHAnsi"/>
          <w:sz w:val="22"/>
          <w:lang w:val="en-CA"/>
        </w:rPr>
      </w:pPr>
      <w:r w:rsidRPr="002707FB">
        <w:rPr>
          <w:rFonts w:asciiTheme="minorHAnsi" w:eastAsia="Calibri" w:hAnsiTheme="minorHAnsi" w:cstheme="minorHAnsi"/>
          <w:sz w:val="22"/>
        </w:rPr>
        <w:t xml:space="preserve">To support competitiveness and investment in new technologies, in </w:t>
      </w:r>
      <w:r>
        <w:rPr>
          <w:rFonts w:asciiTheme="minorHAnsi" w:eastAsia="Calibri" w:hAnsiTheme="minorHAnsi" w:cstheme="minorHAnsi"/>
          <w:sz w:val="22"/>
        </w:rPr>
        <w:t>November</w:t>
      </w:r>
      <w:r w:rsidRPr="002707FB">
        <w:rPr>
          <w:rFonts w:asciiTheme="minorHAnsi" w:eastAsia="Calibri" w:hAnsiTheme="minorHAnsi" w:cstheme="minorHAnsi"/>
          <w:sz w:val="22"/>
        </w:rPr>
        <w:t xml:space="preserve"> of 2018 the </w:t>
      </w:r>
      <w:r>
        <w:rPr>
          <w:rFonts w:asciiTheme="minorHAnsi" w:eastAsia="Calibri" w:hAnsiTheme="minorHAnsi" w:cstheme="minorHAnsi"/>
          <w:sz w:val="22"/>
        </w:rPr>
        <w:t xml:space="preserve">Canadian </w:t>
      </w:r>
      <w:r w:rsidRPr="002707FB">
        <w:rPr>
          <w:rFonts w:asciiTheme="minorHAnsi" w:eastAsia="Calibri" w:hAnsiTheme="minorHAnsi" w:cstheme="minorHAnsi"/>
          <w:sz w:val="22"/>
        </w:rPr>
        <w:t>Government announced three important changes to Canada’s business income tax system:</w:t>
      </w:r>
    </w:p>
    <w:p w14:paraId="5CBBA100" w14:textId="74498D17" w:rsidR="000B649B" w:rsidRPr="002707FB" w:rsidRDefault="000B649B" w:rsidP="000B649B">
      <w:pPr>
        <w:autoSpaceDE w:val="0"/>
        <w:autoSpaceDN w:val="0"/>
        <w:adjustRightInd w:val="0"/>
        <w:spacing w:after="0" w:line="240" w:lineRule="auto"/>
        <w:rPr>
          <w:rFonts w:asciiTheme="minorHAnsi" w:hAnsiTheme="minorHAnsi" w:cstheme="minorHAnsi"/>
          <w:sz w:val="22"/>
          <w:lang w:val="en-CA"/>
        </w:rPr>
      </w:pPr>
    </w:p>
    <w:p w14:paraId="251C5C63" w14:textId="77777777" w:rsidR="000B649B" w:rsidRPr="002707FB" w:rsidRDefault="000B649B" w:rsidP="00BC2039">
      <w:pPr>
        <w:pStyle w:val="ListParagraph"/>
        <w:numPr>
          <w:ilvl w:val="0"/>
          <w:numId w:val="9"/>
        </w:numPr>
        <w:spacing w:after="100" w:afterAutospacing="1" w:line="240" w:lineRule="auto"/>
        <w:rPr>
          <w:rFonts w:asciiTheme="minorHAnsi" w:eastAsia="Calibri" w:hAnsiTheme="minorHAnsi" w:cstheme="minorHAnsi"/>
          <w:sz w:val="22"/>
        </w:rPr>
      </w:pPr>
      <w:r w:rsidRPr="002707FB">
        <w:rPr>
          <w:rFonts w:asciiTheme="minorHAnsi" w:eastAsia="Calibri" w:hAnsiTheme="minorHAnsi" w:cstheme="minorHAnsi"/>
          <w:sz w:val="22"/>
        </w:rPr>
        <w:t xml:space="preserve">Allowing businesses to immediately write off the cost of machinery and equipment used for the </w:t>
      </w:r>
      <w:r w:rsidRPr="002707FB">
        <w:rPr>
          <w:rFonts w:asciiTheme="minorHAnsi" w:eastAsiaTheme="minorEastAsia" w:hAnsiTheme="minorHAnsi" w:cstheme="minorHAnsi"/>
          <w:sz w:val="22"/>
        </w:rPr>
        <w:t>manufacturing or processing of goods</w:t>
      </w:r>
      <w:r>
        <w:rPr>
          <w:rFonts w:asciiTheme="minorHAnsi" w:eastAsiaTheme="minorEastAsia" w:hAnsiTheme="minorHAnsi" w:cstheme="minorHAnsi"/>
          <w:sz w:val="22"/>
        </w:rPr>
        <w:t>;</w:t>
      </w:r>
    </w:p>
    <w:p w14:paraId="4C10FE35" w14:textId="77777777" w:rsidR="000B649B" w:rsidRPr="002707FB" w:rsidRDefault="000B649B" w:rsidP="00BC2039">
      <w:pPr>
        <w:pStyle w:val="ListParagraph"/>
        <w:numPr>
          <w:ilvl w:val="0"/>
          <w:numId w:val="9"/>
        </w:numPr>
        <w:spacing w:after="100" w:afterAutospacing="1" w:line="240" w:lineRule="auto"/>
        <w:rPr>
          <w:rFonts w:asciiTheme="minorHAnsi" w:eastAsia="Calibri" w:hAnsiTheme="minorHAnsi" w:cstheme="minorHAnsi"/>
          <w:sz w:val="22"/>
        </w:rPr>
      </w:pPr>
      <w:r w:rsidRPr="002707FB">
        <w:rPr>
          <w:rFonts w:asciiTheme="minorHAnsi" w:eastAsia="Calibri" w:hAnsiTheme="minorHAnsi" w:cstheme="minorHAnsi"/>
          <w:sz w:val="22"/>
        </w:rPr>
        <w:t>Allowing businesses to immediately write off the full cost of speci</w:t>
      </w:r>
      <w:r>
        <w:rPr>
          <w:rFonts w:asciiTheme="minorHAnsi" w:eastAsia="Calibri" w:hAnsiTheme="minorHAnsi" w:cstheme="minorHAnsi"/>
          <w:sz w:val="22"/>
        </w:rPr>
        <w:t>fied clean energy equipment; and,</w:t>
      </w:r>
    </w:p>
    <w:p w14:paraId="42F51297" w14:textId="77777777" w:rsidR="000B649B" w:rsidRPr="002707FB" w:rsidRDefault="000B649B" w:rsidP="00BC2039">
      <w:pPr>
        <w:pStyle w:val="ListParagraph"/>
        <w:numPr>
          <w:ilvl w:val="0"/>
          <w:numId w:val="9"/>
        </w:numPr>
        <w:spacing w:after="100" w:afterAutospacing="1" w:line="240" w:lineRule="auto"/>
        <w:rPr>
          <w:rFonts w:asciiTheme="minorHAnsi" w:eastAsia="Calibri" w:hAnsiTheme="minorHAnsi" w:cstheme="minorHAnsi"/>
          <w:sz w:val="22"/>
        </w:rPr>
      </w:pPr>
      <w:r w:rsidRPr="002707FB">
        <w:rPr>
          <w:rFonts w:asciiTheme="minorHAnsi" w:eastAsia="Calibri" w:hAnsiTheme="minorHAnsi" w:cstheme="minorHAnsi"/>
          <w:sz w:val="22"/>
        </w:rPr>
        <w:t xml:space="preserve">Introducing the Accelerated Investment Incentive, an accelerated capital cost allowance (i.e., larger </w:t>
      </w:r>
      <w:r w:rsidRPr="002707FB">
        <w:rPr>
          <w:rFonts w:asciiTheme="minorHAnsi" w:eastAsiaTheme="minorEastAsia" w:hAnsiTheme="minorHAnsi" w:cstheme="minorHAnsi"/>
          <w:sz w:val="22"/>
        </w:rPr>
        <w:t>deduction for depreciation) for businesses of all sizes</w:t>
      </w:r>
      <w:r>
        <w:rPr>
          <w:rFonts w:asciiTheme="minorHAnsi" w:eastAsiaTheme="minorEastAsia" w:hAnsiTheme="minorHAnsi" w:cstheme="minorHAnsi"/>
          <w:sz w:val="22"/>
        </w:rPr>
        <w:t xml:space="preserve"> and</w:t>
      </w:r>
      <w:r w:rsidRPr="002707FB">
        <w:rPr>
          <w:rFonts w:asciiTheme="minorHAnsi" w:eastAsiaTheme="minorEastAsia" w:hAnsiTheme="minorHAnsi" w:cstheme="minorHAnsi"/>
          <w:sz w:val="22"/>
        </w:rPr>
        <w:t xml:space="preserve"> across all sectors of the economy</w:t>
      </w:r>
      <w:r>
        <w:rPr>
          <w:rFonts w:asciiTheme="minorHAnsi" w:eastAsiaTheme="minorEastAsia" w:hAnsiTheme="minorHAnsi" w:cstheme="minorHAnsi"/>
          <w:sz w:val="22"/>
        </w:rPr>
        <w:t>,</w:t>
      </w:r>
      <w:r w:rsidRPr="002707FB">
        <w:rPr>
          <w:rFonts w:asciiTheme="minorHAnsi" w:eastAsiaTheme="minorEastAsia" w:hAnsiTheme="minorHAnsi" w:cstheme="minorHAnsi"/>
          <w:sz w:val="22"/>
        </w:rPr>
        <w:t xml:space="preserve"> </w:t>
      </w:r>
      <w:r>
        <w:rPr>
          <w:rFonts w:asciiTheme="minorHAnsi" w:eastAsiaTheme="minorEastAsia" w:hAnsiTheme="minorHAnsi" w:cstheme="minorHAnsi"/>
          <w:sz w:val="22"/>
        </w:rPr>
        <w:t xml:space="preserve">and </w:t>
      </w:r>
      <w:r w:rsidRPr="002707FB">
        <w:rPr>
          <w:rFonts w:asciiTheme="minorHAnsi" w:eastAsiaTheme="minorEastAsia" w:hAnsiTheme="minorHAnsi" w:cstheme="minorHAnsi"/>
          <w:sz w:val="22"/>
        </w:rPr>
        <w:t xml:space="preserve">applying to both tangible and </w:t>
      </w:r>
      <w:r>
        <w:rPr>
          <w:rFonts w:asciiTheme="minorHAnsi" w:eastAsia="Calibri" w:hAnsiTheme="minorHAnsi" w:cstheme="minorHAnsi"/>
          <w:sz w:val="22"/>
          <w:lang w:val="en-CA"/>
        </w:rPr>
        <w:t>intangible capital assets (</w:t>
      </w:r>
      <w:r w:rsidRPr="002707FB">
        <w:rPr>
          <w:rFonts w:asciiTheme="minorHAnsi" w:eastAsia="Calibri" w:hAnsiTheme="minorHAnsi" w:cstheme="minorHAnsi"/>
          <w:sz w:val="22"/>
          <w:lang w:val="en-CA"/>
        </w:rPr>
        <w:t xml:space="preserve">such as patents and </w:t>
      </w:r>
      <w:r w:rsidRPr="002707FB">
        <w:rPr>
          <w:rFonts w:asciiTheme="minorHAnsi" w:eastAsiaTheme="minorEastAsia" w:hAnsiTheme="minorHAnsi" w:cstheme="minorHAnsi"/>
          <w:sz w:val="22"/>
          <w:lang w:val="en-CA"/>
        </w:rPr>
        <w:t xml:space="preserve">other </w:t>
      </w:r>
      <w:r>
        <w:rPr>
          <w:rFonts w:asciiTheme="minorHAnsi" w:eastAsiaTheme="minorEastAsia" w:hAnsiTheme="minorHAnsi" w:cstheme="minorHAnsi"/>
          <w:sz w:val="22"/>
          <w:lang w:val="en-CA"/>
        </w:rPr>
        <w:t>IP)</w:t>
      </w:r>
      <w:r w:rsidRPr="002707FB">
        <w:rPr>
          <w:rFonts w:asciiTheme="minorHAnsi" w:eastAsiaTheme="minorEastAsia" w:hAnsiTheme="minorHAnsi" w:cstheme="minorHAnsi"/>
          <w:sz w:val="22"/>
          <w:lang w:val="en-CA"/>
        </w:rPr>
        <w:t>.</w:t>
      </w:r>
      <w:r>
        <w:rPr>
          <w:rFonts w:asciiTheme="minorHAnsi" w:eastAsiaTheme="minorEastAsia" w:hAnsiTheme="minorHAnsi" w:cstheme="minorHAnsi"/>
          <w:sz w:val="22"/>
        </w:rPr>
        <w:t xml:space="preserve"> </w:t>
      </w:r>
    </w:p>
    <w:p w14:paraId="4ED714CE" w14:textId="77777777" w:rsidR="000B649B" w:rsidRDefault="000B649B" w:rsidP="000B649B">
      <w:pPr>
        <w:autoSpaceDE w:val="0"/>
        <w:autoSpaceDN w:val="0"/>
        <w:adjustRightInd w:val="0"/>
        <w:spacing w:after="0" w:line="240" w:lineRule="auto"/>
        <w:rPr>
          <w:rFonts w:asciiTheme="minorHAnsi" w:hAnsiTheme="minorHAnsi" w:cstheme="minorHAnsi"/>
          <w:sz w:val="22"/>
        </w:rPr>
      </w:pPr>
      <w:r>
        <w:rPr>
          <w:rFonts w:asciiTheme="minorHAnsi" w:hAnsiTheme="minorHAnsi" w:cstheme="minorHAnsi"/>
          <w:sz w:val="22"/>
        </w:rPr>
        <w:t>In November</w:t>
      </w:r>
      <w:r w:rsidRPr="002707FB">
        <w:rPr>
          <w:rFonts w:asciiTheme="minorHAnsi" w:hAnsiTheme="minorHAnsi" w:cstheme="minorHAnsi"/>
          <w:sz w:val="22"/>
        </w:rPr>
        <w:t xml:space="preserve"> of 2018, the Canadian Government announced a plan to address the competitiveness challenges created by outdated and inefficient regulation. As its key elements, this plan includes the creation of an External Advisory Committee on Regulatory Competitiveness and the launch of the Centre for Regulatory Innovation</w:t>
      </w:r>
      <w:r>
        <w:rPr>
          <w:rFonts w:asciiTheme="minorHAnsi" w:hAnsiTheme="minorHAnsi" w:cstheme="minorHAnsi"/>
          <w:sz w:val="22"/>
        </w:rPr>
        <w:t>,</w:t>
      </w:r>
      <w:r w:rsidRPr="002707FB">
        <w:rPr>
          <w:rFonts w:asciiTheme="minorHAnsi" w:hAnsiTheme="minorHAnsi" w:cstheme="minorHAnsi"/>
          <w:sz w:val="22"/>
        </w:rPr>
        <w:t xml:space="preserve"> with a mandate to speed up the integration, adoption, and commercialization of new approaches and emerging technologies.</w:t>
      </w:r>
    </w:p>
    <w:p w14:paraId="2C45F688" w14:textId="77777777" w:rsidR="000B649B" w:rsidRDefault="000B649B" w:rsidP="000B649B">
      <w:pPr>
        <w:autoSpaceDE w:val="0"/>
        <w:autoSpaceDN w:val="0"/>
        <w:adjustRightInd w:val="0"/>
        <w:spacing w:after="0" w:line="240" w:lineRule="auto"/>
        <w:rPr>
          <w:rFonts w:asciiTheme="minorHAnsi" w:hAnsiTheme="minorHAnsi" w:cstheme="minorHAnsi"/>
          <w:sz w:val="22"/>
        </w:rPr>
      </w:pPr>
    </w:p>
    <w:p w14:paraId="130F9521" w14:textId="77777777" w:rsidR="000B649B" w:rsidRDefault="000B649B" w:rsidP="000B649B">
      <w:pPr>
        <w:autoSpaceDE w:val="0"/>
        <w:autoSpaceDN w:val="0"/>
        <w:adjustRightInd w:val="0"/>
        <w:spacing w:after="0" w:line="240" w:lineRule="auto"/>
        <w:rPr>
          <w:rFonts w:asciiTheme="minorHAnsi" w:hAnsiTheme="minorHAnsi" w:cstheme="minorHAnsi"/>
          <w:sz w:val="22"/>
        </w:rPr>
      </w:pPr>
      <w:r>
        <w:rPr>
          <w:rFonts w:asciiTheme="minorHAnsi" w:hAnsiTheme="minorHAnsi" w:cstheme="minorHAnsi"/>
          <w:sz w:val="22"/>
        </w:rPr>
        <w:t>In addition, to support businesses, the Global Talent Stream of the Temporary Foreign Worker Program –which is part of the Canadian Government’s Global Skills Strategy – aims to help innovative companies quickly access the highly skilled talent they need to scale up and grow.</w:t>
      </w:r>
    </w:p>
    <w:p w14:paraId="57D8BEAC" w14:textId="77777777" w:rsidR="000B649B" w:rsidRPr="00CE0B63" w:rsidRDefault="000B649B" w:rsidP="000B649B">
      <w:pPr>
        <w:autoSpaceDE w:val="0"/>
        <w:autoSpaceDN w:val="0"/>
        <w:adjustRightInd w:val="0"/>
        <w:spacing w:after="0"/>
        <w:rPr>
          <w:rFonts w:cs="Times New Roman"/>
        </w:rPr>
      </w:pPr>
      <w:r w:rsidRPr="009367C1">
        <w:rPr>
          <w:noProof/>
          <w:color w:val="990000"/>
          <w:lang w:val="en-US"/>
        </w:rPr>
        <mc:AlternateContent>
          <mc:Choice Requires="wps">
            <w:drawing>
              <wp:anchor distT="0" distB="0" distL="114300" distR="114300" simplePos="0" relativeHeight="251658240" behindDoc="0" locked="0" layoutInCell="1" allowOverlap="1" wp14:anchorId="5CB90FEC" wp14:editId="42A4C732">
                <wp:simplePos x="0" y="0"/>
                <wp:positionH relativeFrom="column">
                  <wp:posOffset>635</wp:posOffset>
                </wp:positionH>
                <wp:positionV relativeFrom="paragraph">
                  <wp:posOffset>0</wp:posOffset>
                </wp:positionV>
                <wp:extent cx="6324600" cy="1403985"/>
                <wp:effectExtent l="0" t="0" r="19050" b="2095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3985"/>
                        </a:xfrm>
                        <a:prstGeom prst="rect">
                          <a:avLst/>
                        </a:prstGeom>
                        <a:solidFill>
                          <a:schemeClr val="accent1">
                            <a:lumMod val="20000"/>
                            <a:lumOff val="80000"/>
                          </a:schemeClr>
                        </a:solidFill>
                        <a:ln w="12700">
                          <a:solidFill>
                            <a:schemeClr val="tx2"/>
                          </a:solidFill>
                          <a:miter lim="800000"/>
                          <a:headEnd/>
                          <a:tailEnd/>
                        </a:ln>
                      </wps:spPr>
                      <wps:txbx>
                        <w:txbxContent>
                          <w:p w14:paraId="38EF2200" w14:textId="77777777" w:rsidR="00633B37" w:rsidRPr="000C0E79" w:rsidRDefault="00633B37" w:rsidP="000B649B">
                            <w:pPr>
                              <w:spacing w:line="240" w:lineRule="auto"/>
                              <w:contextualSpacing/>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48F83470"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5008FBD" w14:textId="77777777" w:rsidR="00633B37" w:rsidRPr="000C0E79" w:rsidRDefault="00633B37" w:rsidP="000B649B">
                            <w:p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Technological advancement and increasing globalization will continue to incentivize businesses to change how they produce, what they produce, and who they produce for.</w:t>
                            </w:r>
                          </w:p>
                          <w:p w14:paraId="31974ACF" w14:textId="77777777" w:rsidR="00633B37" w:rsidRPr="000C0E79" w:rsidRDefault="00633B37" w:rsidP="000B649B">
                            <w:p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While it is the responsibility of the private sector to seek out new opportunities and adjust to changing markets, governments will continue to have a strong facilitating role to play in building supportive business environments. Regulatory regimes, competition frameworks, and tax policies need to be carefully examined and adjusted to accommodate changes to market and business structures and to keep pace with the speed of innovation, while also continuing to support competitiveness with international peers. </w:t>
                            </w:r>
                          </w:p>
                          <w:p w14:paraId="141DB880" w14:textId="35730B0F" w:rsidR="00633B37" w:rsidRPr="000C0E79" w:rsidRDefault="00633B37" w:rsidP="000B649B">
                            <w:pPr>
                              <w:spacing w:line="240" w:lineRule="auto"/>
                              <w:rPr>
                                <w:rFonts w:asciiTheme="minorHAnsi" w:hAnsiTheme="minorHAnsi" w:cstheme="minorHAnsi"/>
                                <w:color w:val="1F497D" w:themeColor="text2"/>
                                <w:sz w:val="22"/>
                              </w:rPr>
                            </w:pPr>
                            <w:r w:rsidRPr="0035510C">
                              <w:rPr>
                                <w:rFonts w:asciiTheme="minorHAnsi" w:hAnsiTheme="minorHAnsi" w:cstheme="minorHAnsi"/>
                                <w:color w:val="1F497D" w:themeColor="text2"/>
                                <w:sz w:val="22"/>
                              </w:rPr>
                              <w:t>While governments should generally seek to avoid intervening in private markets</w:t>
                            </w:r>
                            <w:r>
                              <w:rPr>
                                <w:rFonts w:asciiTheme="minorHAnsi" w:hAnsiTheme="minorHAnsi" w:cstheme="minorHAnsi"/>
                                <w:color w:val="1F497D" w:themeColor="text2"/>
                                <w:sz w:val="22"/>
                              </w:rPr>
                              <w:t>,</w:t>
                            </w:r>
                            <w:r w:rsidRPr="0035510C">
                              <w:rPr>
                                <w:rFonts w:asciiTheme="minorHAnsi" w:hAnsiTheme="minorHAnsi" w:cstheme="minorHAnsi"/>
                                <w:color w:val="1F497D" w:themeColor="text2"/>
                                <w:sz w:val="22"/>
                              </w:rPr>
                              <w:t xml:space="preserve"> given that exper</w:t>
                            </w:r>
                            <w:r>
                              <w:rPr>
                                <w:rFonts w:asciiTheme="minorHAnsi" w:hAnsiTheme="minorHAnsi" w:cstheme="minorHAnsi"/>
                                <w:color w:val="1F497D" w:themeColor="text2"/>
                                <w:sz w:val="22"/>
                              </w:rPr>
                              <w:t>ience over recent decades shows</w:t>
                            </w:r>
                            <w:r w:rsidRPr="0035510C">
                              <w:rPr>
                                <w:rFonts w:asciiTheme="minorHAnsi" w:hAnsiTheme="minorHAnsi" w:cstheme="minorHAnsi"/>
                                <w:color w:val="1F497D" w:themeColor="text2"/>
                                <w:sz w:val="22"/>
                              </w:rPr>
                              <w:t xml:space="preserve"> that most will successfully adjust, there is likely to</w:t>
                            </w:r>
                            <w:r>
                              <w:rPr>
                                <w:rFonts w:asciiTheme="minorHAnsi" w:hAnsiTheme="minorHAnsi" w:cstheme="minorHAnsi"/>
                                <w:color w:val="1F497D" w:themeColor="text2"/>
                                <w:sz w:val="22"/>
                              </w:rPr>
                              <w:t xml:space="preserve"> continue to be a case for well-t</w:t>
                            </w:r>
                            <w:r w:rsidRPr="0035510C">
                              <w:rPr>
                                <w:rFonts w:asciiTheme="minorHAnsi" w:hAnsiTheme="minorHAnsi" w:cstheme="minorHAnsi"/>
                                <w:color w:val="1F497D" w:themeColor="text2"/>
                                <w:sz w:val="22"/>
                              </w:rPr>
                              <w:t>argeted interventions to correct market failures</w:t>
                            </w:r>
                            <w:r>
                              <w:rPr>
                                <w:rFonts w:asciiTheme="minorHAnsi" w:hAnsiTheme="minorHAnsi" w:cstheme="minorHAnsi"/>
                                <w:color w:val="1F497D" w:themeColor="text2"/>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90FEC" id="Text Box 20" o:spid="_x0000_s1027" type="#_x0000_t202" style="position:absolute;margin-left:.05pt;margin-top:0;width:498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" fillcolor="#dbe5f1 [660]" strokecolor="#1f497d [3215]" strokeweight="1pt">
                <v:textbox style="mso-fit-shape-to-text:t">
                  <w:txbxContent>
                    <w:p w14:paraId="38EF2200" w14:textId="77777777" w:rsidR="00633B37" w:rsidRPr="000C0E79" w:rsidRDefault="00633B37" w:rsidP="000B649B">
                      <w:pPr>
                        <w:spacing w:line="240" w:lineRule="auto"/>
                        <w:contextualSpacing/>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48F83470"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5008FBD" w14:textId="77777777" w:rsidR="00633B37" w:rsidRPr="000C0E79" w:rsidRDefault="00633B37" w:rsidP="000B649B">
                      <w:p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Technological advancement and increasing globalization will continue to incentivize businesses to change how they produce, what they produce, and who they produce for.</w:t>
                      </w:r>
                    </w:p>
                    <w:p w14:paraId="31974ACF" w14:textId="77777777" w:rsidR="00633B37" w:rsidRPr="000C0E79" w:rsidRDefault="00633B37" w:rsidP="000B649B">
                      <w:p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While it is the responsibility of the private sector to seek out new opportunities and adjust to changing markets, governments will continue to have a strong facilitating role to play in building supportive business environments. Regulatory regimes, competition frameworks, and tax policies need to be carefully examined and adjusted to accommodate changes to market and business structures and to keep pace with the speed of innovation, while also continuing to support competitiveness with international peers. </w:t>
                      </w:r>
                    </w:p>
                    <w:p w14:paraId="141DB880" w14:textId="35730B0F" w:rsidR="00633B37" w:rsidRPr="000C0E79" w:rsidRDefault="00633B37" w:rsidP="000B649B">
                      <w:pPr>
                        <w:spacing w:line="240" w:lineRule="auto"/>
                        <w:rPr>
                          <w:rFonts w:asciiTheme="minorHAnsi" w:hAnsiTheme="minorHAnsi" w:cstheme="minorHAnsi"/>
                          <w:color w:val="1F497D" w:themeColor="text2"/>
                          <w:sz w:val="22"/>
                        </w:rPr>
                      </w:pPr>
                      <w:r w:rsidRPr="0035510C">
                        <w:rPr>
                          <w:rFonts w:asciiTheme="minorHAnsi" w:hAnsiTheme="minorHAnsi" w:cstheme="minorHAnsi"/>
                          <w:color w:val="1F497D" w:themeColor="text2"/>
                          <w:sz w:val="22"/>
                        </w:rPr>
                        <w:t>While governments should generally seek to avoid intervening in private markets</w:t>
                      </w:r>
                      <w:r>
                        <w:rPr>
                          <w:rFonts w:asciiTheme="minorHAnsi" w:hAnsiTheme="minorHAnsi" w:cstheme="minorHAnsi"/>
                          <w:color w:val="1F497D" w:themeColor="text2"/>
                          <w:sz w:val="22"/>
                        </w:rPr>
                        <w:t>,</w:t>
                      </w:r>
                      <w:r w:rsidRPr="0035510C">
                        <w:rPr>
                          <w:rFonts w:asciiTheme="minorHAnsi" w:hAnsiTheme="minorHAnsi" w:cstheme="minorHAnsi"/>
                          <w:color w:val="1F497D" w:themeColor="text2"/>
                          <w:sz w:val="22"/>
                        </w:rPr>
                        <w:t xml:space="preserve"> given that exper</w:t>
                      </w:r>
                      <w:r>
                        <w:rPr>
                          <w:rFonts w:asciiTheme="minorHAnsi" w:hAnsiTheme="minorHAnsi" w:cstheme="minorHAnsi"/>
                          <w:color w:val="1F497D" w:themeColor="text2"/>
                          <w:sz w:val="22"/>
                        </w:rPr>
                        <w:t>ience over recent decades shows</w:t>
                      </w:r>
                      <w:r w:rsidRPr="0035510C">
                        <w:rPr>
                          <w:rFonts w:asciiTheme="minorHAnsi" w:hAnsiTheme="minorHAnsi" w:cstheme="minorHAnsi"/>
                          <w:color w:val="1F497D" w:themeColor="text2"/>
                          <w:sz w:val="22"/>
                        </w:rPr>
                        <w:t xml:space="preserve"> that most will successfully adjust, there is likely to</w:t>
                      </w:r>
                      <w:r>
                        <w:rPr>
                          <w:rFonts w:asciiTheme="minorHAnsi" w:hAnsiTheme="minorHAnsi" w:cstheme="minorHAnsi"/>
                          <w:color w:val="1F497D" w:themeColor="text2"/>
                          <w:sz w:val="22"/>
                        </w:rPr>
                        <w:t xml:space="preserve"> continue to be a case for well-t</w:t>
                      </w:r>
                      <w:r w:rsidRPr="0035510C">
                        <w:rPr>
                          <w:rFonts w:asciiTheme="minorHAnsi" w:hAnsiTheme="minorHAnsi" w:cstheme="minorHAnsi"/>
                          <w:color w:val="1F497D" w:themeColor="text2"/>
                          <w:sz w:val="22"/>
                        </w:rPr>
                        <w:t>argeted interventions to correct market failures</w:t>
                      </w:r>
                      <w:r>
                        <w:rPr>
                          <w:rFonts w:asciiTheme="minorHAnsi" w:hAnsiTheme="minorHAnsi" w:cstheme="minorHAnsi"/>
                          <w:color w:val="1F497D" w:themeColor="text2"/>
                          <w:sz w:val="22"/>
                        </w:rPr>
                        <w:t>.</w:t>
                      </w:r>
                    </w:p>
                  </w:txbxContent>
                </v:textbox>
                <w10:wrap type="topAndBottom"/>
              </v:shape>
            </w:pict>
          </mc:Fallback>
        </mc:AlternateContent>
      </w:r>
    </w:p>
    <w:p w14:paraId="3117A25A" w14:textId="77777777" w:rsidR="000B649B" w:rsidRPr="00132C88" w:rsidRDefault="000B649B" w:rsidP="00BC2039">
      <w:pPr>
        <w:pStyle w:val="Heading1"/>
        <w:numPr>
          <w:ilvl w:val="0"/>
          <w:numId w:val="12"/>
        </w:numPr>
      </w:pPr>
      <w:r>
        <w:t>E</w:t>
      </w:r>
      <w:r w:rsidRPr="005D5A83">
        <w:t xml:space="preserve">quipping </w:t>
      </w:r>
      <w:r>
        <w:t xml:space="preserve">the workforce to deal with economic and technological disruption </w:t>
      </w:r>
    </w:p>
    <w:p w14:paraId="72BC36AD" w14:textId="77777777" w:rsidR="000B649B" w:rsidRDefault="000B649B" w:rsidP="000B649B">
      <w:pPr>
        <w:spacing w:after="0" w:line="240" w:lineRule="auto"/>
        <w:contextualSpacing/>
        <w:rPr>
          <w:rFonts w:asciiTheme="minorHAnsi" w:hAnsiTheme="minorHAnsi"/>
          <w:sz w:val="22"/>
        </w:rPr>
      </w:pPr>
      <w:r>
        <w:rPr>
          <w:rFonts w:asciiTheme="minorHAnsi" w:hAnsiTheme="minorHAnsi"/>
          <w:sz w:val="22"/>
        </w:rPr>
        <w:t>L</w:t>
      </w:r>
      <w:r w:rsidRPr="00A91401">
        <w:rPr>
          <w:rFonts w:asciiTheme="minorHAnsi" w:hAnsiTheme="minorHAnsi"/>
          <w:sz w:val="22"/>
        </w:rPr>
        <w:t>abour markets in Australi</w:t>
      </w:r>
      <w:r>
        <w:rPr>
          <w:rFonts w:asciiTheme="minorHAnsi" w:hAnsiTheme="minorHAnsi"/>
          <w:sz w:val="22"/>
        </w:rPr>
        <w:t>a and Canada are influenced by ‘</w:t>
      </w:r>
      <w:r w:rsidRPr="00A91401">
        <w:rPr>
          <w:rFonts w:asciiTheme="minorHAnsi" w:hAnsiTheme="minorHAnsi"/>
          <w:sz w:val="22"/>
        </w:rPr>
        <w:t>megatrends</w:t>
      </w:r>
      <w:r>
        <w:rPr>
          <w:rFonts w:asciiTheme="minorHAnsi" w:hAnsiTheme="minorHAnsi"/>
          <w:sz w:val="22"/>
        </w:rPr>
        <w:t xml:space="preserve">’ </w:t>
      </w:r>
      <w:r w:rsidRPr="00A91401">
        <w:rPr>
          <w:rFonts w:asciiTheme="minorHAnsi" w:hAnsiTheme="minorHAnsi"/>
          <w:sz w:val="22"/>
        </w:rPr>
        <w:t>includ</w:t>
      </w:r>
      <w:r>
        <w:rPr>
          <w:rFonts w:asciiTheme="minorHAnsi" w:hAnsiTheme="minorHAnsi"/>
          <w:sz w:val="22"/>
        </w:rPr>
        <w:t>ing</w:t>
      </w:r>
      <w:r w:rsidRPr="00A91401">
        <w:rPr>
          <w:rFonts w:asciiTheme="minorHAnsi" w:hAnsiTheme="minorHAnsi"/>
          <w:sz w:val="22"/>
        </w:rPr>
        <w:t xml:space="preserve"> technological progress, globali</w:t>
      </w:r>
      <w:r>
        <w:rPr>
          <w:rFonts w:asciiTheme="minorHAnsi" w:hAnsiTheme="minorHAnsi"/>
          <w:sz w:val="22"/>
        </w:rPr>
        <w:t>z</w:t>
      </w:r>
      <w:r w:rsidRPr="00A91401">
        <w:rPr>
          <w:rFonts w:asciiTheme="minorHAnsi" w:hAnsiTheme="minorHAnsi"/>
          <w:sz w:val="22"/>
        </w:rPr>
        <w:t xml:space="preserve">ation, </w:t>
      </w:r>
      <w:r w:rsidRPr="00EB6803">
        <w:rPr>
          <w:rFonts w:asciiTheme="minorHAnsi" w:hAnsiTheme="minorHAnsi"/>
          <w:sz w:val="22"/>
        </w:rPr>
        <w:t>climate change,</w:t>
      </w:r>
      <w:r>
        <w:rPr>
          <w:rFonts w:asciiTheme="minorHAnsi" w:hAnsiTheme="minorHAnsi"/>
          <w:sz w:val="22"/>
        </w:rPr>
        <w:t xml:space="preserve"> </w:t>
      </w:r>
      <w:r w:rsidRPr="00A91401">
        <w:rPr>
          <w:rFonts w:asciiTheme="minorHAnsi" w:hAnsiTheme="minorHAnsi"/>
          <w:sz w:val="22"/>
        </w:rPr>
        <w:t>and demographic changes. Cyclical factors</w:t>
      </w:r>
      <w:r>
        <w:rPr>
          <w:rFonts w:asciiTheme="minorHAnsi" w:hAnsiTheme="minorHAnsi"/>
          <w:sz w:val="22"/>
        </w:rPr>
        <w:t xml:space="preserve"> and the</w:t>
      </w:r>
      <w:r w:rsidRPr="00A91401">
        <w:rPr>
          <w:rFonts w:asciiTheme="minorHAnsi" w:hAnsiTheme="minorHAnsi"/>
          <w:sz w:val="22"/>
        </w:rPr>
        <w:t xml:space="preserve"> Global Financial Crisis have also had important and lasting impac</w:t>
      </w:r>
      <w:r>
        <w:rPr>
          <w:rFonts w:asciiTheme="minorHAnsi" w:hAnsiTheme="minorHAnsi"/>
          <w:sz w:val="22"/>
        </w:rPr>
        <w:t>ts on employment and well-being.</w:t>
      </w:r>
    </w:p>
    <w:p w14:paraId="398A7ED6" w14:textId="77777777" w:rsidR="000B649B" w:rsidRDefault="000B649B" w:rsidP="000B649B">
      <w:pPr>
        <w:spacing w:after="0" w:line="240" w:lineRule="auto"/>
        <w:contextualSpacing/>
        <w:rPr>
          <w:rFonts w:asciiTheme="minorHAnsi" w:hAnsiTheme="minorHAnsi"/>
          <w:sz w:val="22"/>
        </w:rPr>
      </w:pPr>
    </w:p>
    <w:p w14:paraId="1130B87A" w14:textId="77777777" w:rsidR="000B649B" w:rsidRPr="00A91401" w:rsidRDefault="000B649B" w:rsidP="000B649B">
      <w:pPr>
        <w:spacing w:line="240" w:lineRule="auto"/>
        <w:rPr>
          <w:rFonts w:asciiTheme="minorHAnsi" w:hAnsiTheme="minorHAnsi"/>
          <w:sz w:val="22"/>
        </w:rPr>
      </w:pPr>
      <w:r w:rsidRPr="00A91401">
        <w:rPr>
          <w:rFonts w:asciiTheme="minorHAnsi" w:hAnsiTheme="minorHAnsi"/>
          <w:sz w:val="22"/>
        </w:rPr>
        <w:t xml:space="preserve">While </w:t>
      </w:r>
      <w:r>
        <w:rPr>
          <w:rFonts w:asciiTheme="minorHAnsi" w:hAnsiTheme="minorHAnsi"/>
          <w:sz w:val="22"/>
        </w:rPr>
        <w:t xml:space="preserve">such </w:t>
      </w:r>
      <w:r w:rsidRPr="00A91401">
        <w:rPr>
          <w:rFonts w:asciiTheme="minorHAnsi" w:hAnsiTheme="minorHAnsi"/>
          <w:sz w:val="22"/>
        </w:rPr>
        <w:t>megatrends have contributed to higher rates of economic participation and improved standards of living</w:t>
      </w:r>
      <w:r>
        <w:rPr>
          <w:rFonts w:asciiTheme="minorHAnsi" w:hAnsiTheme="minorHAnsi"/>
          <w:sz w:val="22"/>
        </w:rPr>
        <w:t xml:space="preserve"> to date</w:t>
      </w:r>
      <w:r w:rsidRPr="00A91401">
        <w:rPr>
          <w:rFonts w:asciiTheme="minorHAnsi" w:hAnsiTheme="minorHAnsi"/>
          <w:sz w:val="22"/>
        </w:rPr>
        <w:t xml:space="preserve">, their benefits have not been evenly felt. In both countries, cohorts such as low-skilled workers, </w:t>
      </w:r>
      <w:r w:rsidRPr="00142CF3">
        <w:rPr>
          <w:rFonts w:asciiTheme="minorHAnsi" w:hAnsiTheme="minorHAnsi"/>
          <w:sz w:val="22"/>
        </w:rPr>
        <w:t>Indigenous people, youth</w:t>
      </w:r>
      <w:r w:rsidRPr="00A91401">
        <w:rPr>
          <w:rFonts w:asciiTheme="minorHAnsi" w:hAnsiTheme="minorHAnsi"/>
          <w:sz w:val="22"/>
        </w:rPr>
        <w:t xml:space="preserve">, </w:t>
      </w:r>
      <w:r>
        <w:rPr>
          <w:rFonts w:asciiTheme="minorHAnsi" w:hAnsiTheme="minorHAnsi"/>
          <w:sz w:val="22"/>
        </w:rPr>
        <w:t>seniors,</w:t>
      </w:r>
      <w:r w:rsidRPr="00142CF3">
        <w:rPr>
          <w:rFonts w:asciiTheme="minorHAnsi" w:hAnsiTheme="minorHAnsi"/>
          <w:sz w:val="22"/>
        </w:rPr>
        <w:t xml:space="preserve"> </w:t>
      </w:r>
      <w:r>
        <w:rPr>
          <w:rFonts w:asciiTheme="minorHAnsi" w:hAnsiTheme="minorHAnsi"/>
          <w:sz w:val="22"/>
        </w:rPr>
        <w:t xml:space="preserve">visible minorities, </w:t>
      </w:r>
      <w:r w:rsidRPr="00142CF3">
        <w:rPr>
          <w:rFonts w:asciiTheme="minorHAnsi" w:hAnsiTheme="minorHAnsi"/>
          <w:sz w:val="22"/>
        </w:rPr>
        <w:t>and people</w:t>
      </w:r>
      <w:r>
        <w:rPr>
          <w:rFonts w:asciiTheme="minorHAnsi" w:hAnsiTheme="minorHAnsi"/>
          <w:sz w:val="22"/>
        </w:rPr>
        <w:t xml:space="preserve"> with disabilities</w:t>
      </w:r>
      <w:r w:rsidRPr="00A91401">
        <w:rPr>
          <w:rFonts w:asciiTheme="minorHAnsi" w:hAnsiTheme="minorHAnsi"/>
          <w:sz w:val="22"/>
        </w:rPr>
        <w:t xml:space="preserve"> continue to be at particular risk of disadvantage in the labour market. </w:t>
      </w:r>
      <w:r>
        <w:rPr>
          <w:rFonts w:asciiTheme="minorHAnsi" w:hAnsiTheme="minorHAnsi"/>
          <w:sz w:val="22"/>
        </w:rPr>
        <w:t>Such barriers</w:t>
      </w:r>
      <w:r w:rsidRPr="00A91401">
        <w:rPr>
          <w:rFonts w:asciiTheme="minorHAnsi" w:hAnsiTheme="minorHAnsi"/>
          <w:sz w:val="22"/>
        </w:rPr>
        <w:t xml:space="preserve"> can compound the effects of other </w:t>
      </w:r>
      <w:r>
        <w:rPr>
          <w:rFonts w:asciiTheme="minorHAnsi" w:hAnsiTheme="minorHAnsi"/>
          <w:sz w:val="22"/>
        </w:rPr>
        <w:t xml:space="preserve">challenges such as economic and technological disruption. </w:t>
      </w:r>
      <w:r w:rsidRPr="00EB6803">
        <w:rPr>
          <w:rFonts w:asciiTheme="minorHAnsi" w:hAnsiTheme="minorHAnsi"/>
          <w:sz w:val="22"/>
        </w:rPr>
        <w:t>Major</w:t>
      </w:r>
      <w:r w:rsidRPr="00A91401">
        <w:rPr>
          <w:rFonts w:asciiTheme="minorHAnsi" w:hAnsiTheme="minorHAnsi"/>
          <w:sz w:val="22"/>
        </w:rPr>
        <w:t xml:space="preserve"> cities have also generally experienced stronger employment outcomes than rural areas, with some regions</w:t>
      </w:r>
      <w:r>
        <w:rPr>
          <w:rFonts w:asciiTheme="minorHAnsi" w:hAnsiTheme="minorHAnsi"/>
          <w:sz w:val="22"/>
        </w:rPr>
        <w:t xml:space="preserve"> </w:t>
      </w:r>
      <w:r w:rsidRPr="00A91401">
        <w:rPr>
          <w:rFonts w:asciiTheme="minorHAnsi" w:hAnsiTheme="minorHAnsi"/>
          <w:sz w:val="22"/>
        </w:rPr>
        <w:t>having persistently weak labour markets</w:t>
      </w:r>
      <w:r w:rsidRPr="00EB6803">
        <w:rPr>
          <w:rFonts w:asciiTheme="minorHAnsi" w:hAnsiTheme="minorHAnsi"/>
          <w:sz w:val="22"/>
        </w:rPr>
        <w:t>.</w:t>
      </w:r>
      <w:r w:rsidRPr="00A91401">
        <w:rPr>
          <w:rFonts w:asciiTheme="minorHAnsi" w:hAnsiTheme="minorHAnsi"/>
          <w:sz w:val="22"/>
        </w:rPr>
        <w:t xml:space="preserve"> There is a risk of the</w:t>
      </w:r>
      <w:r>
        <w:rPr>
          <w:rFonts w:asciiTheme="minorHAnsi" w:hAnsiTheme="minorHAnsi"/>
          <w:sz w:val="22"/>
        </w:rPr>
        <w:t>se factors becoming entrenched</w:t>
      </w:r>
      <w:r w:rsidRPr="00A91401">
        <w:rPr>
          <w:rFonts w:asciiTheme="minorHAnsi" w:hAnsiTheme="minorHAnsi"/>
          <w:sz w:val="22"/>
        </w:rPr>
        <w:t xml:space="preserve"> and weakening social cohesion. </w:t>
      </w:r>
    </w:p>
    <w:p w14:paraId="1521E6E8" w14:textId="77777777" w:rsidR="000B649B" w:rsidRDefault="000B649B" w:rsidP="000B649B">
      <w:pPr>
        <w:spacing w:after="0" w:line="240" w:lineRule="auto"/>
        <w:contextualSpacing/>
        <w:rPr>
          <w:rFonts w:asciiTheme="minorHAnsi" w:hAnsiTheme="minorHAnsi"/>
          <w:sz w:val="22"/>
          <w:lang w:val="en-CA"/>
        </w:rPr>
      </w:pPr>
      <w:r w:rsidRPr="00A91401">
        <w:rPr>
          <w:rFonts w:asciiTheme="minorHAnsi" w:hAnsiTheme="minorHAnsi"/>
          <w:sz w:val="22"/>
        </w:rPr>
        <w:t>Looking ahead, the changing nature of technological progress presents both opportunities and challenges for employment and equ</w:t>
      </w:r>
      <w:r>
        <w:rPr>
          <w:rFonts w:asciiTheme="minorHAnsi" w:hAnsiTheme="minorHAnsi"/>
          <w:sz w:val="22"/>
        </w:rPr>
        <w:t xml:space="preserve">ality in Australia and Canada. </w:t>
      </w:r>
      <w:r w:rsidRPr="00636BE7">
        <w:rPr>
          <w:rFonts w:asciiTheme="minorHAnsi" w:hAnsiTheme="minorHAnsi"/>
          <w:sz w:val="22"/>
        </w:rPr>
        <w:t>Advances</w:t>
      </w:r>
      <w:r w:rsidRPr="00F9471A">
        <w:rPr>
          <w:rFonts w:asciiTheme="minorHAnsi" w:hAnsiTheme="minorHAnsi"/>
          <w:sz w:val="22"/>
        </w:rPr>
        <w:t xml:space="preserve"> in</w:t>
      </w:r>
      <w:r w:rsidRPr="00A91401">
        <w:rPr>
          <w:rFonts w:asciiTheme="minorHAnsi" w:hAnsiTheme="minorHAnsi"/>
          <w:sz w:val="22"/>
        </w:rPr>
        <w:t xml:space="preserve"> technology have the potential to engender positive changes in the labour market as well as to improve individuals’ well-being</w:t>
      </w:r>
      <w:r>
        <w:rPr>
          <w:rFonts w:asciiTheme="minorHAnsi" w:hAnsiTheme="minorHAnsi"/>
          <w:sz w:val="22"/>
        </w:rPr>
        <w:t xml:space="preserve">. </w:t>
      </w:r>
      <w:r w:rsidRPr="00A91401">
        <w:rPr>
          <w:rFonts w:asciiTheme="minorHAnsi" w:hAnsiTheme="minorHAnsi"/>
          <w:sz w:val="22"/>
        </w:rPr>
        <w:t xml:space="preserve">However, </w:t>
      </w:r>
      <w:r w:rsidRPr="00A91401">
        <w:rPr>
          <w:rFonts w:asciiTheme="minorHAnsi" w:hAnsiTheme="minorHAnsi"/>
          <w:sz w:val="22"/>
          <w:lang w:val="en-CA"/>
        </w:rPr>
        <w:t xml:space="preserve">while there is a lack of consensus regarding the impacts of new technologies such as </w:t>
      </w:r>
      <w:r>
        <w:rPr>
          <w:rFonts w:asciiTheme="minorHAnsi" w:hAnsiTheme="minorHAnsi"/>
          <w:sz w:val="22"/>
          <w:lang w:val="en-CA"/>
        </w:rPr>
        <w:t>AI</w:t>
      </w:r>
      <w:r w:rsidRPr="00A91401">
        <w:rPr>
          <w:rFonts w:asciiTheme="minorHAnsi" w:hAnsiTheme="minorHAnsi"/>
          <w:sz w:val="22"/>
          <w:lang w:val="en-CA"/>
        </w:rPr>
        <w:t>, much of the literature agrees that there will be d</w:t>
      </w:r>
      <w:r>
        <w:rPr>
          <w:rFonts w:asciiTheme="minorHAnsi" w:hAnsiTheme="minorHAnsi"/>
          <w:sz w:val="22"/>
          <w:lang w:val="en-CA"/>
        </w:rPr>
        <w:t>isruptions to the labour market,</w:t>
      </w:r>
      <w:r w:rsidRPr="00FF4324">
        <w:rPr>
          <w:rFonts w:asciiTheme="minorHAnsi" w:hAnsiTheme="minorHAnsi"/>
          <w:sz w:val="22"/>
          <w:lang w:val="en-CA"/>
        </w:rPr>
        <w:t xml:space="preserve"> </w:t>
      </w:r>
      <w:r w:rsidRPr="00A91401">
        <w:rPr>
          <w:rFonts w:asciiTheme="minorHAnsi" w:hAnsiTheme="minorHAnsi"/>
          <w:sz w:val="22"/>
          <w:lang w:val="en-CA"/>
        </w:rPr>
        <w:t>which could include reduced job security, skills gaps</w:t>
      </w:r>
      <w:r>
        <w:rPr>
          <w:rFonts w:asciiTheme="minorHAnsi" w:hAnsiTheme="minorHAnsi"/>
          <w:sz w:val="22"/>
          <w:lang w:val="en-CA"/>
        </w:rPr>
        <w:t>, and rising inequality.</w:t>
      </w:r>
    </w:p>
    <w:p w14:paraId="50A409CD" w14:textId="77777777" w:rsidR="000B649B" w:rsidRDefault="000B649B" w:rsidP="000B649B">
      <w:pPr>
        <w:spacing w:after="0" w:line="240" w:lineRule="auto"/>
        <w:contextualSpacing/>
        <w:rPr>
          <w:rFonts w:asciiTheme="minorHAnsi" w:hAnsiTheme="minorHAnsi"/>
          <w:sz w:val="22"/>
          <w:lang w:val="en-CA"/>
        </w:rPr>
      </w:pPr>
    </w:p>
    <w:p w14:paraId="4018EE2A" w14:textId="77777777" w:rsidR="000B649B" w:rsidRPr="002B1D6A" w:rsidRDefault="000B649B" w:rsidP="000B649B">
      <w:pPr>
        <w:spacing w:line="240" w:lineRule="auto"/>
      </w:pPr>
      <w:r w:rsidRPr="00C349BF">
        <w:rPr>
          <w:rFonts w:asciiTheme="minorHAnsi" w:hAnsiTheme="minorHAnsi"/>
          <w:sz w:val="22"/>
          <w:lang w:val="en-CA"/>
        </w:rPr>
        <w:t xml:space="preserve">Estimates of the potential impact of </w:t>
      </w:r>
      <w:r>
        <w:rPr>
          <w:rFonts w:asciiTheme="minorHAnsi" w:hAnsiTheme="minorHAnsi"/>
          <w:sz w:val="22"/>
          <w:lang w:val="en-CA"/>
        </w:rPr>
        <w:t>automation</w:t>
      </w:r>
      <w:r w:rsidRPr="00C349BF">
        <w:rPr>
          <w:rFonts w:asciiTheme="minorHAnsi" w:hAnsiTheme="minorHAnsi"/>
          <w:sz w:val="22"/>
          <w:lang w:val="en-CA"/>
        </w:rPr>
        <w:t xml:space="preserve"> </w:t>
      </w:r>
      <w:r>
        <w:rPr>
          <w:rFonts w:asciiTheme="minorHAnsi" w:hAnsiTheme="minorHAnsi"/>
          <w:sz w:val="22"/>
          <w:lang w:val="en-CA"/>
        </w:rPr>
        <w:t xml:space="preserve">on employment vary widely </w:t>
      </w:r>
      <w:r w:rsidRPr="00EB6803">
        <w:rPr>
          <w:rFonts w:asciiTheme="minorHAnsi" w:hAnsiTheme="minorHAnsi"/>
          <w:sz w:val="22"/>
          <w:lang w:val="en-CA"/>
        </w:rPr>
        <w:t xml:space="preserve">and different ways of estimating the probability of automation (for example, by </w:t>
      </w:r>
      <w:r w:rsidRPr="00BC0526">
        <w:rPr>
          <w:rFonts w:asciiTheme="minorHAnsi" w:hAnsiTheme="minorHAnsi"/>
          <w:sz w:val="22"/>
          <w:lang w:val="en-CA"/>
        </w:rPr>
        <w:t xml:space="preserve">using an </w:t>
      </w:r>
      <w:r w:rsidRPr="00A8770B">
        <w:rPr>
          <w:rFonts w:asciiTheme="minorHAnsi" w:hAnsiTheme="minorHAnsi"/>
          <w:sz w:val="22"/>
          <w:lang w:val="en-CA"/>
        </w:rPr>
        <w:t>occupation-based approach versus a task-based approach</w:t>
      </w:r>
      <w:r w:rsidRPr="004746F7">
        <w:rPr>
          <w:rFonts w:asciiTheme="minorHAnsi" w:hAnsiTheme="minorHAnsi"/>
          <w:sz w:val="22"/>
          <w:lang w:val="en-CA"/>
        </w:rPr>
        <w:t>) lead to contrasting estimates of future job losses.</w:t>
      </w:r>
      <w:r>
        <w:rPr>
          <w:rFonts w:asciiTheme="minorHAnsi" w:hAnsiTheme="minorHAnsi"/>
          <w:sz w:val="22"/>
          <w:lang w:val="en-CA"/>
        </w:rPr>
        <w:t xml:space="preserve"> </w:t>
      </w:r>
      <w:r w:rsidRPr="00EB6803">
        <w:rPr>
          <w:rFonts w:asciiTheme="minorHAnsi" w:hAnsiTheme="minorHAnsi"/>
          <w:sz w:val="22"/>
          <w:lang w:val="en-CA"/>
        </w:rPr>
        <w:t xml:space="preserve"> </w:t>
      </w:r>
      <w:r>
        <w:rPr>
          <w:rFonts w:asciiTheme="minorHAnsi" w:hAnsiTheme="minorHAnsi"/>
          <w:sz w:val="22"/>
          <w:lang w:val="en-CA"/>
        </w:rPr>
        <w:t>Several</w:t>
      </w:r>
      <w:r w:rsidRPr="00C349BF">
        <w:rPr>
          <w:rFonts w:asciiTheme="minorHAnsi" w:hAnsiTheme="minorHAnsi"/>
          <w:sz w:val="22"/>
          <w:lang w:val="en-CA"/>
        </w:rPr>
        <w:t xml:space="preserve"> studies estimate </w:t>
      </w:r>
      <w:r>
        <w:rPr>
          <w:rFonts w:asciiTheme="minorHAnsi" w:hAnsiTheme="minorHAnsi"/>
          <w:sz w:val="22"/>
          <w:lang w:val="en-CA"/>
        </w:rPr>
        <w:t>modest impacts. F</w:t>
      </w:r>
      <w:r w:rsidRPr="00C349BF">
        <w:rPr>
          <w:rFonts w:asciiTheme="minorHAnsi" w:hAnsiTheme="minorHAnsi"/>
          <w:sz w:val="22"/>
          <w:lang w:val="en-CA"/>
        </w:rPr>
        <w:t>or instance, the OECD</w:t>
      </w:r>
      <w:r>
        <w:rPr>
          <w:rFonts w:asciiTheme="minorHAnsi" w:hAnsiTheme="minorHAnsi"/>
          <w:sz w:val="22"/>
          <w:lang w:val="en-CA"/>
        </w:rPr>
        <w:t xml:space="preserve"> </w:t>
      </w:r>
      <w:r w:rsidRPr="00C349BF">
        <w:rPr>
          <w:rFonts w:asciiTheme="minorHAnsi" w:hAnsiTheme="minorHAnsi"/>
          <w:sz w:val="22"/>
          <w:lang w:val="en-CA"/>
        </w:rPr>
        <w:t>has found that 9</w:t>
      </w:r>
      <w:r>
        <w:rPr>
          <w:rFonts w:asciiTheme="minorHAnsi" w:hAnsiTheme="minorHAnsi"/>
          <w:sz w:val="22"/>
          <w:lang w:val="en-CA"/>
        </w:rPr>
        <w:t>%</w:t>
      </w:r>
      <w:r w:rsidRPr="00C349BF">
        <w:rPr>
          <w:rFonts w:asciiTheme="minorHAnsi" w:hAnsiTheme="minorHAnsi"/>
          <w:sz w:val="22"/>
          <w:lang w:val="en-CA"/>
        </w:rPr>
        <w:t xml:space="preserve"> of jobs in advanced G20 countries are at high risk of automation</w:t>
      </w:r>
      <w:r>
        <w:rPr>
          <w:rFonts w:asciiTheme="minorHAnsi" w:hAnsiTheme="minorHAnsi"/>
          <w:sz w:val="22"/>
          <w:lang w:val="en-CA"/>
        </w:rPr>
        <w:t xml:space="preserve"> (</w:t>
      </w:r>
      <w:r>
        <w:rPr>
          <w:rFonts w:asciiTheme="minorHAnsi" w:hAnsiTheme="minorHAnsi"/>
          <w:b/>
          <w:sz w:val="22"/>
          <w:lang w:val="en-CA"/>
        </w:rPr>
        <w:t>Fig. 3</w:t>
      </w:r>
      <w:r>
        <w:rPr>
          <w:rFonts w:asciiTheme="minorHAnsi" w:hAnsiTheme="minorHAnsi"/>
          <w:sz w:val="22"/>
          <w:lang w:val="en-CA"/>
        </w:rPr>
        <w:t>)</w:t>
      </w:r>
      <w:r w:rsidRPr="00C349BF">
        <w:rPr>
          <w:rFonts w:asciiTheme="minorHAnsi" w:hAnsiTheme="minorHAnsi"/>
          <w:sz w:val="22"/>
          <w:lang w:val="en-CA"/>
        </w:rPr>
        <w:t>.</w:t>
      </w:r>
      <w:r w:rsidRPr="00C349BF">
        <w:rPr>
          <w:rStyle w:val="EndnoteReference"/>
          <w:rFonts w:asciiTheme="minorHAnsi" w:hAnsiTheme="minorHAnsi"/>
          <w:sz w:val="22"/>
          <w:lang w:val="en-CA"/>
        </w:rPr>
        <w:endnoteReference w:id="19"/>
      </w:r>
      <w:r>
        <w:rPr>
          <w:rFonts w:asciiTheme="minorHAnsi" w:hAnsiTheme="minorHAnsi"/>
          <w:sz w:val="22"/>
          <w:lang w:val="en-CA"/>
        </w:rPr>
        <w:t xml:space="preserve"> However, studies that reach more dramatic conclusions attract greater media attention. For example, a</w:t>
      </w:r>
      <w:r w:rsidRPr="00EB6803">
        <w:rPr>
          <w:rFonts w:asciiTheme="minorHAnsi" w:hAnsiTheme="minorHAnsi"/>
          <w:sz w:val="22"/>
          <w:lang w:val="en-CA"/>
        </w:rPr>
        <w:t xml:space="preserve"> </w:t>
      </w:r>
      <w:r>
        <w:rPr>
          <w:rFonts w:asciiTheme="minorHAnsi" w:hAnsiTheme="minorHAnsi"/>
          <w:sz w:val="22"/>
          <w:lang w:val="en-CA"/>
        </w:rPr>
        <w:t xml:space="preserve">widely reported </w:t>
      </w:r>
      <w:r w:rsidRPr="00EB6803">
        <w:rPr>
          <w:rFonts w:asciiTheme="minorHAnsi" w:hAnsiTheme="minorHAnsi"/>
          <w:sz w:val="22"/>
          <w:lang w:val="en-CA"/>
        </w:rPr>
        <w:t>study by Frey and Osborne estimated that 47</w:t>
      </w:r>
      <w:r w:rsidRPr="004746F7">
        <w:rPr>
          <w:rFonts w:asciiTheme="minorHAnsi" w:hAnsiTheme="minorHAnsi"/>
          <w:sz w:val="22"/>
          <w:lang w:val="en-CA"/>
        </w:rPr>
        <w:t>% of persons employed in the United States</w:t>
      </w:r>
      <w:r w:rsidRPr="00C349BF">
        <w:rPr>
          <w:rFonts w:asciiTheme="minorHAnsi" w:hAnsiTheme="minorHAnsi"/>
          <w:sz w:val="22"/>
          <w:lang w:val="en-CA"/>
        </w:rPr>
        <w:t xml:space="preserve"> are currently working in jobs that could be performed by computers and algorithms within the next 10 to 20 years.</w:t>
      </w:r>
      <w:r w:rsidRPr="00C349BF">
        <w:rPr>
          <w:rStyle w:val="EndnoteReference"/>
          <w:rFonts w:asciiTheme="minorHAnsi" w:hAnsiTheme="minorHAnsi"/>
          <w:sz w:val="22"/>
          <w:lang w:val="en-CA"/>
        </w:rPr>
        <w:endnoteReference w:id="20"/>
      </w:r>
    </w:p>
    <w:p w14:paraId="1775A24B" w14:textId="42F77526" w:rsidR="000B649B" w:rsidRDefault="000B649B" w:rsidP="000B649B">
      <w:pPr>
        <w:spacing w:after="0" w:line="240" w:lineRule="auto"/>
        <w:contextualSpacing/>
        <w:rPr>
          <w:rFonts w:asciiTheme="minorHAnsi" w:hAnsiTheme="minorHAnsi"/>
          <w:sz w:val="22"/>
        </w:rPr>
      </w:pPr>
      <w:r w:rsidRPr="00C349BF">
        <w:rPr>
          <w:rFonts w:asciiTheme="minorHAnsi" w:hAnsiTheme="minorHAnsi" w:cs="Times New Roman"/>
          <w:noProof/>
          <w:color w:val="C00000"/>
          <w:sz w:val="22"/>
          <w:lang w:val="en-US"/>
        </w:rPr>
        <mc:AlternateContent>
          <mc:Choice Requires="wps">
            <w:drawing>
              <wp:anchor distT="0" distB="0" distL="114300" distR="114300" simplePos="0" relativeHeight="251658245" behindDoc="0" locked="0" layoutInCell="1" allowOverlap="1" wp14:anchorId="467AA9AC" wp14:editId="6ACC0386">
                <wp:simplePos x="0" y="0"/>
                <wp:positionH relativeFrom="column">
                  <wp:posOffset>3224979</wp:posOffset>
                </wp:positionH>
                <wp:positionV relativeFrom="paragraph">
                  <wp:posOffset>2407192</wp:posOffset>
                </wp:positionV>
                <wp:extent cx="200024"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flipH="1">
                          <a:off x="0" y="0"/>
                          <a:ext cx="200024" cy="0"/>
                        </a:xfrm>
                        <a:prstGeom prst="straightConnector1">
                          <a:avLst/>
                        </a:prstGeom>
                        <a:ln w="28575">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3D3D1" id="_x0000_t32" coordsize="21600,21600" o:spt="32" o:oned="t" path="m,l21600,21600e" filled="f">
                <v:path arrowok="t" fillok="f" o:connecttype="none"/>
                <o:lock v:ext="edit" shapetype="t"/>
              </v:shapetype>
              <v:shape id="Straight Arrow Connector 27" o:spid="_x0000_s1026" type="#_x0000_t32" style="position:absolute;margin-left:253.95pt;margin-top:189.55pt;width:15.75pt;height: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" strokecolor="red" strokeweight="2.25pt">
                <v:stroke endarrow="block"/>
              </v:shape>
            </w:pict>
          </mc:Fallback>
        </mc:AlternateContent>
      </w:r>
      <w:r w:rsidRPr="00C349BF">
        <w:rPr>
          <w:rFonts w:asciiTheme="minorHAnsi" w:hAnsiTheme="minorHAnsi" w:cs="Times New Roman"/>
          <w:noProof/>
          <w:color w:val="C00000"/>
          <w:sz w:val="22"/>
          <w:lang w:val="en-US"/>
        </w:rPr>
        <mc:AlternateContent>
          <mc:Choice Requires="wps">
            <w:drawing>
              <wp:inline distT="0" distB="0" distL="0" distR="0" wp14:anchorId="2FB015EE" wp14:editId="114614D2">
                <wp:extent cx="5287617" cy="4348976"/>
                <wp:effectExtent l="0" t="0" r="889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17" cy="4348976"/>
                        </a:xfrm>
                        <a:prstGeom prst="rect">
                          <a:avLst/>
                        </a:prstGeom>
                        <a:solidFill>
                          <a:srgbClr val="FFFFFF"/>
                        </a:solidFill>
                        <a:ln w="12700">
                          <a:noFill/>
                          <a:miter lim="800000"/>
                          <a:headEnd/>
                          <a:tailEnd/>
                        </a:ln>
                      </wps:spPr>
                      <wps:txbx>
                        <w:txbxContent>
                          <w:p w14:paraId="533BBD0C" w14:textId="213D2105" w:rsidR="00633B37" w:rsidRPr="00106FCF" w:rsidRDefault="00633B37" w:rsidP="000B649B">
                            <w:pPr>
                              <w:spacing w:before="240"/>
                              <w:jc w:val="center"/>
                              <w:rPr>
                                <w:b/>
                              </w:rPr>
                            </w:pPr>
                            <w:r>
                              <w:rPr>
                                <w:b/>
                              </w:rPr>
                              <w:t xml:space="preserve">Fig. 4  </w:t>
                            </w:r>
                            <w:r w:rsidRPr="00106FCF">
                              <w:rPr>
                                <w:b/>
                              </w:rPr>
                              <w:t xml:space="preserve">Proportion of workers at risk of being affected by automation across </w:t>
                            </w:r>
                            <w:r w:rsidRPr="00106FCF">
                              <w:rPr>
                                <w:b/>
                              </w:rPr>
                              <w:br/>
                              <w:t>OECD countries</w:t>
                            </w:r>
                          </w:p>
                          <w:p w14:paraId="35D05831" w14:textId="77777777" w:rsidR="00633B37" w:rsidRPr="00805DA4" w:rsidRDefault="00633B37" w:rsidP="000B649B">
                            <w:pPr>
                              <w:spacing w:after="0"/>
                              <w:jc w:val="center"/>
                              <w:rPr>
                                <w:sz w:val="18"/>
                              </w:rPr>
                            </w:pPr>
                            <w:r w:rsidRPr="00766BFB">
                              <w:rPr>
                                <w:noProof/>
                                <w:lang w:val="en-US"/>
                              </w:rPr>
                              <w:drawing>
                                <wp:inline distT="0" distB="0" distL="0" distR="0" wp14:anchorId="57ED37ED" wp14:editId="4287709D">
                                  <wp:extent cx="3716977" cy="3376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1710" cy="3381215"/>
                                          </a:xfrm>
                                          <a:prstGeom prst="rect">
                                            <a:avLst/>
                                          </a:prstGeom>
                                          <a:noFill/>
                                          <a:ln>
                                            <a:noFill/>
                                          </a:ln>
                                        </pic:spPr>
                                      </pic:pic>
                                    </a:graphicData>
                                  </a:graphic>
                                </wp:inline>
                              </w:drawing>
                            </w:r>
                          </w:p>
                          <w:p w14:paraId="14D419AF" w14:textId="77777777" w:rsidR="00633B37" w:rsidRDefault="00633B37" w:rsidP="000B649B">
                            <w:pPr>
                              <w:jc w:val="center"/>
                              <w:rPr>
                                <w:rFonts w:asciiTheme="minorHAnsi" w:hAnsiTheme="minorHAnsi" w:cstheme="minorHAnsi"/>
                                <w:b/>
                                <w:sz w:val="16"/>
                                <w:szCs w:val="16"/>
                              </w:rPr>
                            </w:pPr>
                            <w:r w:rsidRPr="00106FCF">
                              <w:rPr>
                                <w:rFonts w:asciiTheme="minorHAnsi" w:hAnsiTheme="minorHAnsi" w:cstheme="minorHAnsi"/>
                                <w:b/>
                                <w:sz w:val="16"/>
                                <w:szCs w:val="16"/>
                              </w:rPr>
                              <w:t xml:space="preserve">Per </w:t>
                            </w:r>
                            <w:r>
                              <w:rPr>
                                <w:rFonts w:asciiTheme="minorHAnsi" w:hAnsiTheme="minorHAnsi" w:cstheme="minorHAnsi"/>
                                <w:b/>
                                <w:sz w:val="16"/>
                                <w:szCs w:val="16"/>
                              </w:rPr>
                              <w:t>cent</w:t>
                            </w:r>
                            <w:r>
                              <w:rPr>
                                <w:rFonts w:asciiTheme="minorHAnsi" w:hAnsiTheme="minorHAnsi" w:cstheme="minorHAnsi"/>
                                <w:b/>
                                <w:sz w:val="16"/>
                                <w:szCs w:val="16"/>
                              </w:rPr>
                              <w:br/>
                            </w:r>
                          </w:p>
                          <w:p w14:paraId="27EA05CC" w14:textId="77777777" w:rsidR="00633B37" w:rsidRPr="00106FCF" w:rsidRDefault="00633B37" w:rsidP="000B649B">
                            <w:pPr>
                              <w:jc w:val="cente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inline>
            </w:drawing>
          </mc:Choice>
          <mc:Fallback>
            <w:pict>
              <v:shape w14:anchorId="2FB015EE" id="Text Box 2" o:spid="_x0000_s1028" type="#_x0000_t202" style="width:416.35pt;height:3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" stroked="f" strokeweight="1pt">
                <v:textbox>
                  <w:txbxContent>
                    <w:p w14:paraId="533BBD0C" w14:textId="213D2105" w:rsidR="00633B37" w:rsidRPr="00106FCF" w:rsidRDefault="00633B37" w:rsidP="000B649B">
                      <w:pPr>
                        <w:spacing w:before="240"/>
                        <w:jc w:val="center"/>
                        <w:rPr>
                          <w:b/>
                        </w:rPr>
                      </w:pPr>
                      <w:r>
                        <w:rPr>
                          <w:b/>
                        </w:rPr>
                        <w:t xml:space="preserve">Fig. 4  </w:t>
                      </w:r>
                      <w:r w:rsidRPr="00106FCF">
                        <w:rPr>
                          <w:b/>
                        </w:rPr>
                        <w:t xml:space="preserve">Proportion of workers at risk of being affected by automation across </w:t>
                      </w:r>
                      <w:r w:rsidRPr="00106FCF">
                        <w:rPr>
                          <w:b/>
                        </w:rPr>
                        <w:br/>
                        <w:t>OECD countries</w:t>
                      </w:r>
                    </w:p>
                    <w:p w14:paraId="35D05831" w14:textId="77777777" w:rsidR="00633B37" w:rsidRPr="00805DA4" w:rsidRDefault="00633B37" w:rsidP="000B649B">
                      <w:pPr>
                        <w:spacing w:after="0"/>
                        <w:jc w:val="center"/>
                        <w:rPr>
                          <w:sz w:val="18"/>
                        </w:rPr>
                      </w:pPr>
                      <w:r w:rsidRPr="00766BFB">
                        <w:rPr>
                          <w:noProof/>
                          <w:lang w:eastAsia="en-AU"/>
                        </w:rPr>
                        <w:drawing>
                          <wp:inline distT="0" distB="0" distL="0" distR="0" wp14:anchorId="57ED37ED" wp14:editId="4287709D">
                            <wp:extent cx="3716977" cy="3376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710" cy="3381215"/>
                                    </a:xfrm>
                                    <a:prstGeom prst="rect">
                                      <a:avLst/>
                                    </a:prstGeom>
                                    <a:noFill/>
                                    <a:ln>
                                      <a:noFill/>
                                    </a:ln>
                                  </pic:spPr>
                                </pic:pic>
                              </a:graphicData>
                            </a:graphic>
                          </wp:inline>
                        </w:drawing>
                      </w:r>
                    </w:p>
                    <w:p w14:paraId="14D419AF" w14:textId="77777777" w:rsidR="00633B37" w:rsidRDefault="00633B37" w:rsidP="000B649B">
                      <w:pPr>
                        <w:jc w:val="center"/>
                        <w:rPr>
                          <w:rFonts w:asciiTheme="minorHAnsi" w:hAnsiTheme="minorHAnsi" w:cstheme="minorHAnsi"/>
                          <w:b/>
                          <w:sz w:val="16"/>
                          <w:szCs w:val="16"/>
                        </w:rPr>
                      </w:pPr>
                      <w:r w:rsidRPr="00106FCF">
                        <w:rPr>
                          <w:rFonts w:asciiTheme="minorHAnsi" w:hAnsiTheme="minorHAnsi" w:cstheme="minorHAnsi"/>
                          <w:b/>
                          <w:sz w:val="16"/>
                          <w:szCs w:val="16"/>
                        </w:rPr>
                        <w:t xml:space="preserve">Per </w:t>
                      </w:r>
                      <w:r>
                        <w:rPr>
                          <w:rFonts w:asciiTheme="minorHAnsi" w:hAnsiTheme="minorHAnsi" w:cstheme="minorHAnsi"/>
                          <w:b/>
                          <w:sz w:val="16"/>
                          <w:szCs w:val="16"/>
                        </w:rPr>
                        <w:t>cent</w:t>
                      </w:r>
                      <w:r>
                        <w:rPr>
                          <w:rFonts w:asciiTheme="minorHAnsi" w:hAnsiTheme="minorHAnsi" w:cstheme="minorHAnsi"/>
                          <w:b/>
                          <w:sz w:val="16"/>
                          <w:szCs w:val="16"/>
                        </w:rPr>
                        <w:br/>
                      </w:r>
                    </w:p>
                    <w:p w14:paraId="27EA05CC" w14:textId="77777777" w:rsidR="00633B37" w:rsidRPr="00106FCF" w:rsidRDefault="00633B37" w:rsidP="000B649B">
                      <w:pPr>
                        <w:jc w:val="center"/>
                        <w:rPr>
                          <w:rFonts w:asciiTheme="minorHAnsi" w:hAnsiTheme="minorHAnsi" w:cstheme="minorHAnsi"/>
                          <w:b/>
                          <w:sz w:val="16"/>
                          <w:szCs w:val="16"/>
                        </w:rPr>
                      </w:pPr>
                    </w:p>
                  </w:txbxContent>
                </v:textbox>
                <w10:anchorlock/>
              </v:shape>
            </w:pict>
          </mc:Fallback>
        </mc:AlternateContent>
      </w:r>
    </w:p>
    <w:p w14:paraId="16DFD357" w14:textId="77777777" w:rsidR="000B649B" w:rsidRPr="00106FCF" w:rsidRDefault="000B649B" w:rsidP="000B649B">
      <w:pPr>
        <w:rPr>
          <w:rFonts w:ascii="Calibri" w:hAnsi="Calibri" w:cs="Calibri"/>
          <w:sz w:val="16"/>
          <w:szCs w:val="16"/>
        </w:rPr>
      </w:pPr>
      <w:r w:rsidRPr="00106FCF">
        <w:rPr>
          <w:rFonts w:ascii="Calibri" w:hAnsi="Calibri" w:cs="Calibri"/>
          <w:b/>
          <w:sz w:val="16"/>
          <w:szCs w:val="20"/>
        </w:rPr>
        <w:t>Source:</w:t>
      </w:r>
      <w:r w:rsidRPr="00106FCF">
        <w:rPr>
          <w:rFonts w:ascii="Calibri" w:hAnsi="Calibri" w:cs="Calibri"/>
          <w:sz w:val="16"/>
          <w:szCs w:val="20"/>
        </w:rPr>
        <w:t xml:space="preserve"> OECD (2017) “Employment Outlook 2017: Chapter 3”.</w:t>
      </w:r>
      <w:r w:rsidRPr="00106FCF">
        <w:rPr>
          <w:rFonts w:ascii="Calibri" w:hAnsi="Calibri" w:cs="Calibri"/>
          <w:sz w:val="16"/>
          <w:szCs w:val="20"/>
        </w:rPr>
        <w:br/>
      </w:r>
      <w:r w:rsidRPr="00106FCF">
        <w:rPr>
          <w:rFonts w:ascii="Calibri" w:hAnsi="Calibri" w:cs="Calibri"/>
          <w:b/>
          <w:sz w:val="16"/>
          <w:szCs w:val="16"/>
        </w:rPr>
        <w:t>Note:</w:t>
      </w:r>
      <w:r w:rsidRPr="00106FCF">
        <w:rPr>
          <w:rFonts w:ascii="Calibri" w:hAnsi="Calibri" w:cs="Calibri"/>
          <w:sz w:val="16"/>
          <w:szCs w:val="16"/>
        </w:rPr>
        <w:t xml:space="preserve"> Jobs are at “high risk of automation” if their likelihood of being automated is at least 70%. Jobs at “risk of significant change” are those with a likelihood of being automated of between 50 and 70%.</w:t>
      </w:r>
      <w:r>
        <w:rPr>
          <w:rFonts w:ascii="Calibri" w:hAnsi="Calibri" w:cs="Calibri"/>
          <w:sz w:val="16"/>
          <w:szCs w:val="16"/>
        </w:rPr>
        <w:br/>
      </w:r>
    </w:p>
    <w:p w14:paraId="23BB7E02" w14:textId="77777777" w:rsidR="000B649B" w:rsidRPr="0073261A" w:rsidRDefault="000B649B" w:rsidP="000B649B">
      <w:pPr>
        <w:spacing w:after="0" w:line="240" w:lineRule="auto"/>
        <w:contextualSpacing/>
        <w:rPr>
          <w:rFonts w:asciiTheme="minorHAnsi" w:hAnsiTheme="minorHAnsi"/>
          <w:sz w:val="22"/>
          <w:lang w:val="en-CA"/>
        </w:rPr>
      </w:pPr>
      <w:r w:rsidRPr="00F0268A">
        <w:rPr>
          <w:rFonts w:asciiTheme="minorHAnsi" w:hAnsiTheme="minorHAnsi"/>
          <w:sz w:val="22"/>
          <w:lang w:val="en-CA"/>
        </w:rPr>
        <w:t>Australia</w:t>
      </w:r>
      <w:r>
        <w:rPr>
          <w:rFonts w:asciiTheme="minorHAnsi" w:hAnsiTheme="minorHAnsi"/>
          <w:sz w:val="22"/>
          <w:lang w:val="en-CA"/>
        </w:rPr>
        <w:t>n</w:t>
      </w:r>
      <w:r w:rsidRPr="00F0268A">
        <w:rPr>
          <w:rFonts w:asciiTheme="minorHAnsi" w:hAnsiTheme="minorHAnsi"/>
          <w:sz w:val="22"/>
          <w:lang w:val="en-CA"/>
        </w:rPr>
        <w:t xml:space="preserve"> and Canadian evidence is showing that that new forms of work such as freelance employment, have so far had </w:t>
      </w:r>
      <w:r>
        <w:rPr>
          <w:rFonts w:asciiTheme="minorHAnsi" w:hAnsiTheme="minorHAnsi"/>
          <w:sz w:val="22"/>
          <w:lang w:val="en-CA"/>
        </w:rPr>
        <w:t xml:space="preserve">some </w:t>
      </w:r>
      <w:r w:rsidRPr="00F0268A">
        <w:rPr>
          <w:rFonts w:asciiTheme="minorHAnsi" w:hAnsiTheme="minorHAnsi"/>
          <w:sz w:val="22"/>
          <w:lang w:val="en-CA"/>
        </w:rPr>
        <w:t>positive effects, including by creating new opportunities for individuals and contributing to improved labour market efficiency.</w:t>
      </w:r>
      <w:r>
        <w:rPr>
          <w:rFonts w:asciiTheme="minorHAnsi" w:hAnsiTheme="minorHAnsi"/>
          <w:sz w:val="22"/>
          <w:lang w:val="en-CA"/>
        </w:rPr>
        <w:t xml:space="preserve"> However, a future increase in this work—</w:t>
      </w:r>
      <w:r w:rsidRPr="00C349BF">
        <w:rPr>
          <w:rFonts w:asciiTheme="minorHAnsi" w:hAnsiTheme="minorHAnsi"/>
          <w:sz w:val="22"/>
          <w:lang w:val="en-CA"/>
        </w:rPr>
        <w:t>which some have argued will accompany a further shift towards</w:t>
      </w:r>
      <w:r>
        <w:rPr>
          <w:rFonts w:asciiTheme="minorHAnsi" w:hAnsiTheme="minorHAnsi"/>
          <w:sz w:val="22"/>
          <w:lang w:val="en-CA"/>
        </w:rPr>
        <w:t xml:space="preserve"> “gig economy” business models—could </w:t>
      </w:r>
      <w:r w:rsidRPr="00C349BF">
        <w:rPr>
          <w:rFonts w:asciiTheme="minorHAnsi" w:hAnsiTheme="minorHAnsi"/>
          <w:sz w:val="22"/>
          <w:lang w:val="en-CA"/>
        </w:rPr>
        <w:t xml:space="preserve">put pressure on governments to consider new </w:t>
      </w:r>
      <w:r>
        <w:rPr>
          <w:rFonts w:asciiTheme="minorHAnsi" w:hAnsiTheme="minorHAnsi"/>
          <w:sz w:val="22"/>
          <w:lang w:val="en-CA"/>
        </w:rPr>
        <w:t>strategies to support workforce well-being</w:t>
      </w:r>
      <w:r w:rsidRPr="00C349BF">
        <w:rPr>
          <w:rFonts w:asciiTheme="minorHAnsi" w:hAnsiTheme="minorHAnsi"/>
          <w:sz w:val="22"/>
          <w:lang w:val="en-CA"/>
        </w:rPr>
        <w:t>.</w:t>
      </w:r>
    </w:p>
    <w:p w14:paraId="6ADDDE8D" w14:textId="77777777" w:rsidR="000B649B" w:rsidRDefault="000B649B" w:rsidP="000B649B">
      <w:pPr>
        <w:spacing w:after="0" w:line="240" w:lineRule="auto"/>
        <w:contextualSpacing/>
        <w:rPr>
          <w:rFonts w:asciiTheme="minorHAnsi" w:hAnsiTheme="minorHAnsi"/>
          <w:sz w:val="22"/>
          <w:lang w:val="en-CA"/>
        </w:rPr>
      </w:pPr>
    </w:p>
    <w:p w14:paraId="5CAFC088" w14:textId="09DA6866" w:rsidR="000B649B" w:rsidRPr="00C349BF" w:rsidRDefault="000B649B" w:rsidP="000B649B">
      <w:pPr>
        <w:spacing w:after="0" w:line="240" w:lineRule="auto"/>
        <w:contextualSpacing/>
        <w:rPr>
          <w:rFonts w:asciiTheme="minorHAnsi" w:hAnsiTheme="minorHAnsi"/>
          <w:sz w:val="22"/>
          <w:lang w:val="en-CA"/>
        </w:rPr>
      </w:pPr>
      <w:r w:rsidRPr="002707FB">
        <w:rPr>
          <w:rFonts w:asciiTheme="minorHAnsi" w:hAnsiTheme="minorHAnsi"/>
          <w:sz w:val="22"/>
          <w:lang w:val="en-CA"/>
        </w:rPr>
        <w:t xml:space="preserve">These issues </w:t>
      </w:r>
      <w:r w:rsidR="0035510C">
        <w:rPr>
          <w:rFonts w:asciiTheme="minorHAnsi" w:hAnsiTheme="minorHAnsi"/>
          <w:sz w:val="22"/>
          <w:lang w:val="en-CA"/>
        </w:rPr>
        <w:t>around automation and new forms of work</w:t>
      </w:r>
      <w:r w:rsidR="0035510C" w:rsidRPr="002707FB">
        <w:rPr>
          <w:rFonts w:asciiTheme="minorHAnsi" w:hAnsiTheme="minorHAnsi"/>
          <w:sz w:val="22"/>
          <w:lang w:val="en-CA"/>
        </w:rPr>
        <w:t xml:space="preserve"> </w:t>
      </w:r>
      <w:r w:rsidRPr="002707FB">
        <w:rPr>
          <w:rFonts w:asciiTheme="minorHAnsi" w:hAnsiTheme="minorHAnsi"/>
          <w:sz w:val="22"/>
          <w:lang w:val="en-CA"/>
        </w:rPr>
        <w:t>have received media coverage and have contributed to public anxiety, while the</w:t>
      </w:r>
      <w:r>
        <w:rPr>
          <w:rFonts w:asciiTheme="minorHAnsi" w:hAnsiTheme="minorHAnsi"/>
          <w:sz w:val="22"/>
          <w:lang w:val="en-CA"/>
        </w:rPr>
        <w:t xml:space="preserve"> expected</w:t>
      </w:r>
      <w:r w:rsidRPr="002707FB">
        <w:rPr>
          <w:rFonts w:asciiTheme="minorHAnsi" w:hAnsiTheme="minorHAnsi"/>
          <w:sz w:val="22"/>
          <w:lang w:val="en-CA"/>
        </w:rPr>
        <w:t xml:space="preserve"> benefits </w:t>
      </w:r>
      <w:r>
        <w:rPr>
          <w:rFonts w:asciiTheme="minorHAnsi" w:hAnsiTheme="minorHAnsi"/>
          <w:sz w:val="22"/>
          <w:lang w:val="en-CA"/>
        </w:rPr>
        <w:t>of technological change</w:t>
      </w:r>
      <w:r w:rsidRPr="002707FB">
        <w:rPr>
          <w:rFonts w:asciiTheme="minorHAnsi" w:hAnsiTheme="minorHAnsi"/>
          <w:sz w:val="22"/>
          <w:lang w:val="en-CA"/>
        </w:rPr>
        <w:t xml:space="preserve"> (such as</w:t>
      </w:r>
      <w:r>
        <w:rPr>
          <w:rFonts w:asciiTheme="minorHAnsi" w:hAnsiTheme="minorHAnsi"/>
          <w:sz w:val="22"/>
          <w:lang w:val="en-CA"/>
        </w:rPr>
        <w:t xml:space="preserve"> improved living standards, </w:t>
      </w:r>
      <w:r w:rsidRPr="002707FB">
        <w:rPr>
          <w:rFonts w:asciiTheme="minorHAnsi" w:hAnsiTheme="minorHAnsi"/>
          <w:sz w:val="22"/>
          <w:lang w:val="en-CA"/>
        </w:rPr>
        <w:t>productivity</w:t>
      </w:r>
      <w:r>
        <w:rPr>
          <w:rFonts w:asciiTheme="minorHAnsi" w:hAnsiTheme="minorHAnsi"/>
          <w:sz w:val="22"/>
          <w:lang w:val="en-CA"/>
        </w:rPr>
        <w:t xml:space="preserve"> gains,</w:t>
      </w:r>
      <w:r w:rsidRPr="002707FB">
        <w:rPr>
          <w:rFonts w:asciiTheme="minorHAnsi" w:hAnsiTheme="minorHAnsi"/>
          <w:sz w:val="22"/>
          <w:lang w:val="en-CA"/>
        </w:rPr>
        <w:t xml:space="preserve"> and th</w:t>
      </w:r>
      <w:r>
        <w:rPr>
          <w:rFonts w:asciiTheme="minorHAnsi" w:hAnsiTheme="minorHAnsi"/>
          <w:sz w:val="22"/>
          <w:lang w:val="en-CA"/>
        </w:rPr>
        <w:t>e creation of new and high-</w:t>
      </w:r>
      <w:r w:rsidRPr="002707FB">
        <w:rPr>
          <w:rFonts w:asciiTheme="minorHAnsi" w:hAnsiTheme="minorHAnsi"/>
          <w:sz w:val="22"/>
          <w:lang w:val="en-CA"/>
        </w:rPr>
        <w:t>quality jobs) are often unappreciated</w:t>
      </w:r>
      <w:r>
        <w:rPr>
          <w:rFonts w:asciiTheme="minorHAnsi" w:hAnsiTheme="minorHAnsi"/>
          <w:sz w:val="22"/>
          <w:lang w:val="en-CA"/>
        </w:rPr>
        <w:t xml:space="preserve"> </w:t>
      </w:r>
      <w:r w:rsidRPr="00EB6803">
        <w:rPr>
          <w:rFonts w:asciiTheme="minorHAnsi" w:hAnsiTheme="minorHAnsi"/>
          <w:sz w:val="22"/>
          <w:lang w:val="en-CA"/>
        </w:rPr>
        <w:t>or unknown.</w:t>
      </w:r>
      <w:r w:rsidRPr="002707FB">
        <w:rPr>
          <w:rFonts w:asciiTheme="minorHAnsi" w:hAnsiTheme="minorHAnsi"/>
          <w:sz w:val="22"/>
          <w:lang w:val="en-CA"/>
        </w:rPr>
        <w:t xml:space="preserve">  </w:t>
      </w:r>
    </w:p>
    <w:p w14:paraId="5D79FE3E" w14:textId="77777777" w:rsidR="000B649B" w:rsidRDefault="000B649B" w:rsidP="000B649B">
      <w:pPr>
        <w:spacing w:after="0" w:line="240" w:lineRule="auto"/>
        <w:rPr>
          <w:rFonts w:asciiTheme="minorHAnsi" w:hAnsiTheme="minorHAnsi"/>
          <w:sz w:val="22"/>
          <w:lang w:val="en-CA"/>
        </w:rPr>
      </w:pPr>
    </w:p>
    <w:p w14:paraId="7C70A2D6" w14:textId="1EAB69E9" w:rsidR="0035510C" w:rsidRDefault="0035510C" w:rsidP="0035510C">
      <w:pPr>
        <w:spacing w:after="0" w:line="240" w:lineRule="auto"/>
        <w:rPr>
          <w:rFonts w:asciiTheme="minorHAnsi" w:hAnsiTheme="minorHAnsi"/>
          <w:sz w:val="22"/>
          <w:lang w:val="en-CA"/>
        </w:rPr>
      </w:pPr>
      <w:r>
        <w:rPr>
          <w:rFonts w:asciiTheme="minorHAnsi" w:hAnsiTheme="minorHAnsi"/>
          <w:sz w:val="22"/>
          <w:lang w:val="en-CA"/>
        </w:rPr>
        <w:t>In light of the challenges both countries face in ensuring that the benefits of labour market developments are broadly felt, and not concentrated among particular cohorts or sectors, there will be a need for the Australian and Canadian Governments to take a leadership role in helping workers to prepare for and adjust to change</w:t>
      </w:r>
      <w:r w:rsidR="00DF08F9">
        <w:rPr>
          <w:rFonts w:asciiTheme="minorHAnsi" w:hAnsiTheme="minorHAnsi"/>
          <w:sz w:val="22"/>
          <w:lang w:val="en-CA"/>
        </w:rPr>
        <w:t xml:space="preserve"> which could </w:t>
      </w:r>
      <w:r>
        <w:rPr>
          <w:rFonts w:asciiTheme="minorHAnsi" w:hAnsiTheme="minorHAnsi"/>
          <w:sz w:val="22"/>
          <w:lang w:val="en-CA"/>
        </w:rPr>
        <w:t xml:space="preserve">include measures to improve outcomes over both the </w:t>
      </w:r>
      <w:r w:rsidR="00DF08F9">
        <w:rPr>
          <w:rFonts w:asciiTheme="minorHAnsi" w:hAnsiTheme="minorHAnsi"/>
          <w:sz w:val="22"/>
          <w:lang w:val="en-CA"/>
        </w:rPr>
        <w:t>short and longer</w:t>
      </w:r>
      <w:r>
        <w:rPr>
          <w:rFonts w:asciiTheme="minorHAnsi" w:hAnsiTheme="minorHAnsi"/>
          <w:sz w:val="22"/>
          <w:lang w:val="en-CA"/>
        </w:rPr>
        <w:t xml:space="preserve"> terms.</w:t>
      </w:r>
    </w:p>
    <w:p w14:paraId="4E54EFE7" w14:textId="77777777" w:rsidR="0035510C" w:rsidRPr="00C349BF" w:rsidRDefault="0035510C" w:rsidP="000B649B">
      <w:pPr>
        <w:spacing w:after="0" w:line="240" w:lineRule="auto"/>
        <w:rPr>
          <w:rFonts w:asciiTheme="minorHAnsi" w:hAnsiTheme="minorHAnsi"/>
          <w:sz w:val="22"/>
          <w:lang w:val="en-CA"/>
        </w:rPr>
      </w:pPr>
    </w:p>
    <w:p w14:paraId="2C1B6C63" w14:textId="5041690B" w:rsidR="000B649B" w:rsidRDefault="000B649B" w:rsidP="000B649B">
      <w:pPr>
        <w:spacing w:line="240" w:lineRule="auto"/>
      </w:pPr>
      <w:r>
        <w:rPr>
          <w:rFonts w:asciiTheme="minorHAnsi" w:hAnsiTheme="minorHAnsi"/>
          <w:sz w:val="22"/>
          <w:lang w:val="en-CA"/>
        </w:rPr>
        <w:t>F</w:t>
      </w:r>
      <w:r w:rsidRPr="003A2805">
        <w:rPr>
          <w:rFonts w:asciiTheme="minorHAnsi" w:hAnsiTheme="minorHAnsi"/>
          <w:sz w:val="22"/>
          <w:lang w:val="en-CA"/>
        </w:rPr>
        <w:t xml:space="preserve">or the Australian and Canadian economies to take advantage of technological advancements and other trends, workers will need to have the right mix of adaptability skills (“soft skills”) and technical skills. </w:t>
      </w:r>
      <w:r w:rsidRPr="00C6774C">
        <w:rPr>
          <w:rFonts w:asciiTheme="minorHAnsi" w:hAnsiTheme="minorHAnsi"/>
          <w:sz w:val="22"/>
          <w:lang w:val="en-CA"/>
        </w:rPr>
        <w:t>Employment policy settings also need to support workers and firms to adjust</w:t>
      </w:r>
      <w:r>
        <w:rPr>
          <w:rFonts w:asciiTheme="minorHAnsi" w:hAnsiTheme="minorHAnsi"/>
          <w:sz w:val="22"/>
          <w:lang w:val="en-CA"/>
        </w:rPr>
        <w:t xml:space="preserve">. </w:t>
      </w:r>
      <w:r w:rsidRPr="003A2805">
        <w:rPr>
          <w:rFonts w:asciiTheme="minorHAnsi" w:hAnsiTheme="minorHAnsi"/>
          <w:sz w:val="22"/>
          <w:lang w:val="en-CA"/>
        </w:rPr>
        <w:t xml:space="preserve">Both countries have invested in improving participation in </w:t>
      </w:r>
      <w:r>
        <w:rPr>
          <w:rFonts w:asciiTheme="minorHAnsi" w:hAnsiTheme="minorHAnsi"/>
          <w:sz w:val="22"/>
          <w:lang w:val="en-CA"/>
        </w:rPr>
        <w:t>lifelong learning</w:t>
      </w:r>
      <w:r w:rsidRPr="003A2805">
        <w:rPr>
          <w:rFonts w:asciiTheme="minorHAnsi" w:hAnsiTheme="minorHAnsi"/>
          <w:sz w:val="22"/>
          <w:lang w:val="en-CA"/>
        </w:rPr>
        <w:t xml:space="preserve"> for people of all</w:t>
      </w:r>
      <w:r>
        <w:rPr>
          <w:rFonts w:asciiTheme="minorHAnsi" w:hAnsiTheme="minorHAnsi"/>
          <w:sz w:val="22"/>
          <w:lang w:val="en-CA"/>
        </w:rPr>
        <w:t xml:space="preserve"> ages</w:t>
      </w:r>
      <w:r w:rsidRPr="003A2805">
        <w:rPr>
          <w:rFonts w:asciiTheme="minorHAnsi" w:hAnsiTheme="minorHAnsi"/>
          <w:sz w:val="22"/>
          <w:lang w:val="en-CA"/>
        </w:rPr>
        <w:t xml:space="preserve">, with a focus on disadvantaged cohorts. There has also been a focus on improving the relevance of education to current and expected </w:t>
      </w:r>
      <w:r>
        <w:rPr>
          <w:rFonts w:asciiTheme="minorHAnsi" w:hAnsiTheme="minorHAnsi"/>
          <w:sz w:val="22"/>
          <w:lang w:val="en-CA"/>
        </w:rPr>
        <w:t xml:space="preserve">future </w:t>
      </w:r>
      <w:r w:rsidRPr="003A2805">
        <w:rPr>
          <w:rFonts w:asciiTheme="minorHAnsi" w:hAnsiTheme="minorHAnsi"/>
          <w:sz w:val="22"/>
          <w:lang w:val="en-CA"/>
        </w:rPr>
        <w:t>employment opportunities</w:t>
      </w:r>
      <w:r>
        <w:rPr>
          <w:rFonts w:asciiTheme="minorHAnsi" w:hAnsiTheme="minorHAnsi"/>
          <w:sz w:val="22"/>
          <w:lang w:val="en-CA"/>
        </w:rPr>
        <w:t>.</w:t>
      </w:r>
      <w:r w:rsidRPr="00F9471A">
        <w:rPr>
          <w:rFonts w:asciiTheme="minorHAnsi" w:hAnsiTheme="minorHAnsi"/>
          <w:sz w:val="22"/>
          <w:lang w:val="en-CA"/>
        </w:rPr>
        <w:t xml:space="preserve"> </w:t>
      </w:r>
      <w:r w:rsidRPr="003A2805">
        <w:rPr>
          <w:rFonts w:asciiTheme="minorHAnsi" w:hAnsiTheme="minorHAnsi"/>
          <w:sz w:val="22"/>
          <w:lang w:val="en-CA"/>
        </w:rPr>
        <w:t>Both countries also use skilled migration to meet their workforce needs.</w:t>
      </w:r>
    </w:p>
    <w:p w14:paraId="3319DFF7" w14:textId="77777777" w:rsidR="000B649B" w:rsidRDefault="000B649B" w:rsidP="000B649B">
      <w:pPr>
        <w:spacing w:after="0" w:line="240" w:lineRule="auto"/>
        <w:rPr>
          <w:rFonts w:asciiTheme="minorHAnsi" w:hAnsiTheme="minorHAnsi"/>
          <w:sz w:val="22"/>
          <w:lang w:val="en-CA"/>
        </w:rPr>
      </w:pPr>
      <w:r w:rsidRPr="003A2805">
        <w:rPr>
          <w:rFonts w:asciiTheme="minorHAnsi" w:hAnsiTheme="minorHAnsi"/>
          <w:sz w:val="22"/>
          <w:lang w:val="en-CA"/>
        </w:rPr>
        <w:t>A range of strategies are contributing to improving short</w:t>
      </w:r>
      <w:r>
        <w:rPr>
          <w:rFonts w:asciiTheme="minorHAnsi" w:hAnsiTheme="minorHAnsi"/>
          <w:sz w:val="22"/>
          <w:lang w:val="en-CA"/>
        </w:rPr>
        <w:t>- to medium-</w:t>
      </w:r>
      <w:r w:rsidRPr="003A2805">
        <w:rPr>
          <w:rFonts w:asciiTheme="minorHAnsi" w:hAnsiTheme="minorHAnsi"/>
          <w:sz w:val="22"/>
          <w:lang w:val="en-CA"/>
        </w:rPr>
        <w:t>term adjustments to change. Both countries are modernising their social</w:t>
      </w:r>
      <w:r>
        <w:rPr>
          <w:rFonts w:asciiTheme="minorHAnsi" w:hAnsiTheme="minorHAnsi"/>
          <w:sz w:val="22"/>
          <w:lang w:val="en-CA"/>
        </w:rPr>
        <w:t xml:space="preserve"> </w:t>
      </w:r>
      <w:r w:rsidRPr="003A2805">
        <w:rPr>
          <w:rFonts w:asciiTheme="minorHAnsi" w:hAnsiTheme="minorHAnsi"/>
          <w:sz w:val="22"/>
          <w:lang w:val="en-CA"/>
        </w:rPr>
        <w:t>safety nets (discussed later in this paper) and are improving the</w:t>
      </w:r>
      <w:r>
        <w:rPr>
          <w:rFonts w:asciiTheme="minorHAnsi" w:hAnsiTheme="minorHAnsi"/>
          <w:sz w:val="22"/>
          <w:lang w:val="en-CA"/>
        </w:rPr>
        <w:t xml:space="preserve"> public</w:t>
      </w:r>
      <w:r w:rsidRPr="003A2805">
        <w:rPr>
          <w:rFonts w:asciiTheme="minorHAnsi" w:hAnsiTheme="minorHAnsi"/>
          <w:sz w:val="22"/>
          <w:lang w:val="en-CA"/>
        </w:rPr>
        <w:t xml:space="preserve"> information about employment trends</w:t>
      </w:r>
      <w:r>
        <w:rPr>
          <w:rFonts w:asciiTheme="minorHAnsi" w:hAnsiTheme="minorHAnsi"/>
          <w:sz w:val="22"/>
          <w:lang w:val="en-CA"/>
        </w:rPr>
        <w:t>,</w:t>
      </w:r>
      <w:r w:rsidRPr="003A2805">
        <w:rPr>
          <w:rFonts w:asciiTheme="minorHAnsi" w:hAnsiTheme="minorHAnsi"/>
          <w:sz w:val="22"/>
          <w:lang w:val="en-CA"/>
        </w:rPr>
        <w:t xml:space="preserve"> which individuals and firms can draw on to prepare for change. There is also a common focus on improving </w:t>
      </w:r>
      <w:r>
        <w:rPr>
          <w:rFonts w:asciiTheme="minorHAnsi" w:hAnsiTheme="minorHAnsi"/>
          <w:sz w:val="22"/>
          <w:lang w:val="en-CA"/>
        </w:rPr>
        <w:t xml:space="preserve">transitions at the </w:t>
      </w:r>
      <w:r w:rsidRPr="003A2805">
        <w:rPr>
          <w:rFonts w:asciiTheme="minorHAnsi" w:hAnsiTheme="minorHAnsi"/>
          <w:sz w:val="22"/>
          <w:lang w:val="en-CA"/>
        </w:rPr>
        <w:t>regional</w:t>
      </w:r>
      <w:r>
        <w:rPr>
          <w:rFonts w:asciiTheme="minorHAnsi" w:hAnsiTheme="minorHAnsi"/>
          <w:sz w:val="22"/>
          <w:lang w:val="en-CA"/>
        </w:rPr>
        <w:t xml:space="preserve"> </w:t>
      </w:r>
      <w:r w:rsidRPr="003A2805">
        <w:rPr>
          <w:rFonts w:asciiTheme="minorHAnsi" w:hAnsiTheme="minorHAnsi"/>
          <w:sz w:val="22"/>
          <w:lang w:val="en-CA"/>
        </w:rPr>
        <w:t xml:space="preserve">level, including by directing extra assistance to areas </w:t>
      </w:r>
      <w:r>
        <w:rPr>
          <w:rFonts w:asciiTheme="minorHAnsi" w:hAnsiTheme="minorHAnsi"/>
          <w:sz w:val="22"/>
          <w:lang w:val="en-CA"/>
        </w:rPr>
        <w:t>that</w:t>
      </w:r>
      <w:r w:rsidRPr="003A2805">
        <w:rPr>
          <w:rFonts w:asciiTheme="minorHAnsi" w:hAnsiTheme="minorHAnsi"/>
          <w:sz w:val="22"/>
          <w:lang w:val="en-CA"/>
        </w:rPr>
        <w:t xml:space="preserve"> may not be able to adapt due to factors such as a lack of economic diversity or less educated workforces. While institutional arrangements differ between Australia and Canada, industrial relations settings </w:t>
      </w:r>
      <w:r>
        <w:rPr>
          <w:rFonts w:asciiTheme="minorHAnsi" w:hAnsiTheme="minorHAnsi"/>
          <w:sz w:val="22"/>
          <w:lang w:val="en-CA"/>
        </w:rPr>
        <w:t>that</w:t>
      </w:r>
      <w:r w:rsidRPr="003A2805">
        <w:rPr>
          <w:rFonts w:asciiTheme="minorHAnsi" w:hAnsiTheme="minorHAnsi"/>
          <w:sz w:val="22"/>
          <w:lang w:val="en-CA"/>
        </w:rPr>
        <w:t xml:space="preserve"> promote </w:t>
      </w:r>
      <w:r>
        <w:rPr>
          <w:rFonts w:asciiTheme="minorHAnsi" w:hAnsiTheme="minorHAnsi"/>
          <w:sz w:val="22"/>
          <w:lang w:val="en-CA"/>
        </w:rPr>
        <w:t xml:space="preserve">mobility and </w:t>
      </w:r>
      <w:r w:rsidRPr="003A2805">
        <w:rPr>
          <w:rFonts w:asciiTheme="minorHAnsi" w:hAnsiTheme="minorHAnsi"/>
          <w:sz w:val="22"/>
          <w:lang w:val="en-CA"/>
        </w:rPr>
        <w:t xml:space="preserve">flexibility and active labour market policies </w:t>
      </w:r>
      <w:r>
        <w:rPr>
          <w:rFonts w:asciiTheme="minorHAnsi" w:hAnsiTheme="minorHAnsi"/>
          <w:sz w:val="22"/>
          <w:lang w:val="en-CA"/>
        </w:rPr>
        <w:t>that</w:t>
      </w:r>
      <w:r w:rsidRPr="003A2805">
        <w:rPr>
          <w:rFonts w:asciiTheme="minorHAnsi" w:hAnsiTheme="minorHAnsi"/>
          <w:sz w:val="22"/>
          <w:lang w:val="en-CA"/>
        </w:rPr>
        <w:t xml:space="preserve"> help job seekers to rapidly find new work (including through reskilling) are key elements of strategies to help workplaces and individuals successfully adjust to disruption in both countries.</w:t>
      </w:r>
    </w:p>
    <w:p w14:paraId="02B1E3F2" w14:textId="77777777" w:rsidR="000B649B" w:rsidRPr="003A2805" w:rsidRDefault="000B649B" w:rsidP="000B649B">
      <w:pPr>
        <w:spacing w:after="0" w:line="240" w:lineRule="auto"/>
        <w:rPr>
          <w:rFonts w:asciiTheme="minorHAnsi" w:hAnsiTheme="minorHAnsi"/>
          <w:sz w:val="22"/>
          <w:lang w:val="en-CA"/>
        </w:rPr>
      </w:pPr>
    </w:p>
    <w:p w14:paraId="7D826CE3" w14:textId="77777777" w:rsidR="000B649B" w:rsidRPr="003A2805" w:rsidRDefault="000B649B" w:rsidP="000B649B">
      <w:pPr>
        <w:pStyle w:val="Heading2"/>
        <w:rPr>
          <w:rFonts w:asciiTheme="minorHAnsi" w:hAnsiTheme="minorHAnsi"/>
          <w:sz w:val="22"/>
        </w:rPr>
      </w:pPr>
      <w:r w:rsidRPr="003A2805">
        <w:rPr>
          <w:rFonts w:asciiTheme="minorHAnsi" w:hAnsiTheme="minorHAnsi"/>
          <w:sz w:val="22"/>
        </w:rPr>
        <w:t>Australian challenges and policy responses</w:t>
      </w:r>
    </w:p>
    <w:p w14:paraId="0F984698" w14:textId="77777777" w:rsidR="000B649B" w:rsidRPr="003A2805" w:rsidRDefault="000B649B" w:rsidP="000B649B">
      <w:pPr>
        <w:spacing w:line="240" w:lineRule="auto"/>
        <w:rPr>
          <w:rFonts w:asciiTheme="minorHAnsi" w:hAnsiTheme="minorHAnsi"/>
          <w:sz w:val="22"/>
        </w:rPr>
      </w:pPr>
      <w:r w:rsidRPr="003A2805">
        <w:rPr>
          <w:rFonts w:asciiTheme="minorHAnsi" w:hAnsiTheme="minorHAnsi"/>
          <w:sz w:val="22"/>
        </w:rPr>
        <w:t>The Australian Government’s approach to responding to disruptions in the labour market is to protect individuals rather than specific jobs</w:t>
      </w:r>
      <w:r>
        <w:rPr>
          <w:rFonts w:asciiTheme="minorHAnsi" w:hAnsiTheme="minorHAnsi"/>
          <w:sz w:val="22"/>
        </w:rPr>
        <w:t xml:space="preserve">. </w:t>
      </w:r>
      <w:r w:rsidRPr="003A2805">
        <w:rPr>
          <w:rFonts w:asciiTheme="minorHAnsi" w:hAnsiTheme="minorHAnsi"/>
          <w:sz w:val="22"/>
        </w:rPr>
        <w:t>To minimi</w:t>
      </w:r>
      <w:r>
        <w:rPr>
          <w:rFonts w:asciiTheme="minorHAnsi" w:hAnsiTheme="minorHAnsi"/>
          <w:sz w:val="22"/>
        </w:rPr>
        <w:t>z</w:t>
      </w:r>
      <w:r w:rsidRPr="003A2805">
        <w:rPr>
          <w:rFonts w:asciiTheme="minorHAnsi" w:hAnsiTheme="minorHAnsi"/>
          <w:sz w:val="22"/>
        </w:rPr>
        <w:t xml:space="preserve">e deadweight costs and avoid unnecessary labour market interventions, </w:t>
      </w:r>
      <w:r>
        <w:rPr>
          <w:rFonts w:asciiTheme="minorHAnsi" w:hAnsiTheme="minorHAnsi"/>
          <w:sz w:val="22"/>
        </w:rPr>
        <w:t xml:space="preserve">government </w:t>
      </w:r>
      <w:r w:rsidRPr="003A2805">
        <w:rPr>
          <w:rFonts w:asciiTheme="minorHAnsi" w:hAnsiTheme="minorHAnsi"/>
          <w:sz w:val="22"/>
        </w:rPr>
        <w:t>support to help job seekers, employers</w:t>
      </w:r>
      <w:r>
        <w:rPr>
          <w:rFonts w:asciiTheme="minorHAnsi" w:hAnsiTheme="minorHAnsi"/>
          <w:sz w:val="22"/>
        </w:rPr>
        <w:t>,</w:t>
      </w:r>
      <w:r w:rsidRPr="003A2805">
        <w:rPr>
          <w:rFonts w:asciiTheme="minorHAnsi" w:hAnsiTheme="minorHAnsi"/>
          <w:sz w:val="22"/>
        </w:rPr>
        <w:t xml:space="preserve"> and regions adjust is targe</w:t>
      </w:r>
      <w:r>
        <w:rPr>
          <w:rFonts w:asciiTheme="minorHAnsi" w:hAnsiTheme="minorHAnsi"/>
          <w:sz w:val="22"/>
        </w:rPr>
        <w:t>ted to where it is most needed.</w:t>
      </w:r>
    </w:p>
    <w:p w14:paraId="5FD8DEA7" w14:textId="77777777" w:rsidR="000B649B" w:rsidRPr="003A2805" w:rsidRDefault="000B649B" w:rsidP="000B649B">
      <w:pPr>
        <w:spacing w:after="0" w:line="240" w:lineRule="auto"/>
        <w:contextualSpacing/>
        <w:rPr>
          <w:rFonts w:asciiTheme="minorHAnsi" w:hAnsiTheme="minorHAnsi" w:cs="Times New Roman"/>
          <w:sz w:val="22"/>
        </w:rPr>
      </w:pPr>
      <w:r w:rsidRPr="003A2805">
        <w:rPr>
          <w:rFonts w:asciiTheme="minorHAnsi" w:hAnsiTheme="minorHAnsi" w:cs="Times New Roman"/>
          <w:sz w:val="22"/>
        </w:rPr>
        <w:t>Over recent decades, growth in demand for skilled labour has outstripped growth in demand for unskilled labour</w:t>
      </w:r>
      <w:r>
        <w:rPr>
          <w:rFonts w:asciiTheme="minorHAnsi" w:hAnsiTheme="minorHAnsi" w:cs="Times New Roman"/>
          <w:sz w:val="22"/>
        </w:rPr>
        <w:t xml:space="preserve"> in Australia</w:t>
      </w:r>
      <w:r w:rsidRPr="003A2805">
        <w:rPr>
          <w:rFonts w:asciiTheme="minorHAnsi" w:hAnsiTheme="minorHAnsi" w:cs="Times New Roman"/>
          <w:sz w:val="22"/>
        </w:rPr>
        <w:t>. This trend is expected to continue, raising the challenge of ensuring that all Australians have opportunities to develop skills relevant to future opportunities, and can reskill over their working lives. Re</w:t>
      </w:r>
      <w:r>
        <w:rPr>
          <w:rFonts w:asciiTheme="minorHAnsi" w:hAnsiTheme="minorHAnsi" w:cs="Times New Roman"/>
          <w:sz w:val="22"/>
        </w:rPr>
        <w:t>cent measures to support capacity building</w:t>
      </w:r>
      <w:r w:rsidRPr="003A2805">
        <w:rPr>
          <w:rFonts w:asciiTheme="minorHAnsi" w:hAnsiTheme="minorHAnsi" w:cs="Times New Roman"/>
          <w:sz w:val="22"/>
        </w:rPr>
        <w:t xml:space="preserve"> include: </w:t>
      </w:r>
    </w:p>
    <w:p w14:paraId="1DE297AB" w14:textId="77777777" w:rsidR="000B649B" w:rsidRPr="003A2805" w:rsidRDefault="000B649B" w:rsidP="000B649B">
      <w:pPr>
        <w:spacing w:after="0" w:line="240" w:lineRule="auto"/>
        <w:contextualSpacing/>
        <w:rPr>
          <w:rFonts w:asciiTheme="minorHAnsi" w:hAnsiTheme="minorHAnsi" w:cs="Times New Roman"/>
          <w:sz w:val="22"/>
        </w:rPr>
      </w:pPr>
    </w:p>
    <w:p w14:paraId="18E13D49" w14:textId="77777777" w:rsidR="000B649B" w:rsidRPr="003A2805" w:rsidRDefault="000B649B" w:rsidP="00BC2039">
      <w:pPr>
        <w:pStyle w:val="ListParagraph"/>
        <w:numPr>
          <w:ilvl w:val="0"/>
          <w:numId w:val="8"/>
        </w:numPr>
        <w:spacing w:line="240" w:lineRule="auto"/>
        <w:contextualSpacing/>
        <w:rPr>
          <w:rFonts w:asciiTheme="minorHAnsi" w:hAnsiTheme="minorHAnsi"/>
          <w:sz w:val="22"/>
        </w:rPr>
      </w:pPr>
      <w:r>
        <w:rPr>
          <w:rFonts w:asciiTheme="minorHAnsi" w:hAnsiTheme="minorHAnsi"/>
          <w:sz w:val="22"/>
        </w:rPr>
        <w:t>A</w:t>
      </w:r>
      <w:r w:rsidRPr="003A2805">
        <w:rPr>
          <w:rFonts w:asciiTheme="minorHAnsi" w:hAnsiTheme="minorHAnsi"/>
          <w:sz w:val="22"/>
        </w:rPr>
        <w:t xml:space="preserve"> $1.5 billion Skilling Australians Fund to support up to 300,000 apprentices, trainees, pre-apprentices</w:t>
      </w:r>
      <w:r>
        <w:rPr>
          <w:rFonts w:asciiTheme="minorHAnsi" w:hAnsiTheme="minorHAnsi"/>
          <w:sz w:val="22"/>
        </w:rPr>
        <w:t>, and higher-</w:t>
      </w:r>
      <w:r w:rsidRPr="003A2805">
        <w:rPr>
          <w:rFonts w:asciiTheme="minorHAnsi" w:hAnsiTheme="minorHAnsi"/>
          <w:sz w:val="22"/>
        </w:rPr>
        <w:t>skilled Australians</w:t>
      </w:r>
    </w:p>
    <w:p w14:paraId="13F8DBE9" w14:textId="77777777" w:rsidR="000B649B" w:rsidRDefault="000B649B" w:rsidP="00BC2039">
      <w:pPr>
        <w:pStyle w:val="ListParagraph"/>
        <w:numPr>
          <w:ilvl w:val="0"/>
          <w:numId w:val="8"/>
        </w:numPr>
        <w:spacing w:line="240" w:lineRule="auto"/>
        <w:contextualSpacing/>
        <w:rPr>
          <w:rFonts w:asciiTheme="minorHAnsi" w:hAnsiTheme="minorHAnsi"/>
          <w:sz w:val="22"/>
        </w:rPr>
      </w:pPr>
      <w:r>
        <w:rPr>
          <w:rFonts w:asciiTheme="minorHAnsi" w:hAnsiTheme="minorHAnsi"/>
          <w:sz w:val="22"/>
        </w:rPr>
        <w:t>I</w:t>
      </w:r>
      <w:r w:rsidRPr="003A2805">
        <w:rPr>
          <w:rFonts w:asciiTheme="minorHAnsi" w:hAnsiTheme="minorHAnsi"/>
          <w:sz w:val="22"/>
        </w:rPr>
        <w:t xml:space="preserve">nvestment under the National Innovation and Science Agenda to encourage people </w:t>
      </w:r>
      <w:r>
        <w:rPr>
          <w:rFonts w:asciiTheme="minorHAnsi" w:hAnsiTheme="minorHAnsi"/>
          <w:sz w:val="22"/>
        </w:rPr>
        <w:t>of all ages to engage with STEM, including digital technology</w:t>
      </w:r>
    </w:p>
    <w:p w14:paraId="4D192A92" w14:textId="77777777" w:rsidR="000B649B" w:rsidRDefault="000B649B" w:rsidP="00BC2039">
      <w:pPr>
        <w:pStyle w:val="ListParagraph"/>
        <w:numPr>
          <w:ilvl w:val="0"/>
          <w:numId w:val="8"/>
        </w:numPr>
        <w:spacing w:line="240" w:lineRule="auto"/>
        <w:contextualSpacing/>
        <w:rPr>
          <w:rFonts w:asciiTheme="minorHAnsi" w:hAnsiTheme="minorHAnsi"/>
          <w:sz w:val="22"/>
        </w:rPr>
      </w:pPr>
      <w:r>
        <w:rPr>
          <w:rFonts w:asciiTheme="minorHAnsi" w:hAnsiTheme="minorHAnsi"/>
          <w:sz w:val="22"/>
        </w:rPr>
        <w:t>Measures to address the decline in business expenditure on staff training (especially for workers who are most likely be disadvantaged in the labour market), such as the Skills and Training Incentive through which the Australian Government will match training expenditure on older workers (up to a value of $A2,200)</w:t>
      </w:r>
    </w:p>
    <w:p w14:paraId="59831454" w14:textId="77777777" w:rsidR="000B649B" w:rsidRPr="003A2805" w:rsidRDefault="000B649B" w:rsidP="00BC2039">
      <w:pPr>
        <w:pStyle w:val="ListParagraph"/>
        <w:numPr>
          <w:ilvl w:val="0"/>
          <w:numId w:val="8"/>
        </w:numPr>
        <w:spacing w:line="240" w:lineRule="auto"/>
        <w:contextualSpacing/>
        <w:rPr>
          <w:rFonts w:asciiTheme="minorHAnsi" w:hAnsiTheme="minorHAnsi"/>
          <w:sz w:val="22"/>
        </w:rPr>
      </w:pPr>
      <w:r>
        <w:rPr>
          <w:rFonts w:asciiTheme="minorHAnsi" w:hAnsiTheme="minorHAnsi"/>
          <w:sz w:val="22"/>
        </w:rPr>
        <w:t>S</w:t>
      </w:r>
      <w:r w:rsidRPr="0003349F">
        <w:rPr>
          <w:rFonts w:asciiTheme="minorHAnsi" w:hAnsiTheme="minorHAnsi"/>
          <w:sz w:val="22"/>
        </w:rPr>
        <w:t xml:space="preserve">upporting workers to </w:t>
      </w:r>
      <w:r>
        <w:rPr>
          <w:rFonts w:asciiTheme="minorHAnsi" w:hAnsiTheme="minorHAnsi"/>
          <w:sz w:val="22"/>
        </w:rPr>
        <w:t xml:space="preserve">navigate changing labour market opportunities </w:t>
      </w:r>
      <w:r w:rsidRPr="0003349F">
        <w:rPr>
          <w:rFonts w:asciiTheme="minorHAnsi" w:hAnsiTheme="minorHAnsi"/>
          <w:sz w:val="22"/>
        </w:rPr>
        <w:t xml:space="preserve">through an online Job Outlook Portal, and </w:t>
      </w:r>
      <w:r>
        <w:rPr>
          <w:rFonts w:asciiTheme="minorHAnsi" w:hAnsiTheme="minorHAnsi"/>
          <w:sz w:val="22"/>
        </w:rPr>
        <w:t>a</w:t>
      </w:r>
      <w:r w:rsidRPr="0003349F">
        <w:rPr>
          <w:rFonts w:asciiTheme="minorHAnsi" w:hAnsiTheme="minorHAnsi"/>
          <w:sz w:val="22"/>
        </w:rPr>
        <w:t xml:space="preserve"> Skills Transferability Tool</w:t>
      </w:r>
      <w:r>
        <w:rPr>
          <w:rFonts w:asciiTheme="minorHAnsi" w:hAnsiTheme="minorHAnsi"/>
          <w:sz w:val="22"/>
        </w:rPr>
        <w:t xml:space="preserve"> to be launched in July 2019.</w:t>
      </w:r>
    </w:p>
    <w:p w14:paraId="14AFCCEF" w14:textId="77777777" w:rsidR="000B649B" w:rsidRPr="003A2805" w:rsidRDefault="000B649B" w:rsidP="000B649B">
      <w:pPr>
        <w:spacing w:after="0" w:line="240" w:lineRule="auto"/>
        <w:rPr>
          <w:rFonts w:asciiTheme="minorHAnsi" w:hAnsiTheme="minorHAnsi" w:cs="Times New Roman"/>
          <w:sz w:val="22"/>
        </w:rPr>
      </w:pPr>
    </w:p>
    <w:p w14:paraId="3755AE50" w14:textId="77777777" w:rsidR="000B649B" w:rsidRPr="003A2805" w:rsidRDefault="000B649B" w:rsidP="000B649B">
      <w:pPr>
        <w:spacing w:after="0" w:line="240" w:lineRule="auto"/>
        <w:contextualSpacing/>
        <w:rPr>
          <w:rFonts w:asciiTheme="minorHAnsi" w:hAnsiTheme="minorHAnsi" w:cs="Times New Roman"/>
          <w:sz w:val="22"/>
        </w:rPr>
      </w:pPr>
      <w:r>
        <w:rPr>
          <w:rFonts w:asciiTheme="minorHAnsi" w:hAnsiTheme="minorHAnsi" w:cs="Times New Roman"/>
          <w:sz w:val="22"/>
        </w:rPr>
        <w:t xml:space="preserve">The </w:t>
      </w:r>
      <w:r w:rsidRPr="003A2805">
        <w:rPr>
          <w:rFonts w:asciiTheme="minorHAnsi" w:hAnsiTheme="minorHAnsi" w:cs="Times New Roman"/>
          <w:sz w:val="22"/>
        </w:rPr>
        <w:t>Australia</w:t>
      </w:r>
      <w:r>
        <w:rPr>
          <w:rFonts w:asciiTheme="minorHAnsi" w:hAnsiTheme="minorHAnsi" w:cs="Times New Roman"/>
          <w:sz w:val="22"/>
        </w:rPr>
        <w:t>n Government</w:t>
      </w:r>
      <w:r w:rsidRPr="003A2805">
        <w:rPr>
          <w:rFonts w:asciiTheme="minorHAnsi" w:hAnsiTheme="minorHAnsi" w:cs="Times New Roman"/>
          <w:sz w:val="22"/>
        </w:rPr>
        <w:t xml:space="preserve">’s active labour market programs (ALMPs) are an important part of responses to disruptions. </w:t>
      </w:r>
      <w:r w:rsidRPr="003A2805">
        <w:rPr>
          <w:rFonts w:asciiTheme="minorHAnsi" w:hAnsiTheme="minorHAnsi"/>
          <w:sz w:val="22"/>
        </w:rPr>
        <w:t xml:space="preserve">ALMPs have generally been found to be more effective in </w:t>
      </w:r>
      <w:r>
        <w:rPr>
          <w:rFonts w:asciiTheme="minorHAnsi" w:hAnsiTheme="minorHAnsi"/>
          <w:sz w:val="22"/>
        </w:rPr>
        <w:t xml:space="preserve">helping workers and unemployed people to adjust to change </w:t>
      </w:r>
      <w:r w:rsidRPr="003A2805">
        <w:rPr>
          <w:rFonts w:asciiTheme="minorHAnsi" w:hAnsiTheme="minorHAnsi"/>
          <w:sz w:val="22"/>
        </w:rPr>
        <w:t xml:space="preserve">than passive approaches. </w:t>
      </w:r>
      <w:r w:rsidRPr="003A2805">
        <w:rPr>
          <w:rFonts w:asciiTheme="minorHAnsi" w:hAnsiTheme="minorHAnsi" w:cs="Times New Roman"/>
          <w:sz w:val="22"/>
        </w:rPr>
        <w:t>Investment in these programs is particularly important for disadvantaged people</w:t>
      </w:r>
      <w:r>
        <w:rPr>
          <w:rFonts w:asciiTheme="minorHAnsi" w:hAnsiTheme="minorHAnsi" w:cs="Times New Roman"/>
          <w:sz w:val="22"/>
        </w:rPr>
        <w:t>,</w:t>
      </w:r>
      <w:r w:rsidRPr="003A2805">
        <w:rPr>
          <w:rFonts w:asciiTheme="minorHAnsi" w:hAnsiTheme="minorHAnsi" w:cs="Times New Roman"/>
          <w:sz w:val="22"/>
        </w:rPr>
        <w:t xml:space="preserve"> who face the greatest risk of adverse consequences from disruption. Australia has a national generalist employment services system (jobactive) as well as targeted assistance for </w:t>
      </w:r>
      <w:r>
        <w:rPr>
          <w:rFonts w:asciiTheme="minorHAnsi" w:hAnsiTheme="minorHAnsi" w:cs="Times New Roman"/>
          <w:sz w:val="22"/>
        </w:rPr>
        <w:t>the disadvantaged cohorts at most risk</w:t>
      </w:r>
      <w:r w:rsidRPr="003A2805">
        <w:rPr>
          <w:rFonts w:asciiTheme="minorHAnsi" w:hAnsiTheme="minorHAnsi" w:cs="Times New Roman"/>
          <w:sz w:val="22"/>
        </w:rPr>
        <w:t>. Current priorities include addressing the increased incidence in long-term unemployment since the Global Financial Crisis, and improving opportunities for youth who are not engaged in work or study. Recent innovative measures to assist youth include:</w:t>
      </w:r>
    </w:p>
    <w:p w14:paraId="6D0D0375" w14:textId="77777777" w:rsidR="000B649B" w:rsidRPr="003A2805" w:rsidRDefault="000B649B" w:rsidP="000B649B">
      <w:pPr>
        <w:spacing w:after="0" w:line="240" w:lineRule="auto"/>
        <w:contextualSpacing/>
        <w:rPr>
          <w:rFonts w:asciiTheme="minorHAnsi" w:hAnsiTheme="minorHAnsi" w:cs="Times New Roman"/>
          <w:sz w:val="22"/>
        </w:rPr>
      </w:pPr>
    </w:p>
    <w:p w14:paraId="274A9BE3" w14:textId="77777777" w:rsidR="000B649B" w:rsidRPr="003A2805" w:rsidRDefault="000B649B" w:rsidP="00BC2039">
      <w:pPr>
        <w:pStyle w:val="ListParagraph"/>
        <w:numPr>
          <w:ilvl w:val="0"/>
          <w:numId w:val="8"/>
        </w:numPr>
        <w:spacing w:line="240" w:lineRule="auto"/>
        <w:contextualSpacing/>
        <w:rPr>
          <w:rFonts w:asciiTheme="minorHAnsi" w:hAnsiTheme="minorHAnsi"/>
          <w:sz w:val="22"/>
        </w:rPr>
      </w:pPr>
      <w:r>
        <w:rPr>
          <w:rFonts w:asciiTheme="minorHAnsi" w:hAnsiTheme="minorHAnsi"/>
          <w:sz w:val="22"/>
        </w:rPr>
        <w:t>T</w:t>
      </w:r>
      <w:r w:rsidRPr="003A2805">
        <w:rPr>
          <w:rFonts w:asciiTheme="minorHAnsi" w:hAnsiTheme="minorHAnsi"/>
          <w:sz w:val="22"/>
        </w:rPr>
        <w:t>he Transition to Work program</w:t>
      </w:r>
      <w:r>
        <w:rPr>
          <w:rFonts w:asciiTheme="minorHAnsi" w:hAnsiTheme="minorHAnsi"/>
          <w:sz w:val="22"/>
        </w:rPr>
        <w:t>,</w:t>
      </w:r>
      <w:r w:rsidRPr="003A2805">
        <w:rPr>
          <w:rFonts w:asciiTheme="minorHAnsi" w:hAnsiTheme="minorHAnsi"/>
          <w:sz w:val="22"/>
        </w:rPr>
        <w:t xml:space="preserve"> which provides intensive pre-employment assistance to young people who have disengaged from work and study and are at risk of long-term welfare dependency </w:t>
      </w:r>
    </w:p>
    <w:p w14:paraId="744B1B05" w14:textId="77777777" w:rsidR="000B649B" w:rsidRPr="003A2805" w:rsidRDefault="000B649B" w:rsidP="00BC2039">
      <w:pPr>
        <w:pStyle w:val="ListParagraph"/>
        <w:numPr>
          <w:ilvl w:val="0"/>
          <w:numId w:val="8"/>
        </w:numPr>
        <w:spacing w:line="240" w:lineRule="auto"/>
        <w:contextualSpacing/>
        <w:rPr>
          <w:rFonts w:asciiTheme="minorHAnsi" w:hAnsiTheme="minorHAnsi"/>
          <w:sz w:val="22"/>
        </w:rPr>
      </w:pPr>
      <w:r w:rsidRPr="003A2805">
        <w:rPr>
          <w:rFonts w:asciiTheme="minorHAnsi" w:hAnsiTheme="minorHAnsi"/>
          <w:sz w:val="22"/>
        </w:rPr>
        <w:t>Youth Jobs PaTH</w:t>
      </w:r>
      <w:r>
        <w:rPr>
          <w:rFonts w:asciiTheme="minorHAnsi" w:hAnsiTheme="minorHAnsi"/>
          <w:sz w:val="22"/>
        </w:rPr>
        <w:t>,</w:t>
      </w:r>
      <w:r w:rsidRPr="003A2805">
        <w:rPr>
          <w:rFonts w:asciiTheme="minorHAnsi" w:hAnsiTheme="minorHAnsi"/>
          <w:sz w:val="22"/>
        </w:rPr>
        <w:t xml:space="preserve"> which provides practical assistance to support young job seekers to gain the employability skills and work experience they need to get and keep a job.</w:t>
      </w:r>
    </w:p>
    <w:p w14:paraId="00587A91" w14:textId="77777777" w:rsidR="000B649B" w:rsidRPr="003A2805" w:rsidRDefault="000B649B" w:rsidP="000B649B">
      <w:pPr>
        <w:spacing w:after="0" w:line="240" w:lineRule="auto"/>
        <w:rPr>
          <w:rFonts w:asciiTheme="minorHAnsi" w:hAnsiTheme="minorHAnsi"/>
          <w:sz w:val="22"/>
        </w:rPr>
      </w:pPr>
    </w:p>
    <w:p w14:paraId="5D62C7F1" w14:textId="77777777" w:rsidR="000B649B" w:rsidRPr="003A2805" w:rsidRDefault="000B649B" w:rsidP="000B649B">
      <w:pPr>
        <w:spacing w:after="0" w:line="240" w:lineRule="auto"/>
        <w:rPr>
          <w:rFonts w:asciiTheme="minorHAnsi" w:hAnsiTheme="minorHAnsi"/>
          <w:sz w:val="22"/>
        </w:rPr>
      </w:pPr>
      <w:r w:rsidRPr="003A2805">
        <w:rPr>
          <w:rFonts w:asciiTheme="minorHAnsi" w:hAnsiTheme="minorHAnsi"/>
          <w:sz w:val="22"/>
        </w:rPr>
        <w:t>The Australian Government is currently considering options for major reforms to employment services</w:t>
      </w:r>
      <w:r>
        <w:rPr>
          <w:rFonts w:asciiTheme="minorHAnsi" w:hAnsiTheme="minorHAnsi"/>
          <w:sz w:val="22"/>
        </w:rPr>
        <w:t>,</w:t>
      </w:r>
      <w:r w:rsidRPr="003A2805">
        <w:rPr>
          <w:rFonts w:asciiTheme="minorHAnsi" w:hAnsiTheme="minorHAnsi"/>
          <w:sz w:val="22"/>
        </w:rPr>
        <w:t xml:space="preserve"> which may include developing comprehensive digital employment services </w:t>
      </w:r>
      <w:r>
        <w:rPr>
          <w:rFonts w:asciiTheme="minorHAnsi" w:hAnsiTheme="minorHAnsi"/>
          <w:sz w:val="22"/>
        </w:rPr>
        <w:t>that meet the needs of the most employment-</w:t>
      </w:r>
      <w:r w:rsidRPr="003A2805">
        <w:rPr>
          <w:rFonts w:asciiTheme="minorHAnsi" w:hAnsiTheme="minorHAnsi"/>
          <w:sz w:val="22"/>
        </w:rPr>
        <w:t>ready job seekers</w:t>
      </w:r>
      <w:r>
        <w:rPr>
          <w:rFonts w:asciiTheme="minorHAnsi" w:hAnsiTheme="minorHAnsi"/>
          <w:sz w:val="22"/>
        </w:rPr>
        <w:t>,</w:t>
      </w:r>
      <w:r w:rsidRPr="003A2805">
        <w:rPr>
          <w:rFonts w:asciiTheme="minorHAnsi" w:hAnsiTheme="minorHAnsi"/>
          <w:sz w:val="22"/>
        </w:rPr>
        <w:t xml:space="preserve"> as well as intensifying assistance for the most disadvantaged job seekers. </w:t>
      </w:r>
    </w:p>
    <w:p w14:paraId="319D5C65" w14:textId="77777777" w:rsidR="000B649B" w:rsidRPr="003A2805" w:rsidRDefault="000B649B" w:rsidP="000B649B">
      <w:pPr>
        <w:spacing w:after="0" w:line="240" w:lineRule="auto"/>
        <w:rPr>
          <w:rFonts w:asciiTheme="minorHAnsi" w:hAnsiTheme="minorHAnsi"/>
          <w:sz w:val="22"/>
        </w:rPr>
      </w:pPr>
    </w:p>
    <w:p w14:paraId="7CEE4982" w14:textId="77777777" w:rsidR="000B649B" w:rsidRPr="003A2805" w:rsidRDefault="000B649B" w:rsidP="000B649B">
      <w:pPr>
        <w:spacing w:after="0" w:line="240" w:lineRule="auto"/>
        <w:contextualSpacing/>
        <w:rPr>
          <w:rFonts w:asciiTheme="minorHAnsi" w:hAnsiTheme="minorHAnsi" w:cs="Times New Roman"/>
          <w:sz w:val="22"/>
        </w:rPr>
      </w:pPr>
      <w:r w:rsidRPr="003A2805">
        <w:rPr>
          <w:rFonts w:asciiTheme="minorHAnsi" w:hAnsiTheme="minorHAnsi" w:cs="Times New Roman"/>
          <w:sz w:val="22"/>
        </w:rPr>
        <w:t>Australia has the additional challenge of labour market conditions varying from region to region. Change can be particularly difficult in regions where a high proportion of employment is connected to a single employer or a particular industry. The Australian Government is strengthening the support available to support transitions in vulnerable regions, such as through the Stronger Transitions package</w:t>
      </w:r>
      <w:r>
        <w:rPr>
          <w:rFonts w:asciiTheme="minorHAnsi" w:hAnsiTheme="minorHAnsi" w:cs="Times New Roman"/>
          <w:sz w:val="22"/>
        </w:rPr>
        <w:t>,</w:t>
      </w:r>
      <w:r w:rsidRPr="003A2805">
        <w:rPr>
          <w:rFonts w:asciiTheme="minorHAnsi" w:hAnsiTheme="minorHAnsi" w:cs="Times New Roman"/>
          <w:sz w:val="22"/>
        </w:rPr>
        <w:t xml:space="preserve"> which </w:t>
      </w:r>
      <w:r w:rsidRPr="003A2805">
        <w:rPr>
          <w:rFonts w:asciiTheme="minorHAnsi" w:hAnsiTheme="minorHAnsi"/>
          <w:sz w:val="22"/>
        </w:rPr>
        <w:t>delivers additional support for retrenched workers in regions especially impacted by structural change. A lesson learnt from Australian structural adjustment</w:t>
      </w:r>
      <w:r w:rsidRPr="003A2805">
        <w:rPr>
          <w:rFonts w:asciiTheme="minorHAnsi" w:hAnsiTheme="minorHAnsi" w:cs="Times New Roman"/>
          <w:sz w:val="22"/>
        </w:rPr>
        <w:t xml:space="preserve"> initiatives is that early intervention</w:t>
      </w:r>
      <w:r>
        <w:rPr>
          <w:rFonts w:asciiTheme="minorHAnsi" w:hAnsiTheme="minorHAnsi" w:cs="Times New Roman"/>
          <w:sz w:val="22"/>
        </w:rPr>
        <w:t xml:space="preserve">, </w:t>
      </w:r>
      <w:r w:rsidRPr="003A2805">
        <w:rPr>
          <w:rFonts w:asciiTheme="minorHAnsi" w:hAnsiTheme="minorHAnsi" w:cs="Times New Roman"/>
          <w:sz w:val="22"/>
        </w:rPr>
        <w:t>in partnership with employers</w:t>
      </w:r>
      <w:r>
        <w:rPr>
          <w:rFonts w:asciiTheme="minorHAnsi" w:hAnsiTheme="minorHAnsi" w:cs="Times New Roman"/>
          <w:sz w:val="22"/>
        </w:rPr>
        <w:t xml:space="preserve"> (</w:t>
      </w:r>
      <w:r w:rsidRPr="003A2805">
        <w:rPr>
          <w:rFonts w:asciiTheme="minorHAnsi" w:hAnsiTheme="minorHAnsi" w:cs="Times New Roman"/>
          <w:sz w:val="22"/>
        </w:rPr>
        <w:t>including through socially responsible restru</w:t>
      </w:r>
      <w:r>
        <w:rPr>
          <w:rFonts w:asciiTheme="minorHAnsi" w:hAnsiTheme="minorHAnsi" w:cs="Times New Roman"/>
          <w:sz w:val="22"/>
        </w:rPr>
        <w:t>cturing) and other stakeholders,</w:t>
      </w:r>
      <w:r w:rsidRPr="003A2805">
        <w:rPr>
          <w:rFonts w:asciiTheme="minorHAnsi" w:hAnsiTheme="minorHAnsi" w:cs="Times New Roman"/>
          <w:sz w:val="22"/>
        </w:rPr>
        <w:t xml:space="preserve"> delivers better results than waiting for redundanc</w:t>
      </w:r>
      <w:r>
        <w:rPr>
          <w:rFonts w:asciiTheme="minorHAnsi" w:hAnsiTheme="minorHAnsi" w:cs="Times New Roman"/>
          <w:sz w:val="22"/>
        </w:rPr>
        <w:t xml:space="preserve">ies </w:t>
      </w:r>
      <w:r w:rsidRPr="003A2805">
        <w:rPr>
          <w:rFonts w:asciiTheme="minorHAnsi" w:hAnsiTheme="minorHAnsi" w:cs="Times New Roman"/>
          <w:sz w:val="22"/>
        </w:rPr>
        <w:t xml:space="preserve">and job changes to occur. </w:t>
      </w:r>
    </w:p>
    <w:p w14:paraId="5C86F09E" w14:textId="77777777" w:rsidR="000B649B" w:rsidRPr="003A2805" w:rsidRDefault="000B649B" w:rsidP="000B649B">
      <w:pPr>
        <w:spacing w:after="0" w:line="240" w:lineRule="auto"/>
        <w:contextualSpacing/>
        <w:rPr>
          <w:rFonts w:asciiTheme="minorHAnsi" w:hAnsiTheme="minorHAnsi" w:cs="Times New Roman"/>
          <w:sz w:val="22"/>
        </w:rPr>
      </w:pPr>
    </w:p>
    <w:p w14:paraId="3FC9C8EC" w14:textId="77777777" w:rsidR="000B649B" w:rsidRDefault="000B649B" w:rsidP="000B649B">
      <w:pPr>
        <w:spacing w:after="0" w:line="240" w:lineRule="auto"/>
        <w:contextualSpacing/>
        <w:rPr>
          <w:rFonts w:asciiTheme="minorHAnsi" w:hAnsiTheme="minorHAnsi" w:cs="Times New Roman"/>
          <w:spacing w:val="-2"/>
          <w:sz w:val="22"/>
        </w:rPr>
      </w:pPr>
      <w:r w:rsidRPr="006E042C">
        <w:rPr>
          <w:rFonts w:asciiTheme="minorHAnsi" w:hAnsiTheme="minorHAnsi" w:cs="Times New Roman"/>
          <w:spacing w:val="-2"/>
          <w:sz w:val="22"/>
        </w:rPr>
        <w:t xml:space="preserve">Australia’s workplace relations system also supports economic transitions by balancing flexibility with protections for workers. It is underpinned by enterprise bargaining (conducted at the firm level) and a safety net of minimum wages and conditions of employment. The process through which the national minimum wage is annually adjusted takes into account </w:t>
      </w:r>
      <w:r w:rsidRPr="006E042C">
        <w:rPr>
          <w:rFonts w:asciiTheme="minorHAnsi" w:eastAsia="Calibri" w:hAnsiTheme="minorHAnsi" w:cs="Times New Roman"/>
          <w:spacing w:val="-2"/>
          <w:sz w:val="22"/>
        </w:rPr>
        <w:t>a range of socio</w:t>
      </w:r>
      <w:r w:rsidRPr="006E042C">
        <w:rPr>
          <w:rFonts w:asciiTheme="minorHAnsi" w:eastAsia="Calibri" w:hAnsiTheme="minorHAnsi" w:cs="Times New Roman"/>
          <w:spacing w:val="-2"/>
          <w:sz w:val="22"/>
        </w:rPr>
        <w:noBreakHyphen/>
        <w:t xml:space="preserve">economic parameters, including </w:t>
      </w:r>
      <w:r w:rsidRPr="006E042C">
        <w:rPr>
          <w:rFonts w:asciiTheme="minorHAnsi" w:hAnsiTheme="minorHAnsi" w:cs="Times New Roman"/>
          <w:spacing w:val="-2"/>
          <w:sz w:val="22"/>
        </w:rPr>
        <w:t>relative living standards and the needs of the low</w:t>
      </w:r>
      <w:r w:rsidRPr="006E042C">
        <w:rPr>
          <w:rFonts w:asciiTheme="minorHAnsi" w:hAnsiTheme="minorHAnsi" w:cs="Times New Roman"/>
          <w:spacing w:val="-2"/>
          <w:sz w:val="22"/>
        </w:rPr>
        <w:noBreakHyphen/>
        <w:t xml:space="preserve">paid. </w:t>
      </w:r>
      <w:r>
        <w:rPr>
          <w:rFonts w:asciiTheme="minorHAnsi" w:hAnsiTheme="minorHAnsi" w:cs="Times New Roman"/>
          <w:spacing w:val="-2"/>
          <w:sz w:val="22"/>
        </w:rPr>
        <w:t xml:space="preserve">The </w:t>
      </w:r>
      <w:r w:rsidRPr="006E042C">
        <w:rPr>
          <w:rFonts w:asciiTheme="minorHAnsi" w:hAnsiTheme="minorHAnsi" w:cs="Times New Roman"/>
          <w:spacing w:val="-2"/>
          <w:sz w:val="22"/>
        </w:rPr>
        <w:t>Australia</w:t>
      </w:r>
      <w:r>
        <w:rPr>
          <w:rFonts w:asciiTheme="minorHAnsi" w:hAnsiTheme="minorHAnsi" w:cs="Times New Roman"/>
          <w:spacing w:val="-2"/>
          <w:sz w:val="22"/>
        </w:rPr>
        <w:t>n Government</w:t>
      </w:r>
      <w:r w:rsidRPr="006E042C">
        <w:rPr>
          <w:rFonts w:asciiTheme="minorHAnsi" w:hAnsiTheme="minorHAnsi" w:cs="Times New Roman"/>
          <w:spacing w:val="-2"/>
          <w:sz w:val="22"/>
        </w:rPr>
        <w:t xml:space="preserve"> also reviews its labour laws to ensure appropriate protections and sufficient flexibility for business in the context of a changing economic environment. </w:t>
      </w:r>
    </w:p>
    <w:p w14:paraId="3B2DD250" w14:textId="77777777" w:rsidR="000B649B" w:rsidRPr="006E042C" w:rsidRDefault="000B649B" w:rsidP="000B649B">
      <w:pPr>
        <w:spacing w:after="0" w:line="240" w:lineRule="auto"/>
        <w:contextualSpacing/>
        <w:rPr>
          <w:rFonts w:asciiTheme="minorHAnsi" w:hAnsiTheme="minorHAnsi" w:cs="Times New Roman"/>
          <w:spacing w:val="-2"/>
          <w:sz w:val="22"/>
        </w:rPr>
      </w:pPr>
    </w:p>
    <w:p w14:paraId="67EA12F6" w14:textId="77777777" w:rsidR="000B649B" w:rsidRPr="003A2805" w:rsidRDefault="000B649B" w:rsidP="000B649B">
      <w:pPr>
        <w:pStyle w:val="Heading2"/>
        <w:rPr>
          <w:rFonts w:asciiTheme="minorHAnsi" w:hAnsiTheme="minorHAnsi"/>
          <w:sz w:val="22"/>
        </w:rPr>
      </w:pPr>
      <w:r w:rsidRPr="003A2805">
        <w:rPr>
          <w:rFonts w:asciiTheme="minorHAnsi" w:hAnsiTheme="minorHAnsi"/>
          <w:sz w:val="22"/>
        </w:rPr>
        <w:t>Canadian challenges and policy responses</w:t>
      </w:r>
    </w:p>
    <w:p w14:paraId="19E667A6" w14:textId="77777777" w:rsidR="000B649B" w:rsidRPr="003A2805" w:rsidRDefault="000B649B" w:rsidP="000B649B">
      <w:pPr>
        <w:spacing w:line="240" w:lineRule="auto"/>
        <w:contextualSpacing/>
        <w:rPr>
          <w:rFonts w:asciiTheme="minorHAnsi" w:hAnsiTheme="minorHAnsi" w:cs="Times New Roman"/>
          <w:sz w:val="22"/>
        </w:rPr>
      </w:pPr>
      <w:r w:rsidRPr="003A2805">
        <w:rPr>
          <w:rFonts w:asciiTheme="minorHAnsi" w:hAnsiTheme="minorHAnsi" w:cs="Times New Roman"/>
          <w:sz w:val="22"/>
        </w:rPr>
        <w:t>In the Canadian context, the federal government does not act alone.  Provincial/territorial governments, educational institutions, employers</w:t>
      </w:r>
      <w:r>
        <w:rPr>
          <w:rFonts w:asciiTheme="minorHAnsi" w:hAnsiTheme="minorHAnsi" w:cs="Times New Roman"/>
          <w:sz w:val="22"/>
        </w:rPr>
        <w:t>,</w:t>
      </w:r>
      <w:r w:rsidRPr="003A2805">
        <w:rPr>
          <w:rFonts w:asciiTheme="minorHAnsi" w:hAnsiTheme="minorHAnsi" w:cs="Times New Roman"/>
          <w:sz w:val="22"/>
        </w:rPr>
        <w:t xml:space="preserve"> and individuals themselves all have a role to play in helping to ensure the workforce can successfully adapt to the evolving labour market. </w:t>
      </w:r>
      <w:r w:rsidRPr="003A2805">
        <w:rPr>
          <w:rFonts w:asciiTheme="minorHAnsi" w:hAnsiTheme="minorHAnsi" w:cs="Times New Roman"/>
          <w:sz w:val="22"/>
          <w:lang w:val="en-CA"/>
        </w:rPr>
        <w:t xml:space="preserve">In addition, since training and labour market programming is an area of shared jurisdiction, the specific programs and services available to Canadians, while responsive to local and regional needs, differ across the country. </w:t>
      </w:r>
      <w:r w:rsidRPr="003A2805">
        <w:rPr>
          <w:rFonts w:asciiTheme="minorHAnsi" w:hAnsiTheme="minorHAnsi" w:cs="Times New Roman"/>
          <w:sz w:val="22"/>
        </w:rPr>
        <w:t>The focus to date has been on meeting both the immediate skills needs of the evolving labour market and the longer-term objective of having a resilient and adaptable workforce, through a range of diverse initiatives.</w:t>
      </w:r>
    </w:p>
    <w:p w14:paraId="3722FD95" w14:textId="77777777" w:rsidR="000B649B" w:rsidRPr="003A2805" w:rsidRDefault="000B649B" w:rsidP="000B649B">
      <w:pPr>
        <w:spacing w:line="240" w:lineRule="auto"/>
        <w:contextualSpacing/>
        <w:rPr>
          <w:rFonts w:asciiTheme="minorHAnsi" w:hAnsiTheme="minorHAnsi" w:cs="Times New Roman"/>
          <w:sz w:val="22"/>
          <w:lang w:val="en-CA"/>
        </w:rPr>
      </w:pPr>
    </w:p>
    <w:p w14:paraId="54671265" w14:textId="77777777" w:rsidR="000B649B" w:rsidRPr="00B81DD8" w:rsidRDefault="000B649B" w:rsidP="000B649B">
      <w:pPr>
        <w:spacing w:line="240" w:lineRule="auto"/>
        <w:contextualSpacing/>
        <w:rPr>
          <w:rFonts w:asciiTheme="minorHAnsi" w:hAnsiTheme="minorHAnsi" w:cs="Times New Roman"/>
          <w:sz w:val="22"/>
        </w:rPr>
      </w:pPr>
      <w:r w:rsidRPr="00B81DD8">
        <w:rPr>
          <w:rFonts w:asciiTheme="minorHAnsi" w:hAnsiTheme="minorHAnsi"/>
          <w:i/>
          <w:noProof/>
          <w:color w:val="1F497D" w:themeColor="text2"/>
          <w:sz w:val="22"/>
          <w:lang w:val="en-US"/>
        </w:rPr>
        <mc:AlternateContent>
          <mc:Choice Requires="wps">
            <w:drawing>
              <wp:anchor distT="45720" distB="45720" distL="114300" distR="114300" simplePos="0" relativeHeight="251658244" behindDoc="0" locked="0" layoutInCell="1" allowOverlap="1" wp14:anchorId="48996919" wp14:editId="4061AF63">
                <wp:simplePos x="0" y="0"/>
                <wp:positionH relativeFrom="margin">
                  <wp:posOffset>3439144</wp:posOffset>
                </wp:positionH>
                <wp:positionV relativeFrom="page">
                  <wp:posOffset>2497129</wp:posOffset>
                </wp:positionV>
                <wp:extent cx="2517140" cy="42443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4244340"/>
                        </a:xfrm>
                        <a:prstGeom prst="rect">
                          <a:avLst/>
                        </a:prstGeom>
                        <a:solidFill>
                          <a:schemeClr val="accent1">
                            <a:lumMod val="20000"/>
                            <a:lumOff val="80000"/>
                          </a:schemeClr>
                        </a:solidFill>
                        <a:ln w="9525">
                          <a:noFill/>
                          <a:miter lim="800000"/>
                          <a:headEnd/>
                          <a:tailEnd/>
                        </a:ln>
                      </wps:spPr>
                      <wps:txbx>
                        <w:txbxContent>
                          <w:p w14:paraId="60F817FE"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28BD46C3"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050785E" w14:textId="77777777" w:rsidR="00633B37" w:rsidRDefault="00633B37" w:rsidP="000B649B">
                            <w:pPr>
                              <w:spacing w:after="0" w:line="240" w:lineRule="auto"/>
                              <w:jc w:val="right"/>
                              <w:rPr>
                                <w:rFonts w:ascii="Arial" w:hAnsi="Arial" w:cs="Arial"/>
                                <w:b/>
                                <w:i/>
                                <w:color w:val="17365D" w:themeColor="text2" w:themeShade="BF"/>
                                <w:sz w:val="16"/>
                              </w:rPr>
                            </w:pPr>
                            <w:r w:rsidRPr="00E222F8">
                              <w:rPr>
                                <w:rFonts w:cs="Times New Roman"/>
                                <w:noProof/>
                                <w:color w:val="17365D" w:themeColor="text2" w:themeShade="BF"/>
                                <w:sz w:val="22"/>
                                <w:lang w:val="en-US"/>
                              </w:rPr>
                              <w:drawing>
                                <wp:inline distT="0" distB="0" distL="0" distR="0" wp14:anchorId="5A15FA10" wp14:editId="18270C56">
                                  <wp:extent cx="438614" cy="246052"/>
                                  <wp:effectExtent l="0" t="0" r="0" b="1905"/>
                                  <wp:docPr id="9" name="Picture 9"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97" cy="248679"/>
                                          </a:xfrm>
                                          <a:prstGeom prst="rect">
                                            <a:avLst/>
                                          </a:prstGeom>
                                          <a:noFill/>
                                          <a:ln>
                                            <a:noFill/>
                                          </a:ln>
                                        </pic:spPr>
                                      </pic:pic>
                                    </a:graphicData>
                                  </a:graphic>
                                </wp:inline>
                              </w:drawing>
                            </w:r>
                          </w:p>
                          <w:p w14:paraId="2A26533D"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1B5421A2" w14:textId="77777777" w:rsidR="00633B37" w:rsidRPr="00DA72E1" w:rsidRDefault="00633B37" w:rsidP="000B649B">
                            <w:pPr>
                              <w:spacing w:line="240" w:lineRule="auto"/>
                              <w:rPr>
                                <w:rFonts w:asciiTheme="minorHAnsi" w:hAnsiTheme="minorHAnsi" w:cs="Times New Roman"/>
                                <w:b/>
                                <w:color w:val="17365D" w:themeColor="text2" w:themeShade="BF"/>
                                <w:sz w:val="20"/>
                              </w:rPr>
                            </w:pPr>
                            <w:r w:rsidRPr="00DA72E1">
                              <w:rPr>
                                <w:rFonts w:asciiTheme="minorHAnsi" w:hAnsiTheme="minorHAnsi" w:cs="Times New Roman"/>
                                <w:b/>
                                <w:color w:val="17365D" w:themeColor="text2" w:themeShade="BF"/>
                                <w:sz w:val="20"/>
                              </w:rPr>
                              <w:t>Informed Decision-Making</w:t>
                            </w:r>
                          </w:p>
                          <w:p w14:paraId="059AF6E2" w14:textId="77777777" w:rsidR="00633B37" w:rsidRPr="00DA72E1" w:rsidRDefault="00633B37" w:rsidP="000B649B">
                            <w:pPr>
                              <w:spacing w:before="120" w:line="240" w:lineRule="auto"/>
                              <w:rPr>
                                <w:rFonts w:asciiTheme="minorHAnsi" w:hAnsiTheme="minorHAnsi"/>
                                <w:color w:val="17365D" w:themeColor="text2" w:themeShade="BF"/>
                                <w:sz w:val="20"/>
                                <w:szCs w:val="20"/>
                              </w:rPr>
                            </w:pPr>
                            <w:r w:rsidRPr="00DA72E1">
                              <w:rPr>
                                <w:rFonts w:asciiTheme="minorHAnsi" w:hAnsiTheme="minorHAnsi"/>
                                <w:color w:val="17365D" w:themeColor="text2" w:themeShade="BF"/>
                                <w:sz w:val="20"/>
                                <w:szCs w:val="20"/>
                              </w:rPr>
                              <w:t>To help individuals make career and training decisions, the Canad</w:t>
                            </w:r>
                            <w:r>
                              <w:rPr>
                                <w:rFonts w:asciiTheme="minorHAnsi" w:hAnsiTheme="minorHAnsi"/>
                                <w:color w:val="17365D" w:themeColor="text2" w:themeShade="BF"/>
                                <w:sz w:val="20"/>
                                <w:szCs w:val="20"/>
                              </w:rPr>
                              <w:t>ian Government</w:t>
                            </w:r>
                            <w:r w:rsidRPr="00DA72E1">
                              <w:rPr>
                                <w:rFonts w:asciiTheme="minorHAnsi" w:hAnsiTheme="minorHAnsi"/>
                                <w:color w:val="17365D" w:themeColor="text2" w:themeShade="BF"/>
                                <w:sz w:val="20"/>
                                <w:szCs w:val="20"/>
                              </w:rPr>
                              <w:t xml:space="preserve"> continues to improve labour market information for Canadians.</w:t>
                            </w:r>
                          </w:p>
                          <w:p w14:paraId="24FDE3F7" w14:textId="77777777" w:rsidR="00633B37" w:rsidRPr="00DA72E1" w:rsidRDefault="00633B37" w:rsidP="000B649B">
                            <w:pPr>
                              <w:spacing w:before="120" w:line="240" w:lineRule="auto"/>
                              <w:rPr>
                                <w:rFonts w:asciiTheme="minorHAnsi" w:hAnsiTheme="minorHAnsi"/>
                                <w:color w:val="17365D" w:themeColor="text2" w:themeShade="BF"/>
                                <w:sz w:val="20"/>
                                <w:szCs w:val="20"/>
                              </w:rPr>
                            </w:pPr>
                            <w:r w:rsidRPr="00DA72E1">
                              <w:rPr>
                                <w:rFonts w:asciiTheme="minorHAnsi" w:hAnsiTheme="minorHAnsi"/>
                                <w:color w:val="17365D" w:themeColor="text2" w:themeShade="BF"/>
                                <w:sz w:val="20"/>
                                <w:szCs w:val="20"/>
                              </w:rPr>
                              <w:t xml:space="preserve">The </w:t>
                            </w:r>
                            <w:r w:rsidRPr="00DA72E1">
                              <w:rPr>
                                <w:rFonts w:asciiTheme="minorHAnsi" w:hAnsiTheme="minorHAnsi"/>
                                <w:b/>
                                <w:color w:val="17365D" w:themeColor="text2" w:themeShade="BF"/>
                                <w:sz w:val="20"/>
                                <w:szCs w:val="20"/>
                              </w:rPr>
                              <w:t>Labour Market Information Council</w:t>
                            </w:r>
                            <w:r w:rsidRPr="00DA72E1">
                              <w:rPr>
                                <w:rFonts w:asciiTheme="minorHAnsi" w:hAnsiTheme="minorHAnsi"/>
                                <w:color w:val="17365D" w:themeColor="text2" w:themeShade="BF"/>
                                <w:sz w:val="20"/>
                                <w:szCs w:val="20"/>
                              </w:rPr>
                              <w:t>, established in collaboration with provinces and territories, aims to identify national priorities related to the collection, analysis</w:t>
                            </w:r>
                            <w:r>
                              <w:rPr>
                                <w:rFonts w:asciiTheme="minorHAnsi" w:hAnsiTheme="minorHAnsi"/>
                                <w:color w:val="17365D" w:themeColor="text2" w:themeShade="BF"/>
                                <w:sz w:val="20"/>
                                <w:szCs w:val="20"/>
                              </w:rPr>
                              <w:t>,</w:t>
                            </w:r>
                            <w:r w:rsidRPr="00DA72E1">
                              <w:rPr>
                                <w:rFonts w:asciiTheme="minorHAnsi" w:hAnsiTheme="minorHAnsi"/>
                                <w:color w:val="17365D" w:themeColor="text2" w:themeShade="BF"/>
                                <w:sz w:val="20"/>
                                <w:szCs w:val="20"/>
                              </w:rPr>
                              <w:t xml:space="preserve"> and sharing of labour market information, while </w:t>
                            </w:r>
                            <w:r w:rsidRPr="00DA72E1">
                              <w:rPr>
                                <w:rFonts w:asciiTheme="minorHAnsi" w:hAnsiTheme="minorHAnsi"/>
                                <w:b/>
                                <w:color w:val="17365D" w:themeColor="text2" w:themeShade="BF"/>
                                <w:sz w:val="20"/>
                                <w:szCs w:val="20"/>
                              </w:rPr>
                              <w:t xml:space="preserve">Job Bank </w:t>
                            </w:r>
                            <w:r w:rsidRPr="00DA72E1">
                              <w:rPr>
                                <w:rFonts w:asciiTheme="minorHAnsi" w:hAnsiTheme="minorHAnsi"/>
                                <w:color w:val="17365D" w:themeColor="text2" w:themeShade="BF"/>
                                <w:sz w:val="20"/>
                                <w:szCs w:val="20"/>
                              </w:rPr>
                              <w:t>is an online listing of available jobs designed to help both individuals search for jobs, and employers recruit and hire employees.</w:t>
                            </w:r>
                          </w:p>
                          <w:p w14:paraId="3B1F467C" w14:textId="77777777" w:rsidR="00633B37" w:rsidRPr="00DA72E1" w:rsidRDefault="00633B37" w:rsidP="000B649B">
                            <w:pPr>
                              <w:spacing w:before="120" w:line="240" w:lineRule="auto"/>
                              <w:rPr>
                                <w:rFonts w:asciiTheme="minorHAnsi" w:hAnsiTheme="minorHAnsi"/>
                                <w:color w:val="17365D" w:themeColor="text2" w:themeShade="BF"/>
                                <w:sz w:val="20"/>
                                <w:szCs w:val="20"/>
                                <w:lang w:val="en-CA"/>
                              </w:rPr>
                            </w:pPr>
                            <w:r w:rsidRPr="00DA72E1">
                              <w:rPr>
                                <w:rFonts w:asciiTheme="minorHAnsi" w:hAnsiTheme="minorHAnsi"/>
                                <w:color w:val="17365D" w:themeColor="text2" w:themeShade="BF"/>
                                <w:sz w:val="20"/>
                                <w:szCs w:val="20"/>
                              </w:rPr>
                              <w:t>The Canad</w:t>
                            </w:r>
                            <w:r>
                              <w:rPr>
                                <w:rFonts w:asciiTheme="minorHAnsi" w:hAnsiTheme="minorHAnsi"/>
                                <w:color w:val="17365D" w:themeColor="text2" w:themeShade="BF"/>
                                <w:sz w:val="20"/>
                                <w:szCs w:val="20"/>
                              </w:rPr>
                              <w:t xml:space="preserve">ian Government </w:t>
                            </w:r>
                            <w:r w:rsidRPr="00DA72E1">
                              <w:rPr>
                                <w:rFonts w:asciiTheme="minorHAnsi" w:hAnsiTheme="minorHAnsi"/>
                                <w:color w:val="17365D" w:themeColor="text2" w:themeShade="BF"/>
                                <w:sz w:val="20"/>
                                <w:szCs w:val="20"/>
                              </w:rPr>
                              <w:t>is also working with provinces and territories, the private sector, educational institutions</w:t>
                            </w:r>
                            <w:r>
                              <w:rPr>
                                <w:rFonts w:asciiTheme="minorHAnsi" w:hAnsiTheme="minorHAnsi"/>
                                <w:color w:val="17365D" w:themeColor="text2" w:themeShade="BF"/>
                                <w:sz w:val="20"/>
                                <w:szCs w:val="20"/>
                              </w:rPr>
                              <w:t>,</w:t>
                            </w:r>
                            <w:r w:rsidRPr="00DA72E1">
                              <w:rPr>
                                <w:rFonts w:asciiTheme="minorHAnsi" w:hAnsiTheme="minorHAnsi"/>
                                <w:color w:val="17365D" w:themeColor="text2" w:themeShade="BF"/>
                                <w:sz w:val="20"/>
                                <w:szCs w:val="20"/>
                              </w:rPr>
                              <w:t xml:space="preserve"> and not-for-profit organizations to implement </w:t>
                            </w:r>
                            <w:r w:rsidRPr="00DA72E1">
                              <w:rPr>
                                <w:rFonts w:asciiTheme="minorHAnsi" w:hAnsiTheme="minorHAnsi"/>
                                <w:b/>
                                <w:color w:val="17365D" w:themeColor="text2" w:themeShade="BF"/>
                                <w:sz w:val="20"/>
                                <w:szCs w:val="20"/>
                              </w:rPr>
                              <w:t>Future Skills</w:t>
                            </w:r>
                            <w:r w:rsidRPr="00DA72E1">
                              <w:rPr>
                                <w:rFonts w:asciiTheme="minorHAnsi" w:hAnsiTheme="minorHAnsi"/>
                                <w:color w:val="17365D" w:themeColor="text2" w:themeShade="BF"/>
                                <w:sz w:val="20"/>
                                <w:szCs w:val="20"/>
                              </w:rPr>
                              <w:t xml:space="preserve"> to support skills development and measurement in Canada. </w:t>
                            </w:r>
                          </w:p>
                          <w:p w14:paraId="39DFCF06"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96919" id="_x0000_s1029" type="#_x0000_t202" style="position:absolute;margin-left:270.8pt;margin-top:196.6pt;width:198.2pt;height:334.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" fillcolor="#dbe5f1 [660]" stroked="f">
                <v:textbox>
                  <w:txbxContent>
                    <w:p w14:paraId="60F817FE"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28BD46C3"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050785E" w14:textId="77777777" w:rsidR="00633B37" w:rsidRDefault="00633B37" w:rsidP="000B649B">
                      <w:pPr>
                        <w:spacing w:after="0" w:line="240" w:lineRule="auto"/>
                        <w:jc w:val="right"/>
                        <w:rPr>
                          <w:rFonts w:ascii="Arial" w:hAnsi="Arial" w:cs="Arial"/>
                          <w:b/>
                          <w:i/>
                          <w:color w:val="17365D" w:themeColor="text2" w:themeShade="BF"/>
                          <w:sz w:val="16"/>
                        </w:rPr>
                      </w:pPr>
                      <w:r w:rsidRPr="00E222F8">
                        <w:rPr>
                          <w:rFonts w:cs="Times New Roman"/>
                          <w:noProof/>
                          <w:color w:val="17365D" w:themeColor="text2" w:themeShade="BF"/>
                          <w:sz w:val="22"/>
                          <w:lang w:eastAsia="en-AU"/>
                        </w:rPr>
                        <w:drawing>
                          <wp:inline distT="0" distB="0" distL="0" distR="0" wp14:anchorId="5A15FA10" wp14:editId="18270C56">
                            <wp:extent cx="438614" cy="246052"/>
                            <wp:effectExtent l="0" t="0" r="0" b="1905"/>
                            <wp:docPr id="9" name="Picture 9"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97" cy="248679"/>
                                    </a:xfrm>
                                    <a:prstGeom prst="rect">
                                      <a:avLst/>
                                    </a:prstGeom>
                                    <a:noFill/>
                                    <a:ln>
                                      <a:noFill/>
                                    </a:ln>
                                  </pic:spPr>
                                </pic:pic>
                              </a:graphicData>
                            </a:graphic>
                          </wp:inline>
                        </w:drawing>
                      </w:r>
                    </w:p>
                    <w:p w14:paraId="2A26533D"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1B5421A2" w14:textId="77777777" w:rsidR="00633B37" w:rsidRPr="00DA72E1" w:rsidRDefault="00633B37" w:rsidP="000B649B">
                      <w:pPr>
                        <w:spacing w:line="240" w:lineRule="auto"/>
                        <w:rPr>
                          <w:rFonts w:asciiTheme="minorHAnsi" w:hAnsiTheme="minorHAnsi" w:cs="Times New Roman"/>
                          <w:b/>
                          <w:color w:val="17365D" w:themeColor="text2" w:themeShade="BF"/>
                          <w:sz w:val="20"/>
                        </w:rPr>
                      </w:pPr>
                      <w:r w:rsidRPr="00DA72E1">
                        <w:rPr>
                          <w:rFonts w:asciiTheme="minorHAnsi" w:hAnsiTheme="minorHAnsi" w:cs="Times New Roman"/>
                          <w:b/>
                          <w:color w:val="17365D" w:themeColor="text2" w:themeShade="BF"/>
                          <w:sz w:val="20"/>
                        </w:rPr>
                        <w:t>Informed Decision-Making</w:t>
                      </w:r>
                    </w:p>
                    <w:p w14:paraId="059AF6E2" w14:textId="77777777" w:rsidR="00633B37" w:rsidRPr="00DA72E1" w:rsidRDefault="00633B37" w:rsidP="000B649B">
                      <w:pPr>
                        <w:spacing w:before="120" w:line="240" w:lineRule="auto"/>
                        <w:rPr>
                          <w:rFonts w:asciiTheme="minorHAnsi" w:hAnsiTheme="minorHAnsi"/>
                          <w:color w:val="17365D" w:themeColor="text2" w:themeShade="BF"/>
                          <w:sz w:val="20"/>
                          <w:szCs w:val="20"/>
                        </w:rPr>
                      </w:pPr>
                      <w:r w:rsidRPr="00DA72E1">
                        <w:rPr>
                          <w:rFonts w:asciiTheme="minorHAnsi" w:hAnsiTheme="minorHAnsi"/>
                          <w:color w:val="17365D" w:themeColor="text2" w:themeShade="BF"/>
                          <w:sz w:val="20"/>
                          <w:szCs w:val="20"/>
                        </w:rPr>
                        <w:t>To help individuals make career and training decisions, the Canad</w:t>
                      </w:r>
                      <w:r>
                        <w:rPr>
                          <w:rFonts w:asciiTheme="minorHAnsi" w:hAnsiTheme="minorHAnsi"/>
                          <w:color w:val="17365D" w:themeColor="text2" w:themeShade="BF"/>
                          <w:sz w:val="20"/>
                          <w:szCs w:val="20"/>
                        </w:rPr>
                        <w:t>ian Government</w:t>
                      </w:r>
                      <w:r w:rsidRPr="00DA72E1">
                        <w:rPr>
                          <w:rFonts w:asciiTheme="minorHAnsi" w:hAnsiTheme="minorHAnsi"/>
                          <w:color w:val="17365D" w:themeColor="text2" w:themeShade="BF"/>
                          <w:sz w:val="20"/>
                          <w:szCs w:val="20"/>
                        </w:rPr>
                        <w:t xml:space="preserve"> continues to improve labour market information for Canadians.</w:t>
                      </w:r>
                    </w:p>
                    <w:p w14:paraId="24FDE3F7" w14:textId="77777777" w:rsidR="00633B37" w:rsidRPr="00DA72E1" w:rsidRDefault="00633B37" w:rsidP="000B649B">
                      <w:pPr>
                        <w:spacing w:before="120" w:line="240" w:lineRule="auto"/>
                        <w:rPr>
                          <w:rFonts w:asciiTheme="minorHAnsi" w:hAnsiTheme="minorHAnsi"/>
                          <w:color w:val="17365D" w:themeColor="text2" w:themeShade="BF"/>
                          <w:sz w:val="20"/>
                          <w:szCs w:val="20"/>
                        </w:rPr>
                      </w:pPr>
                      <w:r w:rsidRPr="00DA72E1">
                        <w:rPr>
                          <w:rFonts w:asciiTheme="minorHAnsi" w:hAnsiTheme="minorHAnsi"/>
                          <w:color w:val="17365D" w:themeColor="text2" w:themeShade="BF"/>
                          <w:sz w:val="20"/>
                          <w:szCs w:val="20"/>
                        </w:rPr>
                        <w:t xml:space="preserve">The </w:t>
                      </w:r>
                      <w:r w:rsidRPr="00DA72E1">
                        <w:rPr>
                          <w:rFonts w:asciiTheme="minorHAnsi" w:hAnsiTheme="minorHAnsi"/>
                          <w:b/>
                          <w:color w:val="17365D" w:themeColor="text2" w:themeShade="BF"/>
                          <w:sz w:val="20"/>
                          <w:szCs w:val="20"/>
                        </w:rPr>
                        <w:t>Labour Market Information Council</w:t>
                      </w:r>
                      <w:r w:rsidRPr="00DA72E1">
                        <w:rPr>
                          <w:rFonts w:asciiTheme="minorHAnsi" w:hAnsiTheme="minorHAnsi"/>
                          <w:color w:val="17365D" w:themeColor="text2" w:themeShade="BF"/>
                          <w:sz w:val="20"/>
                          <w:szCs w:val="20"/>
                        </w:rPr>
                        <w:t>, established in collaboration with provinces and territories, aims to identify national priorities related to the collection, analysis</w:t>
                      </w:r>
                      <w:r>
                        <w:rPr>
                          <w:rFonts w:asciiTheme="minorHAnsi" w:hAnsiTheme="minorHAnsi"/>
                          <w:color w:val="17365D" w:themeColor="text2" w:themeShade="BF"/>
                          <w:sz w:val="20"/>
                          <w:szCs w:val="20"/>
                        </w:rPr>
                        <w:t>,</w:t>
                      </w:r>
                      <w:r w:rsidRPr="00DA72E1">
                        <w:rPr>
                          <w:rFonts w:asciiTheme="minorHAnsi" w:hAnsiTheme="minorHAnsi"/>
                          <w:color w:val="17365D" w:themeColor="text2" w:themeShade="BF"/>
                          <w:sz w:val="20"/>
                          <w:szCs w:val="20"/>
                        </w:rPr>
                        <w:t xml:space="preserve"> and sharing of labour market information, while </w:t>
                      </w:r>
                      <w:r w:rsidRPr="00DA72E1">
                        <w:rPr>
                          <w:rFonts w:asciiTheme="minorHAnsi" w:hAnsiTheme="minorHAnsi"/>
                          <w:b/>
                          <w:color w:val="17365D" w:themeColor="text2" w:themeShade="BF"/>
                          <w:sz w:val="20"/>
                          <w:szCs w:val="20"/>
                        </w:rPr>
                        <w:t xml:space="preserve">Job Bank </w:t>
                      </w:r>
                      <w:r w:rsidRPr="00DA72E1">
                        <w:rPr>
                          <w:rFonts w:asciiTheme="minorHAnsi" w:hAnsiTheme="minorHAnsi"/>
                          <w:color w:val="17365D" w:themeColor="text2" w:themeShade="BF"/>
                          <w:sz w:val="20"/>
                          <w:szCs w:val="20"/>
                        </w:rPr>
                        <w:t>is an online listing of available jobs designed to help both individuals search for jobs, and employers recruit and hire employees.</w:t>
                      </w:r>
                    </w:p>
                    <w:p w14:paraId="3B1F467C" w14:textId="77777777" w:rsidR="00633B37" w:rsidRPr="00DA72E1" w:rsidRDefault="00633B37" w:rsidP="000B649B">
                      <w:pPr>
                        <w:spacing w:before="120" w:line="240" w:lineRule="auto"/>
                        <w:rPr>
                          <w:rFonts w:asciiTheme="minorHAnsi" w:hAnsiTheme="minorHAnsi"/>
                          <w:color w:val="17365D" w:themeColor="text2" w:themeShade="BF"/>
                          <w:sz w:val="20"/>
                          <w:szCs w:val="20"/>
                          <w:lang w:val="en-CA"/>
                        </w:rPr>
                      </w:pPr>
                      <w:r w:rsidRPr="00DA72E1">
                        <w:rPr>
                          <w:rFonts w:asciiTheme="minorHAnsi" w:hAnsiTheme="minorHAnsi"/>
                          <w:color w:val="17365D" w:themeColor="text2" w:themeShade="BF"/>
                          <w:sz w:val="20"/>
                          <w:szCs w:val="20"/>
                        </w:rPr>
                        <w:t>The Canad</w:t>
                      </w:r>
                      <w:r>
                        <w:rPr>
                          <w:rFonts w:asciiTheme="minorHAnsi" w:hAnsiTheme="minorHAnsi"/>
                          <w:color w:val="17365D" w:themeColor="text2" w:themeShade="BF"/>
                          <w:sz w:val="20"/>
                          <w:szCs w:val="20"/>
                        </w:rPr>
                        <w:t xml:space="preserve">ian Government </w:t>
                      </w:r>
                      <w:r w:rsidRPr="00DA72E1">
                        <w:rPr>
                          <w:rFonts w:asciiTheme="minorHAnsi" w:hAnsiTheme="minorHAnsi"/>
                          <w:color w:val="17365D" w:themeColor="text2" w:themeShade="BF"/>
                          <w:sz w:val="20"/>
                          <w:szCs w:val="20"/>
                        </w:rPr>
                        <w:t>is also working with provinces and territories, the private sector, educational institutions</w:t>
                      </w:r>
                      <w:r>
                        <w:rPr>
                          <w:rFonts w:asciiTheme="minorHAnsi" w:hAnsiTheme="minorHAnsi"/>
                          <w:color w:val="17365D" w:themeColor="text2" w:themeShade="BF"/>
                          <w:sz w:val="20"/>
                          <w:szCs w:val="20"/>
                        </w:rPr>
                        <w:t>,</w:t>
                      </w:r>
                      <w:r w:rsidRPr="00DA72E1">
                        <w:rPr>
                          <w:rFonts w:asciiTheme="minorHAnsi" w:hAnsiTheme="minorHAnsi"/>
                          <w:color w:val="17365D" w:themeColor="text2" w:themeShade="BF"/>
                          <w:sz w:val="20"/>
                          <w:szCs w:val="20"/>
                        </w:rPr>
                        <w:t xml:space="preserve"> and not-for-profit organizations to implement </w:t>
                      </w:r>
                      <w:r w:rsidRPr="00DA72E1">
                        <w:rPr>
                          <w:rFonts w:asciiTheme="minorHAnsi" w:hAnsiTheme="minorHAnsi"/>
                          <w:b/>
                          <w:color w:val="17365D" w:themeColor="text2" w:themeShade="BF"/>
                          <w:sz w:val="20"/>
                          <w:szCs w:val="20"/>
                        </w:rPr>
                        <w:t>Future Skills</w:t>
                      </w:r>
                      <w:r w:rsidRPr="00DA72E1">
                        <w:rPr>
                          <w:rFonts w:asciiTheme="minorHAnsi" w:hAnsiTheme="minorHAnsi"/>
                          <w:color w:val="17365D" w:themeColor="text2" w:themeShade="BF"/>
                          <w:sz w:val="20"/>
                          <w:szCs w:val="20"/>
                        </w:rPr>
                        <w:t xml:space="preserve"> to support skills development and measurement in Canada. </w:t>
                      </w:r>
                    </w:p>
                    <w:p w14:paraId="39DFCF06"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v:textbox>
                <w10:wrap type="square" anchorx="margin" anchory="page"/>
              </v:shape>
            </w:pict>
          </mc:Fallback>
        </mc:AlternateContent>
      </w:r>
      <w:r w:rsidRPr="00B81DD8">
        <w:rPr>
          <w:rFonts w:asciiTheme="minorHAnsi" w:hAnsiTheme="minorHAnsi" w:cs="Times New Roman"/>
          <w:sz w:val="22"/>
          <w:lang w:val="en-CA"/>
        </w:rPr>
        <w:t xml:space="preserve">Rapid changes in the labour market are placing strong emphasis on the ability to align the supply and demand of skills to improve labour market efficiency. </w:t>
      </w:r>
      <w:r>
        <w:rPr>
          <w:rFonts w:asciiTheme="minorHAnsi" w:hAnsiTheme="minorHAnsi" w:cs="Times New Roman"/>
          <w:sz w:val="22"/>
          <w:lang w:val="en-CA"/>
        </w:rPr>
        <w:t>The Canadian Government</w:t>
      </w:r>
      <w:r w:rsidRPr="00B81DD8">
        <w:rPr>
          <w:rFonts w:asciiTheme="minorHAnsi" w:hAnsiTheme="minorHAnsi" w:cs="Times New Roman"/>
          <w:sz w:val="22"/>
          <w:lang w:val="en-CA"/>
        </w:rPr>
        <w:t xml:space="preserve"> has taken action to improve labour market efficiency</w:t>
      </w:r>
      <w:r>
        <w:rPr>
          <w:rFonts w:asciiTheme="minorHAnsi" w:hAnsiTheme="minorHAnsi" w:cs="Times New Roman"/>
          <w:sz w:val="22"/>
          <w:lang w:val="en-CA"/>
        </w:rPr>
        <w:t xml:space="preserve"> through: improving</w:t>
      </w:r>
      <w:r w:rsidRPr="00B81DD8">
        <w:rPr>
          <w:rFonts w:asciiTheme="minorHAnsi" w:hAnsiTheme="minorHAnsi" w:cs="Times New Roman"/>
          <w:sz w:val="22"/>
          <w:lang w:val="en-CA"/>
        </w:rPr>
        <w:t xml:space="preserve"> access to accurate and up-to-date i</w:t>
      </w:r>
      <w:r>
        <w:rPr>
          <w:rFonts w:asciiTheme="minorHAnsi" w:hAnsiTheme="minorHAnsi" w:cs="Times New Roman"/>
          <w:sz w:val="22"/>
          <w:lang w:val="en-CA"/>
        </w:rPr>
        <w:t>nformation on the labour market;</w:t>
      </w:r>
      <w:r w:rsidRPr="00B81DD8">
        <w:rPr>
          <w:rFonts w:asciiTheme="minorHAnsi" w:hAnsiTheme="minorHAnsi" w:cs="Times New Roman"/>
          <w:sz w:val="22"/>
          <w:lang w:val="en-CA"/>
        </w:rPr>
        <w:t xml:space="preserve"> addressing skills mismatches, skills shortages</w:t>
      </w:r>
      <w:r>
        <w:rPr>
          <w:rFonts w:asciiTheme="minorHAnsi" w:hAnsiTheme="minorHAnsi" w:cs="Times New Roman"/>
          <w:sz w:val="22"/>
          <w:lang w:val="en-CA"/>
        </w:rPr>
        <w:t>,</w:t>
      </w:r>
      <w:r w:rsidRPr="00B81DD8">
        <w:rPr>
          <w:rFonts w:asciiTheme="minorHAnsi" w:hAnsiTheme="minorHAnsi" w:cs="Times New Roman"/>
          <w:sz w:val="22"/>
          <w:lang w:val="en-CA"/>
        </w:rPr>
        <w:t xml:space="preserve"> and regional labour market imbalances</w:t>
      </w:r>
      <w:r>
        <w:rPr>
          <w:rFonts w:asciiTheme="minorHAnsi" w:hAnsiTheme="minorHAnsi" w:cs="Times New Roman"/>
          <w:sz w:val="22"/>
          <w:lang w:val="en-CA"/>
        </w:rPr>
        <w:t>;</w:t>
      </w:r>
      <w:r w:rsidRPr="00B81DD8">
        <w:rPr>
          <w:rFonts w:asciiTheme="minorHAnsi" w:hAnsiTheme="minorHAnsi" w:cs="Times New Roman"/>
          <w:sz w:val="22"/>
          <w:lang w:val="en-CA"/>
        </w:rPr>
        <w:t xml:space="preserve"> and helping Canadians make informed decisions related to skills acq</w:t>
      </w:r>
      <w:r>
        <w:rPr>
          <w:rFonts w:asciiTheme="minorHAnsi" w:hAnsiTheme="minorHAnsi" w:cs="Times New Roman"/>
          <w:sz w:val="22"/>
          <w:lang w:val="en-CA"/>
        </w:rPr>
        <w:t>uisition and employment.</w:t>
      </w:r>
    </w:p>
    <w:p w14:paraId="1139A1A8" w14:textId="77777777" w:rsidR="000B649B" w:rsidRPr="001A4495" w:rsidRDefault="000B649B" w:rsidP="000B649B">
      <w:pPr>
        <w:spacing w:line="240" w:lineRule="auto"/>
        <w:contextualSpacing/>
        <w:rPr>
          <w:rFonts w:asciiTheme="minorHAnsi" w:hAnsiTheme="minorHAnsi" w:cs="Times New Roman"/>
          <w:i/>
          <w:sz w:val="22"/>
        </w:rPr>
      </w:pPr>
    </w:p>
    <w:p w14:paraId="6AFB7243" w14:textId="77777777" w:rsidR="000B649B" w:rsidRDefault="000B649B" w:rsidP="000B649B">
      <w:pPr>
        <w:spacing w:line="240" w:lineRule="auto"/>
        <w:rPr>
          <w:rFonts w:asciiTheme="minorHAnsi" w:hAnsiTheme="minorHAnsi"/>
          <w:sz w:val="22"/>
        </w:rPr>
      </w:pPr>
      <w:r>
        <w:rPr>
          <w:rFonts w:asciiTheme="minorHAnsi" w:hAnsiTheme="minorHAnsi" w:cs="Times New Roman"/>
          <w:sz w:val="22"/>
        </w:rPr>
        <w:t>F</w:t>
      </w:r>
      <w:r w:rsidRPr="00B81DD8">
        <w:rPr>
          <w:rFonts w:asciiTheme="minorHAnsi" w:hAnsiTheme="minorHAnsi" w:cs="Times New Roman"/>
          <w:sz w:val="22"/>
        </w:rPr>
        <w:t>or the Canadian economy to take full advantage of anticipated technological advancement</w:t>
      </w:r>
      <w:r>
        <w:rPr>
          <w:rFonts w:asciiTheme="minorHAnsi" w:hAnsiTheme="minorHAnsi" w:cs="Times New Roman"/>
          <w:sz w:val="22"/>
        </w:rPr>
        <w:t>s</w:t>
      </w:r>
      <w:r w:rsidRPr="00B81DD8">
        <w:rPr>
          <w:rFonts w:asciiTheme="minorHAnsi" w:hAnsiTheme="minorHAnsi" w:cs="Times New Roman"/>
          <w:sz w:val="22"/>
        </w:rPr>
        <w:t xml:space="preserve">, individuals will need the right skills and abilities as well as the capacity to adapt to the needs of an evolving labour market. </w:t>
      </w:r>
      <w:r>
        <w:rPr>
          <w:rFonts w:asciiTheme="minorHAnsi" w:hAnsiTheme="minorHAnsi" w:cs="Times New Roman"/>
          <w:sz w:val="22"/>
        </w:rPr>
        <w:t>For this reason, the Canadian Government has introduced measures</w:t>
      </w:r>
      <w:r w:rsidRPr="00B81DD8">
        <w:rPr>
          <w:rFonts w:asciiTheme="minorHAnsi" w:hAnsiTheme="minorHAnsi" w:cs="Times New Roman"/>
          <w:sz w:val="22"/>
        </w:rPr>
        <w:t xml:space="preserve"> to support individuals across their work lifecycle</w:t>
      </w:r>
      <w:r>
        <w:rPr>
          <w:rFonts w:asciiTheme="minorHAnsi" w:hAnsiTheme="minorHAnsi" w:cs="Times New Roman"/>
          <w:sz w:val="22"/>
        </w:rPr>
        <w:t>, from e</w:t>
      </w:r>
      <w:r w:rsidRPr="00FE2884">
        <w:rPr>
          <w:rFonts w:asciiTheme="minorHAnsi" w:hAnsiTheme="minorHAnsi" w:cs="Times New Roman"/>
          <w:sz w:val="22"/>
        </w:rPr>
        <w:t>nsuring youth are equipped with the right skills through initiatives such as the Youth Employment Strategy</w:t>
      </w:r>
      <w:r>
        <w:rPr>
          <w:rFonts w:asciiTheme="minorHAnsi" w:hAnsiTheme="minorHAnsi" w:cs="Times New Roman"/>
          <w:sz w:val="22"/>
        </w:rPr>
        <w:t>, to p</w:t>
      </w:r>
      <w:r w:rsidRPr="00FE2884">
        <w:rPr>
          <w:rFonts w:asciiTheme="minorHAnsi" w:hAnsiTheme="minorHAnsi" w:cs="Times New Roman"/>
          <w:sz w:val="22"/>
        </w:rPr>
        <w:t>romoting upskilling among working adults through initiatives such as the Skills Boost Initiative</w:t>
      </w:r>
      <w:r>
        <w:rPr>
          <w:rFonts w:asciiTheme="minorHAnsi" w:hAnsiTheme="minorHAnsi" w:cs="Times New Roman"/>
          <w:sz w:val="22"/>
        </w:rPr>
        <w:t>.</w:t>
      </w:r>
      <w:r w:rsidRPr="00EB6803">
        <w:t xml:space="preserve"> </w:t>
      </w:r>
      <w:r w:rsidRPr="00EB6803">
        <w:rPr>
          <w:rFonts w:asciiTheme="minorHAnsi" w:hAnsiTheme="minorHAnsi" w:cs="Times New Roman"/>
          <w:sz w:val="22"/>
        </w:rPr>
        <w:t xml:space="preserve">In partnership with employers and post-secondary institutions, the </w:t>
      </w:r>
      <w:r>
        <w:rPr>
          <w:rFonts w:asciiTheme="minorHAnsi" w:hAnsiTheme="minorHAnsi" w:cs="Times New Roman"/>
          <w:sz w:val="22"/>
        </w:rPr>
        <w:t xml:space="preserve">Canadian </w:t>
      </w:r>
      <w:r w:rsidRPr="00EB6803">
        <w:rPr>
          <w:rFonts w:asciiTheme="minorHAnsi" w:hAnsiTheme="minorHAnsi" w:cs="Times New Roman"/>
          <w:sz w:val="22"/>
        </w:rPr>
        <w:t>Government has</w:t>
      </w:r>
      <w:r>
        <w:rPr>
          <w:rFonts w:asciiTheme="minorHAnsi" w:hAnsiTheme="minorHAnsi" w:cs="Times New Roman"/>
          <w:sz w:val="22"/>
        </w:rPr>
        <w:t xml:space="preserve"> also</w:t>
      </w:r>
      <w:r w:rsidRPr="00EB6803">
        <w:rPr>
          <w:rFonts w:asciiTheme="minorHAnsi" w:hAnsiTheme="minorHAnsi" w:cs="Times New Roman"/>
          <w:sz w:val="22"/>
        </w:rPr>
        <w:t xml:space="preserve"> been supporting the creation of new work placements for post-secondary students.  </w:t>
      </w:r>
    </w:p>
    <w:p w14:paraId="4B5B5213" w14:textId="070E7221" w:rsidR="000B649B" w:rsidRPr="00FE2884" w:rsidRDefault="000B649B" w:rsidP="000B649B">
      <w:pPr>
        <w:spacing w:line="240" w:lineRule="auto"/>
        <w:rPr>
          <w:rFonts w:asciiTheme="minorHAnsi" w:hAnsiTheme="minorHAnsi"/>
          <w:sz w:val="22"/>
        </w:rPr>
      </w:pPr>
      <w:r>
        <w:rPr>
          <w:rFonts w:asciiTheme="minorHAnsi" w:hAnsiTheme="minorHAnsi"/>
          <w:sz w:val="22"/>
        </w:rPr>
        <w:t>The Canadian Government is also h</w:t>
      </w:r>
      <w:r w:rsidRPr="00FE2884">
        <w:rPr>
          <w:rFonts w:asciiTheme="minorHAnsi" w:hAnsiTheme="minorHAnsi"/>
          <w:sz w:val="22"/>
        </w:rPr>
        <w:t xml:space="preserve">elping </w:t>
      </w:r>
      <w:r w:rsidR="00CD5BE2" w:rsidRPr="00CD5BE2">
        <w:rPr>
          <w:rFonts w:asciiTheme="minorHAnsi" w:hAnsiTheme="minorHAnsi"/>
          <w:sz w:val="22"/>
        </w:rPr>
        <w:t>workers find and maintain good jobs through bilateral initiatives with provinces and territories such as the Labour Market Development Agreements and the Workforce Development Agreements with provinces and territories. These labour market funding transfer agreements were expanded and modernized to better support the efforts of provinces and territories to provide skills training and employment supports for those who are unemployed, underemployed, or employed and seeking to upskill for the new world of work. In addition to providing provinces and territories with the flexibility to respond to the needs of their specific labour markets, these agreements support provinces and territories in providing more targeted services to underrepresented groups, such as persons with disabilities and Indigenous peoples. They also support employers seeking to expand and train their workforce</w:t>
      </w:r>
      <w:r w:rsidR="002B3610">
        <w:rPr>
          <w:rFonts w:asciiTheme="minorHAnsi" w:hAnsiTheme="minorHAnsi"/>
          <w:sz w:val="22"/>
        </w:rPr>
        <w:t>, including encouraging employers to invest in training</w:t>
      </w:r>
      <w:r w:rsidR="00CD5BE2" w:rsidRPr="00CD5BE2">
        <w:rPr>
          <w:rFonts w:asciiTheme="minorHAnsi" w:hAnsiTheme="minorHAnsi"/>
          <w:sz w:val="22"/>
        </w:rPr>
        <w:t>.</w:t>
      </w:r>
    </w:p>
    <w:p w14:paraId="096885BD" w14:textId="77777777" w:rsidR="000B649B" w:rsidRPr="00713569" w:rsidRDefault="000B649B" w:rsidP="000B649B">
      <w:pPr>
        <w:spacing w:line="240" w:lineRule="auto"/>
      </w:pPr>
      <w:r w:rsidRPr="00B81DD8">
        <w:rPr>
          <w:rFonts w:asciiTheme="minorHAnsi" w:hAnsiTheme="minorHAnsi" w:cs="Times New Roman"/>
          <w:sz w:val="22"/>
        </w:rPr>
        <w:t xml:space="preserve">Several </w:t>
      </w:r>
      <w:r>
        <w:rPr>
          <w:rFonts w:asciiTheme="minorHAnsi" w:hAnsiTheme="minorHAnsi" w:cs="Times New Roman"/>
          <w:sz w:val="22"/>
        </w:rPr>
        <w:t>Canadian Government</w:t>
      </w:r>
      <w:r w:rsidRPr="00B81DD8">
        <w:rPr>
          <w:rFonts w:asciiTheme="minorHAnsi" w:hAnsiTheme="minorHAnsi" w:cs="Times New Roman"/>
          <w:sz w:val="22"/>
        </w:rPr>
        <w:t xml:space="preserve"> employment, skills</w:t>
      </w:r>
      <w:r>
        <w:rPr>
          <w:rFonts w:asciiTheme="minorHAnsi" w:hAnsiTheme="minorHAnsi" w:cs="Times New Roman"/>
          <w:sz w:val="22"/>
        </w:rPr>
        <w:t>, and training</w:t>
      </w:r>
      <w:r w:rsidRPr="00B81DD8">
        <w:rPr>
          <w:rFonts w:asciiTheme="minorHAnsi" w:hAnsiTheme="minorHAnsi" w:cs="Times New Roman"/>
          <w:sz w:val="22"/>
        </w:rPr>
        <w:t xml:space="preserve"> initiatives are also designed to help targeted groups succeed in the employment landscape. For example, a new </w:t>
      </w:r>
      <w:r w:rsidRPr="001A4495">
        <w:rPr>
          <w:rFonts w:asciiTheme="minorHAnsi" w:hAnsiTheme="minorHAnsi" w:cs="Times New Roman"/>
          <w:sz w:val="22"/>
        </w:rPr>
        <w:t>Indigenous Skills and Employment Training Program</w:t>
      </w:r>
      <w:r w:rsidRPr="00B81DD8">
        <w:rPr>
          <w:rFonts w:asciiTheme="minorHAnsi" w:hAnsiTheme="minorHAnsi" w:cs="Times New Roman"/>
          <w:sz w:val="22"/>
        </w:rPr>
        <w:t xml:space="preserve"> has been co-developed with Indigenous partners, to help reduce the employment and earning</w:t>
      </w:r>
      <w:r>
        <w:rPr>
          <w:rFonts w:asciiTheme="minorHAnsi" w:hAnsiTheme="minorHAnsi" w:cs="Times New Roman"/>
          <w:sz w:val="22"/>
        </w:rPr>
        <w:t>s gaps of Indigenous p</w:t>
      </w:r>
      <w:r w:rsidRPr="00B81DD8">
        <w:rPr>
          <w:rFonts w:asciiTheme="minorHAnsi" w:hAnsiTheme="minorHAnsi" w:cs="Times New Roman"/>
          <w:sz w:val="22"/>
        </w:rPr>
        <w:t xml:space="preserve">eoples.  Expanded social supports provided by this program also help ensure </w:t>
      </w:r>
      <w:r>
        <w:rPr>
          <w:rFonts w:asciiTheme="minorHAnsi" w:hAnsiTheme="minorHAnsi" w:cs="Times New Roman"/>
          <w:sz w:val="22"/>
        </w:rPr>
        <w:t xml:space="preserve">the </w:t>
      </w:r>
      <w:r w:rsidRPr="00B81DD8">
        <w:rPr>
          <w:rFonts w:asciiTheme="minorHAnsi" w:hAnsiTheme="minorHAnsi" w:cs="Times New Roman"/>
          <w:sz w:val="22"/>
        </w:rPr>
        <w:t>equal treatment and full participation of Indigenous women, men, youth</w:t>
      </w:r>
      <w:r>
        <w:rPr>
          <w:rFonts w:asciiTheme="minorHAnsi" w:hAnsiTheme="minorHAnsi" w:cs="Times New Roman"/>
          <w:sz w:val="22"/>
        </w:rPr>
        <w:t>,</w:t>
      </w:r>
      <w:r w:rsidRPr="00B81DD8">
        <w:rPr>
          <w:rFonts w:asciiTheme="minorHAnsi" w:hAnsiTheme="minorHAnsi" w:cs="Times New Roman"/>
          <w:sz w:val="22"/>
        </w:rPr>
        <w:t xml:space="preserve"> and people with disabilities in skills development and training opportunities, to allow them to contribute more fully to their communities’ economic prosperity.  In addition, funding to help persons with disabilities prepare for, obtain, and maintain employment is available through the </w:t>
      </w:r>
      <w:r w:rsidRPr="001A4495">
        <w:rPr>
          <w:rFonts w:asciiTheme="minorHAnsi" w:hAnsiTheme="minorHAnsi" w:cs="Times New Roman"/>
          <w:sz w:val="22"/>
        </w:rPr>
        <w:t xml:space="preserve">Opportunities Fund for Persons with Disabilities, </w:t>
      </w:r>
      <w:r w:rsidRPr="00B81DD8">
        <w:rPr>
          <w:rFonts w:asciiTheme="minorHAnsi" w:hAnsiTheme="minorHAnsi" w:cs="Times New Roman"/>
          <w:sz w:val="22"/>
        </w:rPr>
        <w:t>while investments are being made in apprenticeships and the skilled trades to support the participation and success of women, and o</w:t>
      </w:r>
      <w:r>
        <w:rPr>
          <w:rFonts w:asciiTheme="minorHAnsi" w:hAnsiTheme="minorHAnsi" w:cs="Times New Roman"/>
          <w:sz w:val="22"/>
        </w:rPr>
        <w:t xml:space="preserve">ther groups that face barriers. </w:t>
      </w:r>
      <w:r>
        <w:rPr>
          <w:rFonts w:asciiTheme="minorHAnsi" w:hAnsiTheme="minorHAnsi"/>
          <w:sz w:val="22"/>
        </w:rPr>
        <w:t xml:space="preserve">As well, through </w:t>
      </w:r>
      <w:r w:rsidRPr="007B3821">
        <w:rPr>
          <w:rFonts w:asciiTheme="minorHAnsi" w:hAnsiTheme="minorHAnsi" w:cs="Times New Roman"/>
          <w:sz w:val="22"/>
        </w:rPr>
        <w:t>the Foreign Credential Recognition Program</w:t>
      </w:r>
      <w:r>
        <w:rPr>
          <w:rFonts w:asciiTheme="minorHAnsi" w:hAnsiTheme="minorHAnsi" w:cs="Times New Roman"/>
          <w:sz w:val="22"/>
        </w:rPr>
        <w:t>, the Canadian Government is supporting internationally-trained individuals to participate in the Canadian labour market.</w:t>
      </w:r>
    </w:p>
    <w:p w14:paraId="09DF472E" w14:textId="77777777" w:rsidR="000B649B" w:rsidRDefault="000B649B" w:rsidP="000B649B">
      <w:pPr>
        <w:spacing w:line="240" w:lineRule="auto"/>
        <w:contextualSpacing/>
        <w:rPr>
          <w:rFonts w:asciiTheme="minorHAnsi" w:hAnsiTheme="minorHAnsi" w:cs="Times New Roman"/>
          <w:sz w:val="22"/>
        </w:rPr>
      </w:pPr>
    </w:p>
    <w:p w14:paraId="55BA66EF" w14:textId="77777777" w:rsidR="000B649B" w:rsidRPr="006F7F19" w:rsidRDefault="000B649B" w:rsidP="000B649B">
      <w:pPr>
        <w:spacing w:line="240" w:lineRule="auto"/>
        <w:contextualSpacing/>
        <w:rPr>
          <w:rFonts w:asciiTheme="minorHAnsi" w:hAnsiTheme="minorHAnsi" w:cs="Times New Roman"/>
          <w:sz w:val="22"/>
        </w:rPr>
      </w:pPr>
      <w:r w:rsidRPr="00F9471A">
        <w:rPr>
          <w:rFonts w:asciiTheme="minorHAnsi" w:hAnsiTheme="minorHAnsi"/>
          <w:b/>
          <w:i/>
          <w:noProof/>
          <w:color w:val="990000"/>
          <w:sz w:val="22"/>
          <w:lang w:val="en-US"/>
        </w:rPr>
        <mc:AlternateContent>
          <mc:Choice Requires="wps">
            <w:drawing>
              <wp:inline distT="0" distB="0" distL="0" distR="0" wp14:anchorId="7E92317E" wp14:editId="4981A862">
                <wp:extent cx="6120130" cy="3812540"/>
                <wp:effectExtent l="0" t="0" r="13970" b="1651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812540"/>
                        </a:xfrm>
                        <a:prstGeom prst="rect">
                          <a:avLst/>
                        </a:prstGeom>
                        <a:solidFill>
                          <a:schemeClr val="accent1">
                            <a:lumMod val="20000"/>
                            <a:lumOff val="80000"/>
                          </a:schemeClr>
                        </a:solidFill>
                        <a:ln w="12700">
                          <a:solidFill>
                            <a:schemeClr val="tx2"/>
                          </a:solidFill>
                          <a:miter lim="800000"/>
                          <a:headEnd/>
                          <a:tailEnd/>
                        </a:ln>
                      </wps:spPr>
                      <wps:txbx>
                        <w:txbxContent>
                          <w:p w14:paraId="2D10EE86" w14:textId="77777777" w:rsidR="00633B37" w:rsidRPr="000C0E79" w:rsidRDefault="00633B37" w:rsidP="000B649B">
                            <w:pPr>
                              <w:spacing w:line="240" w:lineRule="auto"/>
                              <w:contextualSpacing/>
                              <w:rPr>
                                <w:rFonts w:asciiTheme="minorHAnsi" w:hAnsiTheme="minorHAnsi"/>
                                <w:b/>
                                <w:i/>
                                <w:color w:val="1F497D" w:themeColor="text2"/>
                                <w:sz w:val="22"/>
                              </w:rPr>
                            </w:pPr>
                            <w:r w:rsidRPr="000C0E79">
                              <w:rPr>
                                <w:rFonts w:asciiTheme="minorHAnsi" w:hAnsiTheme="minorHAnsi"/>
                                <w:b/>
                                <w:i/>
                                <w:color w:val="1F497D" w:themeColor="text2"/>
                                <w:sz w:val="22"/>
                              </w:rPr>
                              <w:t>Looking Forward</w:t>
                            </w:r>
                          </w:p>
                          <w:p w14:paraId="7D9B55C1" w14:textId="77777777" w:rsidR="00633B37" w:rsidRPr="000C0E79" w:rsidRDefault="00633B37" w:rsidP="000B649B">
                            <w:pPr>
                              <w:spacing w:line="240" w:lineRule="auto"/>
                              <w:contextualSpacing/>
                              <w:rPr>
                                <w:rFonts w:asciiTheme="minorHAnsi" w:hAnsiTheme="minorHAnsi"/>
                                <w:color w:val="1F497D" w:themeColor="text2"/>
                                <w:sz w:val="22"/>
                              </w:rPr>
                            </w:pPr>
                          </w:p>
                          <w:p w14:paraId="4B35CD77" w14:textId="2A6754D6" w:rsidR="00633B37" w:rsidRPr="000C0E79" w:rsidRDefault="00633B37" w:rsidP="000B649B">
                            <w:pPr>
                              <w:spacing w:line="240" w:lineRule="auto"/>
                              <w:contextualSpacing/>
                              <w:rPr>
                                <w:rFonts w:asciiTheme="minorHAnsi" w:hAnsiTheme="minorHAnsi"/>
                                <w:color w:val="1F497D" w:themeColor="text2"/>
                                <w:sz w:val="22"/>
                              </w:rPr>
                            </w:pPr>
                            <w:r w:rsidRPr="000C0E79">
                              <w:rPr>
                                <w:rFonts w:asciiTheme="minorHAnsi" w:hAnsiTheme="minorHAnsi"/>
                                <w:color w:val="1F497D" w:themeColor="text2"/>
                                <w:sz w:val="22"/>
                              </w:rPr>
                              <w:t xml:space="preserve">Australia’s and Canada’s generally strong labour market performance over recent decades indicates that </w:t>
                            </w:r>
                            <w:r>
                              <w:rPr>
                                <w:rFonts w:asciiTheme="minorHAnsi" w:hAnsiTheme="minorHAnsi"/>
                                <w:color w:val="1F497D" w:themeColor="text2"/>
                                <w:sz w:val="22"/>
                              </w:rPr>
                              <w:t>current</w:t>
                            </w:r>
                            <w:r w:rsidRPr="000C0E79">
                              <w:rPr>
                                <w:rFonts w:asciiTheme="minorHAnsi" w:hAnsiTheme="minorHAnsi"/>
                                <w:color w:val="1F497D" w:themeColor="text2"/>
                                <w:sz w:val="22"/>
                              </w:rPr>
                              <w:t xml:space="preserve"> policy </w:t>
                            </w:r>
                            <w:r>
                              <w:rPr>
                                <w:rFonts w:asciiTheme="minorHAnsi" w:hAnsiTheme="minorHAnsi"/>
                                <w:color w:val="1F497D" w:themeColor="text2"/>
                                <w:sz w:val="22"/>
                              </w:rPr>
                              <w:t>approaches</w:t>
                            </w:r>
                            <w:r w:rsidRPr="000C0E79">
                              <w:rPr>
                                <w:rFonts w:asciiTheme="minorHAnsi" w:hAnsiTheme="minorHAnsi"/>
                                <w:color w:val="1F497D" w:themeColor="text2"/>
                                <w:sz w:val="22"/>
                              </w:rPr>
                              <w:t xml:space="preserve"> have, on the whole, been successful. However, changes to the nature of these trends, such as the potential impact of AI, present substantial challenges to ensuring that future economic growth is broadly felt and contributes to addressing current areas of inequality. There may be a need to introduce changes to existing strategies now, to ensure that the workforces in both countries have the adaptive capacity, including relevant skills, needed over the coming decades and to address other structural barriers to labour market adjustment. There may also be a need for new short- and medium-term policies to improve labour market adjustment to prevent disadvantages from becoming entrenched among particular cohorts or regions, including by fostering lifelong learning and encouraging employers to </w:t>
                            </w:r>
                            <w:r>
                              <w:rPr>
                                <w:rFonts w:asciiTheme="minorHAnsi" w:hAnsiTheme="minorHAnsi"/>
                                <w:color w:val="1F497D" w:themeColor="text2"/>
                                <w:sz w:val="22"/>
                              </w:rPr>
                              <w:t xml:space="preserve">further </w:t>
                            </w:r>
                            <w:r w:rsidRPr="000C0E79">
                              <w:rPr>
                                <w:rFonts w:asciiTheme="minorHAnsi" w:hAnsiTheme="minorHAnsi"/>
                                <w:color w:val="1F497D" w:themeColor="text2"/>
                                <w:sz w:val="22"/>
                              </w:rPr>
                              <w:t>invest in skills development and training.</w:t>
                            </w:r>
                          </w:p>
                          <w:p w14:paraId="6A182DE9" w14:textId="77777777" w:rsidR="00633B37" w:rsidRPr="000C0E79" w:rsidRDefault="00633B37" w:rsidP="000B649B">
                            <w:pPr>
                              <w:spacing w:line="240" w:lineRule="auto"/>
                              <w:contextualSpacing/>
                              <w:rPr>
                                <w:rFonts w:asciiTheme="minorHAnsi" w:hAnsiTheme="minorHAnsi"/>
                                <w:color w:val="1F497D" w:themeColor="text2"/>
                                <w:sz w:val="22"/>
                              </w:rPr>
                            </w:pPr>
                          </w:p>
                          <w:p w14:paraId="3CA64220" w14:textId="77777777" w:rsidR="00633B37" w:rsidRPr="000C0E79" w:rsidRDefault="00633B37" w:rsidP="000B649B">
                            <w:pPr>
                              <w:spacing w:line="240" w:lineRule="auto"/>
                              <w:contextualSpacing/>
                              <w:rPr>
                                <w:rFonts w:asciiTheme="minorHAnsi" w:hAnsiTheme="minorHAnsi" w:cs="Times New Roman"/>
                                <w:color w:val="1F497D" w:themeColor="text2"/>
                                <w:sz w:val="22"/>
                              </w:rPr>
                            </w:pPr>
                            <w:r w:rsidRPr="000C0E79">
                              <w:rPr>
                                <w:rFonts w:asciiTheme="minorHAnsi" w:hAnsiTheme="minorHAnsi"/>
                                <w:color w:val="1F497D" w:themeColor="text2"/>
                                <w:sz w:val="22"/>
                              </w:rPr>
                              <w:t>That said, it may be challenging to know exactly how programs need to be adjusted, as the effectiveness of our initiatives may not be clear until programs mature. G</w:t>
                            </w:r>
                            <w:r w:rsidRPr="000C0E79">
                              <w:rPr>
                                <w:rFonts w:asciiTheme="minorHAnsi" w:hAnsiTheme="minorHAnsi" w:cs="Times New Roman"/>
                                <w:color w:val="1F497D" w:themeColor="text2"/>
                                <w:sz w:val="22"/>
                              </w:rPr>
                              <w:t>iven the existing uncertainties as well as what the literature is predicting, it will be important, moving forward, to monitor program performance and a range of labour market indicators to help signal how the changing nature of work is impacting labour markets and inform further policy adjustments.  There is a solid base on which to build given the increasing focus on results and delivery by both the Australian and Canadian Governments, which is helping to inform program design, implementation and monitoring.</w:t>
                            </w:r>
                          </w:p>
                          <w:p w14:paraId="5143907A" w14:textId="77777777" w:rsidR="00633B37" w:rsidRDefault="00633B37" w:rsidP="000B649B"/>
                        </w:txbxContent>
                      </wps:txbx>
                      <wps:bodyPr rot="0" vert="horz" wrap="square" lIns="91440" tIns="45720" rIns="91440" bIns="45720" anchor="t" anchorCtr="0">
                        <a:spAutoFit/>
                      </wps:bodyPr>
                    </wps:wsp>
                  </a:graphicData>
                </a:graphic>
              </wp:inline>
            </w:drawing>
          </mc:Choice>
          <mc:Fallback>
            <w:pict>
              <v:shape w14:anchorId="7E92317E" id="Text Box 289" o:spid="_x0000_s1030" type="#_x0000_t202" style="width:481.9pt;height:3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" fillcolor="#dbe5f1 [660]" strokecolor="#1f497d [3215]" strokeweight="1pt">
                <v:textbox style="mso-fit-shape-to-text:t">
                  <w:txbxContent>
                    <w:p w14:paraId="2D10EE86" w14:textId="77777777" w:rsidR="00633B37" w:rsidRPr="000C0E79" w:rsidRDefault="00633B37" w:rsidP="000B649B">
                      <w:pPr>
                        <w:spacing w:line="240" w:lineRule="auto"/>
                        <w:contextualSpacing/>
                        <w:rPr>
                          <w:rFonts w:asciiTheme="minorHAnsi" w:hAnsiTheme="minorHAnsi"/>
                          <w:b/>
                          <w:i/>
                          <w:color w:val="1F497D" w:themeColor="text2"/>
                          <w:sz w:val="22"/>
                        </w:rPr>
                      </w:pPr>
                      <w:r w:rsidRPr="000C0E79">
                        <w:rPr>
                          <w:rFonts w:asciiTheme="minorHAnsi" w:hAnsiTheme="minorHAnsi"/>
                          <w:b/>
                          <w:i/>
                          <w:color w:val="1F497D" w:themeColor="text2"/>
                          <w:sz w:val="22"/>
                        </w:rPr>
                        <w:t>Looking Forward</w:t>
                      </w:r>
                    </w:p>
                    <w:p w14:paraId="7D9B55C1" w14:textId="77777777" w:rsidR="00633B37" w:rsidRPr="000C0E79" w:rsidRDefault="00633B37" w:rsidP="000B649B">
                      <w:pPr>
                        <w:spacing w:line="240" w:lineRule="auto"/>
                        <w:contextualSpacing/>
                        <w:rPr>
                          <w:rFonts w:asciiTheme="minorHAnsi" w:hAnsiTheme="minorHAnsi"/>
                          <w:color w:val="1F497D" w:themeColor="text2"/>
                          <w:sz w:val="22"/>
                        </w:rPr>
                      </w:pPr>
                    </w:p>
                    <w:p w14:paraId="4B35CD77" w14:textId="2A6754D6" w:rsidR="00633B37" w:rsidRPr="000C0E79" w:rsidRDefault="00633B37" w:rsidP="000B649B">
                      <w:pPr>
                        <w:spacing w:line="240" w:lineRule="auto"/>
                        <w:contextualSpacing/>
                        <w:rPr>
                          <w:rFonts w:asciiTheme="minorHAnsi" w:hAnsiTheme="minorHAnsi"/>
                          <w:color w:val="1F497D" w:themeColor="text2"/>
                          <w:sz w:val="22"/>
                        </w:rPr>
                      </w:pPr>
                      <w:r w:rsidRPr="000C0E79">
                        <w:rPr>
                          <w:rFonts w:asciiTheme="minorHAnsi" w:hAnsiTheme="minorHAnsi"/>
                          <w:color w:val="1F497D" w:themeColor="text2"/>
                          <w:sz w:val="22"/>
                        </w:rPr>
                        <w:t xml:space="preserve">Australia’s and Canada’s generally strong labour market performance over recent decades indicates that </w:t>
                      </w:r>
                      <w:r>
                        <w:rPr>
                          <w:rFonts w:asciiTheme="minorHAnsi" w:hAnsiTheme="minorHAnsi"/>
                          <w:color w:val="1F497D" w:themeColor="text2"/>
                          <w:sz w:val="22"/>
                        </w:rPr>
                        <w:t>current</w:t>
                      </w:r>
                      <w:r w:rsidRPr="000C0E79">
                        <w:rPr>
                          <w:rFonts w:asciiTheme="minorHAnsi" w:hAnsiTheme="minorHAnsi"/>
                          <w:color w:val="1F497D" w:themeColor="text2"/>
                          <w:sz w:val="22"/>
                        </w:rPr>
                        <w:t xml:space="preserve"> policy </w:t>
                      </w:r>
                      <w:r>
                        <w:rPr>
                          <w:rFonts w:asciiTheme="minorHAnsi" w:hAnsiTheme="minorHAnsi"/>
                          <w:color w:val="1F497D" w:themeColor="text2"/>
                          <w:sz w:val="22"/>
                        </w:rPr>
                        <w:t>approaches</w:t>
                      </w:r>
                      <w:r w:rsidRPr="000C0E79">
                        <w:rPr>
                          <w:rFonts w:asciiTheme="minorHAnsi" w:hAnsiTheme="minorHAnsi"/>
                          <w:color w:val="1F497D" w:themeColor="text2"/>
                          <w:sz w:val="22"/>
                        </w:rPr>
                        <w:t xml:space="preserve"> have, on the whole, been successful. However, changes to the nature of these trends, such as the potential impact of AI, present substantial challenges to ensuring that future economic growth is broadly felt and contributes to addressing current areas of inequality. There may be a need to introduce changes to existing strategies now, to ensure that the workforces in both countries have the adaptive capacity, including relevant skills, needed over the coming decades and to address other structural barriers to labour market adjustment. There may also be a need for new short- and medium-term policies to improve labour market adjustment to prevent disadvantages from becoming entrenched among particular cohorts or regions, including by fostering lifelong learning and encouraging employers to </w:t>
                      </w:r>
                      <w:r>
                        <w:rPr>
                          <w:rFonts w:asciiTheme="minorHAnsi" w:hAnsiTheme="minorHAnsi"/>
                          <w:color w:val="1F497D" w:themeColor="text2"/>
                          <w:sz w:val="22"/>
                        </w:rPr>
                        <w:t xml:space="preserve">further </w:t>
                      </w:r>
                      <w:r w:rsidRPr="000C0E79">
                        <w:rPr>
                          <w:rFonts w:asciiTheme="minorHAnsi" w:hAnsiTheme="minorHAnsi"/>
                          <w:color w:val="1F497D" w:themeColor="text2"/>
                          <w:sz w:val="22"/>
                        </w:rPr>
                        <w:t>invest in skills development and training.</w:t>
                      </w:r>
                    </w:p>
                    <w:p w14:paraId="6A182DE9" w14:textId="77777777" w:rsidR="00633B37" w:rsidRPr="000C0E79" w:rsidRDefault="00633B37" w:rsidP="000B649B">
                      <w:pPr>
                        <w:spacing w:line="240" w:lineRule="auto"/>
                        <w:contextualSpacing/>
                        <w:rPr>
                          <w:rFonts w:asciiTheme="minorHAnsi" w:hAnsiTheme="minorHAnsi"/>
                          <w:color w:val="1F497D" w:themeColor="text2"/>
                          <w:sz w:val="22"/>
                        </w:rPr>
                      </w:pPr>
                    </w:p>
                    <w:p w14:paraId="3CA64220" w14:textId="77777777" w:rsidR="00633B37" w:rsidRPr="000C0E79" w:rsidRDefault="00633B37" w:rsidP="000B649B">
                      <w:pPr>
                        <w:spacing w:line="240" w:lineRule="auto"/>
                        <w:contextualSpacing/>
                        <w:rPr>
                          <w:rFonts w:asciiTheme="minorHAnsi" w:hAnsiTheme="minorHAnsi" w:cs="Times New Roman"/>
                          <w:color w:val="1F497D" w:themeColor="text2"/>
                          <w:sz w:val="22"/>
                        </w:rPr>
                      </w:pPr>
                      <w:r w:rsidRPr="000C0E79">
                        <w:rPr>
                          <w:rFonts w:asciiTheme="minorHAnsi" w:hAnsiTheme="minorHAnsi"/>
                          <w:color w:val="1F497D" w:themeColor="text2"/>
                          <w:sz w:val="22"/>
                        </w:rPr>
                        <w:t>That said, it may be challenging to know exactly how programs need to be adjusted, as the effectiveness of our initiatives may not be clear until programs mature. G</w:t>
                      </w:r>
                      <w:r w:rsidRPr="000C0E79">
                        <w:rPr>
                          <w:rFonts w:asciiTheme="minorHAnsi" w:hAnsiTheme="minorHAnsi" w:cs="Times New Roman"/>
                          <w:color w:val="1F497D" w:themeColor="text2"/>
                          <w:sz w:val="22"/>
                        </w:rPr>
                        <w:t>iven the existing uncertainties as well as what the literature is predicting, it will be important, moving forward, to monitor program performance and a range of labour market indicators to help signal how the changing nature of work is impacting labour markets and inform further policy adjustments.  There is a solid base on which to build given the increasing focus on results and delivery by both the Australian and Canadian Governments, which is helping to inform program design, implementation and monitoring.</w:t>
                      </w:r>
                    </w:p>
                    <w:p w14:paraId="5143907A" w14:textId="77777777" w:rsidR="00633B37" w:rsidRDefault="00633B37" w:rsidP="000B649B"/>
                  </w:txbxContent>
                </v:textbox>
                <w10:anchorlock/>
              </v:shape>
            </w:pict>
          </mc:Fallback>
        </mc:AlternateContent>
      </w:r>
    </w:p>
    <w:p w14:paraId="6B0BB3A4" w14:textId="77777777" w:rsidR="000B649B" w:rsidRPr="005D5A83" w:rsidRDefault="000B649B" w:rsidP="00BC2039">
      <w:pPr>
        <w:pStyle w:val="Heading1"/>
        <w:numPr>
          <w:ilvl w:val="0"/>
          <w:numId w:val="12"/>
        </w:numPr>
      </w:pPr>
      <w:r>
        <w:t>Strengthening</w:t>
      </w:r>
      <w:r w:rsidRPr="005D5A83">
        <w:t xml:space="preserve"> tax and social support</w:t>
      </w:r>
      <w:r>
        <w:t xml:space="preserve"> systems to promote economic and social participation by all, including targeted support to </w:t>
      </w:r>
      <w:r w:rsidRPr="005D5A83">
        <w:t>vulnerable groups</w:t>
      </w:r>
    </w:p>
    <w:p w14:paraId="3AF78C18" w14:textId="77777777" w:rsidR="000B649B" w:rsidRPr="00FA22AD"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While a significant emphasis of policy should be to help those affected by technological disruption to reskill and re-enter the labour market as discussed above,</w:t>
      </w:r>
      <w:r w:rsidRPr="002707FB" w:rsidDel="00A6217B">
        <w:rPr>
          <w:rFonts w:asciiTheme="minorHAnsi" w:hAnsiTheme="minorHAnsi" w:cstheme="minorHAnsi"/>
          <w:sz w:val="22"/>
        </w:rPr>
        <w:t xml:space="preserve"> </w:t>
      </w:r>
      <w:r w:rsidRPr="002707FB">
        <w:rPr>
          <w:rFonts w:asciiTheme="minorHAnsi" w:hAnsiTheme="minorHAnsi" w:cstheme="minorHAnsi"/>
          <w:sz w:val="22"/>
        </w:rPr>
        <w:t>tax</w:t>
      </w:r>
      <w:r>
        <w:rPr>
          <w:rFonts w:asciiTheme="minorHAnsi" w:hAnsiTheme="minorHAnsi" w:cstheme="minorHAnsi"/>
          <w:sz w:val="22"/>
        </w:rPr>
        <w:t>es</w:t>
      </w:r>
      <w:r w:rsidRPr="002707FB">
        <w:rPr>
          <w:rFonts w:asciiTheme="minorHAnsi" w:hAnsiTheme="minorHAnsi" w:cstheme="minorHAnsi"/>
          <w:sz w:val="22"/>
        </w:rPr>
        <w:t xml:space="preserve"> and social supports may need to be adjusted </w:t>
      </w:r>
      <w:r>
        <w:rPr>
          <w:rFonts w:asciiTheme="minorHAnsi" w:hAnsiTheme="minorHAnsi" w:cstheme="minorHAnsi"/>
          <w:sz w:val="22"/>
        </w:rPr>
        <w:t>in response</w:t>
      </w:r>
      <w:r w:rsidRPr="002707FB">
        <w:rPr>
          <w:rFonts w:asciiTheme="minorHAnsi" w:hAnsiTheme="minorHAnsi" w:cstheme="minorHAnsi"/>
          <w:sz w:val="22"/>
        </w:rPr>
        <w:t xml:space="preserve"> to structural changes to labour market conditions to ensure an adequate </w:t>
      </w:r>
      <w:r w:rsidRPr="002707FB" w:rsidDel="00A6217B">
        <w:rPr>
          <w:rFonts w:asciiTheme="minorHAnsi" w:hAnsiTheme="minorHAnsi" w:cstheme="minorHAnsi"/>
          <w:sz w:val="22"/>
        </w:rPr>
        <w:t>s</w:t>
      </w:r>
      <w:r w:rsidRPr="002707FB">
        <w:rPr>
          <w:rFonts w:asciiTheme="minorHAnsi" w:hAnsiTheme="minorHAnsi" w:cstheme="minorHAnsi"/>
          <w:sz w:val="22"/>
        </w:rPr>
        <w:t>afety net for society’s most vulnerable.</w:t>
      </w:r>
    </w:p>
    <w:p w14:paraId="45C655C0" w14:textId="77777777" w:rsidR="000B649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Compared to other OECD countries, Canada and Australia have average levels of inequality</w:t>
      </w:r>
      <w:r w:rsidRPr="00FA22AD">
        <w:rPr>
          <w:rFonts w:asciiTheme="minorHAnsi" w:hAnsiTheme="minorHAnsi" w:cstheme="minorHAnsi"/>
          <w:sz w:val="22"/>
        </w:rPr>
        <w:t xml:space="preserve"> </w:t>
      </w:r>
      <w:r>
        <w:rPr>
          <w:rFonts w:asciiTheme="minorHAnsi" w:hAnsiTheme="minorHAnsi" w:cstheme="minorHAnsi"/>
          <w:sz w:val="22"/>
        </w:rPr>
        <w:t>in after-tax disposable income</w:t>
      </w:r>
      <w:r w:rsidRPr="002707FB">
        <w:rPr>
          <w:rFonts w:asciiTheme="minorHAnsi" w:hAnsiTheme="minorHAnsi" w:cstheme="minorHAnsi"/>
          <w:sz w:val="22"/>
        </w:rPr>
        <w:t xml:space="preserve"> based on the most recent data available</w:t>
      </w:r>
      <w:r>
        <w:rPr>
          <w:rFonts w:asciiTheme="minorHAnsi" w:hAnsiTheme="minorHAnsi" w:cstheme="minorHAnsi"/>
          <w:sz w:val="22"/>
        </w:rPr>
        <w:t xml:space="preserve"> (</w:t>
      </w:r>
      <w:r>
        <w:rPr>
          <w:rFonts w:asciiTheme="minorHAnsi" w:hAnsiTheme="minorHAnsi" w:cstheme="minorHAnsi"/>
          <w:b/>
          <w:sz w:val="22"/>
        </w:rPr>
        <w:t>Fig. 5</w:t>
      </w:r>
      <w:r>
        <w:rPr>
          <w:rFonts w:asciiTheme="minorHAnsi" w:hAnsiTheme="minorHAnsi" w:cstheme="minorHAnsi"/>
          <w:sz w:val="22"/>
        </w:rPr>
        <w:t>)</w:t>
      </w:r>
      <w:r w:rsidRPr="002707FB">
        <w:rPr>
          <w:rFonts w:asciiTheme="minorHAnsi" w:hAnsiTheme="minorHAnsi" w:cstheme="minorHAnsi"/>
          <w:sz w:val="22"/>
        </w:rPr>
        <w:t xml:space="preserve">. </w:t>
      </w:r>
      <w:r>
        <w:rPr>
          <w:rFonts w:asciiTheme="minorHAnsi" w:hAnsiTheme="minorHAnsi" w:cstheme="minorHAnsi"/>
          <w:sz w:val="22"/>
        </w:rPr>
        <w:t>These average levels of after-tax inequality are driven by relatively low levels of inequality in (pre-tax) market income rather than above-average rates of redistribution, suggesting that both countries are relatively successful at creating opportunities for people across the income distribution.</w:t>
      </w:r>
    </w:p>
    <w:p w14:paraId="64D48934" w14:textId="77777777" w:rsidR="000B649B" w:rsidRPr="00D372CB" w:rsidRDefault="000B649B" w:rsidP="000B649B">
      <w:pPr>
        <w:pStyle w:val="ListParagraph"/>
        <w:keepNext/>
        <w:jc w:val="center"/>
        <w:rPr>
          <w:rFonts w:cs="Calibri"/>
        </w:rPr>
      </w:pPr>
      <w:r w:rsidRPr="009025C4">
        <w:rPr>
          <w:rFonts w:ascii="Calibri" w:hAnsi="Calibri" w:cs="Calibri"/>
          <w:b/>
        </w:rPr>
        <w:t>Fig. 5  Equality promotion via taxes and transfers</w:t>
      </w:r>
      <w:r>
        <w:rPr>
          <w:rFonts w:ascii="Calibri" w:hAnsi="Calibri" w:cs="Calibri"/>
          <w:b/>
        </w:rPr>
        <w:br/>
      </w:r>
    </w:p>
    <w:p w14:paraId="48A083A8" w14:textId="77777777" w:rsidR="000B649B" w:rsidRPr="001D6AA9" w:rsidRDefault="000B649B" w:rsidP="000B649B">
      <w:pPr>
        <w:spacing w:line="240" w:lineRule="auto"/>
        <w:rPr>
          <w:rFonts w:cs="Calibri"/>
          <w:color w:val="C00000"/>
        </w:rPr>
      </w:pPr>
      <w:r w:rsidRPr="001D6AA9">
        <w:rPr>
          <w:rFonts w:cs="Calibri"/>
          <w:noProof/>
          <w:color w:val="C00000"/>
          <w:lang w:val="en-US"/>
        </w:rPr>
        <w:drawing>
          <wp:inline distT="0" distB="0" distL="0" distR="0" wp14:anchorId="0E2589F3" wp14:editId="5129FAA8">
            <wp:extent cx="2901950" cy="324485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D6AA9">
        <w:rPr>
          <w:rFonts w:cs="Calibri"/>
          <w:noProof/>
          <w:color w:val="C00000"/>
          <w:lang w:val="en-US"/>
        </w:rPr>
        <w:drawing>
          <wp:inline distT="0" distB="0" distL="0" distR="0" wp14:anchorId="5281CE88" wp14:editId="58DD0688">
            <wp:extent cx="3194050" cy="3257550"/>
            <wp:effectExtent l="0" t="0" r="635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E78FDC" w14:textId="77777777" w:rsidR="000B649B" w:rsidRDefault="000B649B" w:rsidP="000B649B">
      <w:pPr>
        <w:spacing w:line="240" w:lineRule="auto"/>
        <w:rPr>
          <w:rFonts w:asciiTheme="minorHAnsi" w:hAnsiTheme="minorHAnsi" w:cstheme="minorHAnsi"/>
          <w:sz w:val="22"/>
        </w:rPr>
      </w:pPr>
      <w:r w:rsidRPr="00457062">
        <w:rPr>
          <w:rFonts w:ascii="Calibri" w:hAnsi="Calibri" w:cs="Calibri"/>
          <w:b/>
          <w:sz w:val="16"/>
          <w:szCs w:val="20"/>
        </w:rPr>
        <w:t>Source:</w:t>
      </w:r>
      <w:r w:rsidRPr="00457062">
        <w:rPr>
          <w:rFonts w:ascii="Calibri" w:hAnsi="Calibri" w:cs="Calibri"/>
          <w:sz w:val="16"/>
          <w:szCs w:val="20"/>
        </w:rPr>
        <w:t xml:space="preserve"> OECD data; calculations by Department of Finance Canada. </w:t>
      </w:r>
      <w:r w:rsidRPr="00457062">
        <w:rPr>
          <w:rFonts w:ascii="Calibri" w:hAnsi="Calibri" w:cs="Calibri"/>
          <w:sz w:val="16"/>
          <w:szCs w:val="20"/>
        </w:rPr>
        <w:br/>
      </w:r>
      <w:r w:rsidRPr="00457062">
        <w:rPr>
          <w:rFonts w:ascii="Calibri" w:hAnsi="Calibri" w:cs="Calibri"/>
          <w:b/>
          <w:sz w:val="16"/>
          <w:szCs w:val="20"/>
        </w:rPr>
        <w:t>Notes:</w:t>
      </w:r>
      <w:r w:rsidRPr="00457062">
        <w:rPr>
          <w:rFonts w:ascii="Calibri" w:hAnsi="Calibri" w:cs="Calibri"/>
          <w:sz w:val="16"/>
          <w:szCs w:val="20"/>
        </w:rPr>
        <w:t xml:space="preserve"> For countries where data was not available for 2016, data from the most recent year was used (2015 for Canada and 2014 for Australia). A higher Gini coefficient indicates greater inequality. The reduction in inequality due to taxes and transfers is calculated by comparing the Gini coefficient of disposable income after taxes and transfers to the Gini coefficient of market income before taxes and transfers.</w:t>
      </w:r>
    </w:p>
    <w:p w14:paraId="5E86BDDE" w14:textId="77777777" w:rsidR="000B649B" w:rsidRPr="002707FB" w:rsidRDefault="000B649B" w:rsidP="000B649B">
      <w:pPr>
        <w:spacing w:line="240" w:lineRule="auto"/>
        <w:rPr>
          <w:rFonts w:asciiTheme="minorHAnsi" w:hAnsiTheme="minorHAnsi" w:cstheme="minorHAnsi"/>
          <w:sz w:val="22"/>
        </w:rPr>
      </w:pPr>
      <w:r w:rsidRPr="002707FB">
        <w:rPr>
          <w:rFonts w:asciiTheme="minorHAnsi" w:hAnsiTheme="minorHAnsi" w:cstheme="minorHAnsi"/>
          <w:sz w:val="22"/>
        </w:rPr>
        <w:t xml:space="preserve">Both countries have several disadvantaged groups at greater risk of living in poverty such as single parents, </w:t>
      </w:r>
      <w:r>
        <w:rPr>
          <w:rFonts w:asciiTheme="minorHAnsi" w:hAnsiTheme="minorHAnsi" w:cstheme="minorHAnsi"/>
          <w:sz w:val="22"/>
        </w:rPr>
        <w:t>people</w:t>
      </w:r>
      <w:r w:rsidRPr="002707FB">
        <w:rPr>
          <w:rFonts w:asciiTheme="minorHAnsi" w:hAnsiTheme="minorHAnsi" w:cstheme="minorHAnsi"/>
          <w:sz w:val="22"/>
        </w:rPr>
        <w:t xml:space="preserve"> with disabilities, recent immigrants, seniors</w:t>
      </w:r>
      <w:r>
        <w:rPr>
          <w:rFonts w:asciiTheme="minorHAnsi" w:hAnsiTheme="minorHAnsi" w:cstheme="minorHAnsi"/>
          <w:sz w:val="22"/>
        </w:rPr>
        <w:t xml:space="preserve"> (specifically single seniors in Canada)</w:t>
      </w:r>
      <w:r w:rsidRPr="002707FB">
        <w:rPr>
          <w:rFonts w:asciiTheme="minorHAnsi" w:hAnsiTheme="minorHAnsi" w:cstheme="minorHAnsi"/>
          <w:sz w:val="22"/>
        </w:rPr>
        <w:t xml:space="preserve">, people living with mental illness, Canada’s Indigenous peoples, and Australia’s Aboriginal and Torres Strait Islander peoples. </w:t>
      </w:r>
      <w:r w:rsidRPr="002707FB">
        <w:rPr>
          <w:rFonts w:asciiTheme="minorHAnsi" w:hAnsiTheme="minorHAnsi" w:cstheme="minorHAnsi"/>
          <w:sz w:val="22"/>
          <w:lang w:val="en"/>
        </w:rPr>
        <w:t>For people in these groups, </w:t>
      </w:r>
      <w:r w:rsidRPr="001F042B">
        <w:rPr>
          <w:rFonts w:asciiTheme="minorHAnsi" w:hAnsiTheme="minorHAnsi" w:cstheme="minorHAnsi"/>
          <w:sz w:val="22"/>
          <w:lang w:val="en"/>
        </w:rPr>
        <w:t>low income is often a symptom of multiple disadvantages that</w:t>
      </w:r>
      <w:r w:rsidRPr="002707FB">
        <w:rPr>
          <w:rFonts w:asciiTheme="minorHAnsi" w:hAnsiTheme="minorHAnsi" w:cstheme="minorHAnsi"/>
          <w:sz w:val="22"/>
          <w:lang w:val="en"/>
        </w:rPr>
        <w:t xml:space="preserve"> they face in everyday life </w:t>
      </w:r>
      <w:r w:rsidRPr="002707FB">
        <w:rPr>
          <w:rFonts w:asciiTheme="minorHAnsi" w:hAnsiTheme="minorHAnsi" w:cstheme="minorHAnsi"/>
          <w:sz w:val="22"/>
          <w:lang w:val="en-US"/>
        </w:rPr>
        <w:t xml:space="preserve">such as low education, </w:t>
      </w:r>
      <w:r>
        <w:rPr>
          <w:rFonts w:asciiTheme="minorHAnsi" w:hAnsiTheme="minorHAnsi" w:cstheme="minorHAnsi"/>
          <w:sz w:val="22"/>
          <w:lang w:val="en-US"/>
        </w:rPr>
        <w:t>lower</w:t>
      </w:r>
      <w:r w:rsidRPr="001F042B">
        <w:rPr>
          <w:rFonts w:asciiTheme="minorHAnsi" w:hAnsiTheme="minorHAnsi" w:cstheme="minorHAnsi"/>
          <w:sz w:val="22"/>
          <w:lang w:val="en-CA"/>
        </w:rPr>
        <w:t xml:space="preserve"> essential skills</w:t>
      </w:r>
      <w:r w:rsidRPr="002707FB">
        <w:rPr>
          <w:rFonts w:asciiTheme="minorHAnsi" w:hAnsiTheme="minorHAnsi" w:cstheme="minorHAnsi"/>
          <w:sz w:val="22"/>
          <w:lang w:val="en-US"/>
        </w:rPr>
        <w:t xml:space="preserve">, disincentives to work caused by </w:t>
      </w:r>
      <w:r w:rsidRPr="002707FB">
        <w:rPr>
          <w:rFonts w:asciiTheme="minorHAnsi" w:hAnsiTheme="minorHAnsi" w:cstheme="minorHAnsi"/>
          <w:sz w:val="22"/>
          <w:lang w:val="en-CA"/>
        </w:rPr>
        <w:t>high clawback rates on benefits,</w:t>
      </w:r>
      <w:r>
        <w:rPr>
          <w:rFonts w:asciiTheme="minorHAnsi" w:hAnsiTheme="minorHAnsi" w:cstheme="minorHAnsi"/>
          <w:sz w:val="22"/>
          <w:lang w:val="en-US"/>
        </w:rPr>
        <w:t xml:space="preserve"> health-</w:t>
      </w:r>
      <w:r w:rsidRPr="002707FB">
        <w:rPr>
          <w:rFonts w:asciiTheme="minorHAnsi" w:hAnsiTheme="minorHAnsi" w:cstheme="minorHAnsi"/>
          <w:sz w:val="22"/>
          <w:lang w:val="en-US"/>
        </w:rPr>
        <w:t xml:space="preserve">related limitations, </w:t>
      </w:r>
      <w:r w:rsidRPr="002707FB">
        <w:rPr>
          <w:rFonts w:asciiTheme="minorHAnsi" w:hAnsiTheme="minorHAnsi" w:cstheme="minorHAnsi"/>
          <w:sz w:val="22"/>
          <w:lang w:val="en-CA"/>
        </w:rPr>
        <w:t>discrimination,</w:t>
      </w:r>
      <w:r w:rsidRPr="002707FB">
        <w:rPr>
          <w:rFonts w:asciiTheme="minorHAnsi" w:hAnsiTheme="minorHAnsi" w:cstheme="minorHAnsi"/>
          <w:sz w:val="22"/>
          <w:lang w:val="en-US"/>
        </w:rPr>
        <w:t xml:space="preserve"> responsibilities for the care of others, and poor access to job opportunities.</w:t>
      </w:r>
    </w:p>
    <w:p w14:paraId="722ECA68" w14:textId="77777777" w:rsidR="000B649B" w:rsidRPr="00F646EC" w:rsidRDefault="000B649B" w:rsidP="000B649B">
      <w:pPr>
        <w:spacing w:line="240" w:lineRule="auto"/>
      </w:pPr>
      <w:r>
        <w:rPr>
          <w:rFonts w:asciiTheme="minorHAnsi" w:hAnsiTheme="minorHAnsi" w:cstheme="minorHAnsi"/>
          <w:sz w:val="22"/>
        </w:rPr>
        <w:t>These vulnerable groups are expected to be disproportionately affected by the changing nature of work because they are concentrated in more easily automated low-skilled jobs and face greater barriers to finding new employment in the event of job loss.</w:t>
      </w:r>
    </w:p>
    <w:p w14:paraId="0817F30B" w14:textId="77777777" w:rsidR="000B649B" w:rsidRPr="002707FB" w:rsidRDefault="000B649B" w:rsidP="000B649B">
      <w:pPr>
        <w:pStyle w:val="Heading2"/>
        <w:rPr>
          <w:rFonts w:asciiTheme="minorHAnsi" w:hAnsiTheme="minorHAnsi" w:cstheme="minorHAnsi"/>
          <w:sz w:val="22"/>
        </w:rPr>
      </w:pPr>
      <w:r w:rsidRPr="002707FB">
        <w:rPr>
          <w:rFonts w:asciiTheme="minorHAnsi" w:hAnsiTheme="minorHAnsi" w:cstheme="minorHAnsi"/>
          <w:sz w:val="22"/>
        </w:rPr>
        <w:t xml:space="preserve">Australian challenges and policy responses </w:t>
      </w:r>
    </w:p>
    <w:p w14:paraId="19D398D5" w14:textId="77777777" w:rsidR="000B649B" w:rsidRPr="002707FB" w:rsidRDefault="000B649B" w:rsidP="000B649B">
      <w:pPr>
        <w:spacing w:after="0" w:line="240" w:lineRule="auto"/>
        <w:rPr>
          <w:rFonts w:asciiTheme="minorHAnsi" w:hAnsiTheme="minorHAnsi" w:cstheme="minorHAnsi"/>
          <w:sz w:val="22"/>
          <w:lang w:val="en"/>
        </w:rPr>
      </w:pPr>
      <w:r w:rsidRPr="002707FB">
        <w:rPr>
          <w:rFonts w:asciiTheme="minorHAnsi" w:hAnsiTheme="minorHAnsi" w:cstheme="minorHAnsi"/>
          <w:sz w:val="22"/>
          <w:lang w:val="en"/>
        </w:rPr>
        <w:t>As well as providing a safety net, Aust</w:t>
      </w:r>
      <w:r>
        <w:rPr>
          <w:rFonts w:asciiTheme="minorHAnsi" w:hAnsiTheme="minorHAnsi" w:cstheme="minorHAnsi"/>
          <w:sz w:val="22"/>
          <w:lang w:val="en"/>
        </w:rPr>
        <w:t xml:space="preserve">ralia’s tax and </w:t>
      </w:r>
      <w:r w:rsidRPr="002707FB">
        <w:rPr>
          <w:rFonts w:asciiTheme="minorHAnsi" w:hAnsiTheme="minorHAnsi" w:cstheme="minorHAnsi"/>
          <w:sz w:val="22"/>
          <w:lang w:val="en"/>
        </w:rPr>
        <w:t>transfer system</w:t>
      </w:r>
      <w:r>
        <w:rPr>
          <w:rFonts w:asciiTheme="minorHAnsi" w:hAnsiTheme="minorHAnsi" w:cstheme="minorHAnsi"/>
          <w:sz w:val="22"/>
          <w:lang w:val="en"/>
        </w:rPr>
        <w:t xml:space="preserve"> seeks to support and </w:t>
      </w:r>
      <w:r w:rsidDel="00C84826">
        <w:rPr>
          <w:rFonts w:asciiTheme="minorHAnsi" w:hAnsiTheme="minorHAnsi" w:cstheme="minorHAnsi"/>
          <w:sz w:val="22"/>
          <w:lang w:val="en"/>
        </w:rPr>
        <w:t>incentiviz</w:t>
      </w:r>
      <w:r w:rsidRPr="002707FB" w:rsidDel="00C84826">
        <w:rPr>
          <w:rFonts w:asciiTheme="minorHAnsi" w:hAnsiTheme="minorHAnsi" w:cstheme="minorHAnsi"/>
          <w:sz w:val="22"/>
          <w:lang w:val="en"/>
        </w:rPr>
        <w:t xml:space="preserve">e </w:t>
      </w:r>
      <w:r w:rsidRPr="002707FB">
        <w:rPr>
          <w:rFonts w:asciiTheme="minorHAnsi" w:hAnsiTheme="minorHAnsi" w:cstheme="minorHAnsi"/>
          <w:sz w:val="22"/>
          <w:lang w:val="en"/>
        </w:rPr>
        <w:t xml:space="preserve">disadvantaged people to participate in the economy and improve their circumstances. </w:t>
      </w:r>
      <w:r>
        <w:rPr>
          <w:rFonts w:asciiTheme="minorHAnsi" w:hAnsiTheme="minorHAnsi" w:cstheme="minorHAnsi"/>
          <w:sz w:val="22"/>
        </w:rPr>
        <w:t xml:space="preserve">Australia has </w:t>
      </w:r>
      <w:r w:rsidRPr="002707FB">
        <w:rPr>
          <w:rFonts w:asciiTheme="minorHAnsi" w:hAnsiTheme="minorHAnsi" w:cstheme="minorHAnsi"/>
          <w:sz w:val="22"/>
        </w:rPr>
        <w:t xml:space="preserve">one of the most </w:t>
      </w:r>
      <w:r>
        <w:rPr>
          <w:rFonts w:asciiTheme="minorHAnsi" w:hAnsiTheme="minorHAnsi" w:cstheme="minorHAnsi"/>
          <w:sz w:val="22"/>
        </w:rPr>
        <w:t xml:space="preserve">targeted </w:t>
      </w:r>
      <w:r w:rsidRPr="002707FB">
        <w:rPr>
          <w:rFonts w:asciiTheme="minorHAnsi" w:hAnsiTheme="minorHAnsi" w:cstheme="minorHAnsi"/>
          <w:sz w:val="22"/>
        </w:rPr>
        <w:t xml:space="preserve">systems of taxes and transfers in the </w:t>
      </w:r>
      <w:r>
        <w:rPr>
          <w:rFonts w:asciiTheme="minorHAnsi" w:hAnsiTheme="minorHAnsi" w:cstheme="minorHAnsi"/>
          <w:sz w:val="22"/>
        </w:rPr>
        <w:t>OECD.</w:t>
      </w:r>
      <w:r w:rsidRPr="002707FB">
        <w:rPr>
          <w:rFonts w:asciiTheme="minorHAnsi" w:eastAsia="Times New Roman" w:hAnsiTheme="minorHAnsi" w:cstheme="minorHAnsi"/>
          <w:sz w:val="22"/>
          <w:lang w:eastAsia="zh-CN"/>
        </w:rPr>
        <w:t xml:space="preserve"> This means that individuals will pay more tax, and may receive less transfer payments as their incomes rise. Unlike </w:t>
      </w:r>
      <w:r>
        <w:rPr>
          <w:rFonts w:asciiTheme="minorHAnsi" w:eastAsia="Times New Roman" w:hAnsiTheme="minorHAnsi" w:cstheme="minorHAnsi"/>
          <w:sz w:val="22"/>
          <w:lang w:eastAsia="zh-CN"/>
        </w:rPr>
        <w:t xml:space="preserve">the case in </w:t>
      </w:r>
      <w:r w:rsidRPr="002707FB">
        <w:rPr>
          <w:rFonts w:asciiTheme="minorHAnsi" w:eastAsia="Times New Roman" w:hAnsiTheme="minorHAnsi" w:cstheme="minorHAnsi"/>
          <w:sz w:val="22"/>
          <w:lang w:eastAsia="zh-CN"/>
        </w:rPr>
        <w:t xml:space="preserve">Canada, the </w:t>
      </w:r>
      <w:r>
        <w:rPr>
          <w:rFonts w:asciiTheme="minorHAnsi" w:eastAsia="Times New Roman" w:hAnsiTheme="minorHAnsi" w:cstheme="minorHAnsi"/>
          <w:sz w:val="22"/>
          <w:lang w:eastAsia="zh-CN"/>
        </w:rPr>
        <w:t>federal</w:t>
      </w:r>
      <w:r w:rsidRPr="002707FB">
        <w:rPr>
          <w:rFonts w:asciiTheme="minorHAnsi" w:eastAsia="Times New Roman" w:hAnsiTheme="minorHAnsi" w:cstheme="minorHAnsi"/>
          <w:sz w:val="22"/>
          <w:lang w:eastAsia="zh-CN"/>
        </w:rPr>
        <w:t xml:space="preserve"> </w:t>
      </w:r>
      <w:r>
        <w:rPr>
          <w:rFonts w:asciiTheme="minorHAnsi" w:eastAsia="Times New Roman" w:hAnsiTheme="minorHAnsi" w:cstheme="minorHAnsi"/>
          <w:sz w:val="22"/>
          <w:lang w:eastAsia="zh-CN"/>
        </w:rPr>
        <w:t>level of g</w:t>
      </w:r>
      <w:r w:rsidRPr="002707FB">
        <w:rPr>
          <w:rFonts w:asciiTheme="minorHAnsi" w:eastAsia="Times New Roman" w:hAnsiTheme="minorHAnsi" w:cstheme="minorHAnsi"/>
          <w:sz w:val="22"/>
          <w:lang w:eastAsia="zh-CN"/>
        </w:rPr>
        <w:t xml:space="preserve">overnment </w:t>
      </w:r>
      <w:r>
        <w:rPr>
          <w:rFonts w:asciiTheme="minorHAnsi" w:eastAsia="Times New Roman" w:hAnsiTheme="minorHAnsi" w:cstheme="minorHAnsi"/>
          <w:sz w:val="22"/>
          <w:lang w:eastAsia="zh-CN"/>
        </w:rPr>
        <w:t xml:space="preserve">in Australia </w:t>
      </w:r>
      <w:r w:rsidRPr="002707FB">
        <w:rPr>
          <w:rFonts w:asciiTheme="minorHAnsi" w:eastAsia="Times New Roman" w:hAnsiTheme="minorHAnsi" w:cstheme="minorHAnsi"/>
          <w:sz w:val="22"/>
          <w:lang w:eastAsia="zh-CN"/>
        </w:rPr>
        <w:t xml:space="preserve">has </w:t>
      </w:r>
      <w:r>
        <w:rPr>
          <w:rFonts w:asciiTheme="minorHAnsi" w:eastAsia="Times New Roman" w:hAnsiTheme="minorHAnsi" w:cstheme="minorHAnsi"/>
          <w:sz w:val="22"/>
          <w:lang w:eastAsia="zh-CN"/>
        </w:rPr>
        <w:t xml:space="preserve">sole responsibility for the tax and </w:t>
      </w:r>
      <w:r w:rsidRPr="002707FB">
        <w:rPr>
          <w:rFonts w:asciiTheme="minorHAnsi" w:eastAsia="Times New Roman" w:hAnsiTheme="minorHAnsi" w:cstheme="minorHAnsi"/>
          <w:sz w:val="22"/>
          <w:lang w:eastAsia="zh-CN"/>
        </w:rPr>
        <w:t xml:space="preserve">transfer system, including social security benefits. However, the </w:t>
      </w:r>
      <w:r>
        <w:rPr>
          <w:rFonts w:asciiTheme="minorHAnsi" w:eastAsia="Times New Roman" w:hAnsiTheme="minorHAnsi" w:cstheme="minorHAnsi"/>
          <w:sz w:val="22"/>
          <w:lang w:eastAsia="zh-CN"/>
        </w:rPr>
        <w:t>federal</w:t>
      </w:r>
      <w:r w:rsidRPr="002707FB">
        <w:rPr>
          <w:rFonts w:asciiTheme="minorHAnsi" w:eastAsia="Times New Roman" w:hAnsiTheme="minorHAnsi" w:cstheme="minorHAnsi"/>
          <w:sz w:val="22"/>
          <w:lang w:eastAsia="zh-CN"/>
        </w:rPr>
        <w:t>, state</w:t>
      </w:r>
      <w:r>
        <w:rPr>
          <w:rFonts w:asciiTheme="minorHAnsi" w:eastAsia="Times New Roman" w:hAnsiTheme="minorHAnsi" w:cstheme="minorHAnsi"/>
          <w:sz w:val="22"/>
          <w:lang w:eastAsia="zh-CN"/>
        </w:rPr>
        <w:t>,</w:t>
      </w:r>
      <w:r w:rsidRPr="002707FB">
        <w:rPr>
          <w:rFonts w:asciiTheme="minorHAnsi" w:eastAsia="Times New Roman" w:hAnsiTheme="minorHAnsi" w:cstheme="minorHAnsi"/>
          <w:sz w:val="22"/>
          <w:lang w:eastAsia="zh-CN"/>
        </w:rPr>
        <w:t xml:space="preserve"> and territory governments also invest in supporting disadvantaged cohorts through the education and employment services systems. An area of current focus for this investment is addressing the growth in long-term unemployment since the Global Financial Crisis, as discussed </w:t>
      </w:r>
      <w:r>
        <w:rPr>
          <w:rFonts w:asciiTheme="minorHAnsi" w:eastAsia="Times New Roman" w:hAnsiTheme="minorHAnsi" w:cstheme="minorHAnsi"/>
          <w:sz w:val="22"/>
          <w:lang w:eastAsia="zh-CN"/>
        </w:rPr>
        <w:t>in Section III</w:t>
      </w:r>
      <w:r w:rsidRPr="002707FB">
        <w:rPr>
          <w:rFonts w:asciiTheme="minorHAnsi" w:eastAsia="Times New Roman" w:hAnsiTheme="minorHAnsi" w:cstheme="minorHAnsi"/>
          <w:sz w:val="22"/>
          <w:lang w:eastAsia="zh-CN"/>
        </w:rPr>
        <w:t>.</w:t>
      </w:r>
    </w:p>
    <w:p w14:paraId="659AE0D1" w14:textId="77777777" w:rsidR="000B649B" w:rsidRPr="002707FB" w:rsidRDefault="000B649B" w:rsidP="000B649B">
      <w:pPr>
        <w:spacing w:after="0" w:line="240" w:lineRule="auto"/>
        <w:rPr>
          <w:rFonts w:asciiTheme="minorHAnsi" w:eastAsia="Times New Roman" w:hAnsiTheme="minorHAnsi" w:cstheme="minorHAnsi"/>
          <w:sz w:val="22"/>
          <w:lang w:eastAsia="zh-CN"/>
        </w:rPr>
      </w:pPr>
    </w:p>
    <w:p w14:paraId="01AFB009" w14:textId="77777777" w:rsidR="000B649B" w:rsidRDefault="000B649B" w:rsidP="000B649B">
      <w:pPr>
        <w:spacing w:after="0" w:line="240" w:lineRule="auto"/>
        <w:rPr>
          <w:rFonts w:asciiTheme="minorHAnsi" w:eastAsia="Arial" w:hAnsiTheme="minorHAnsi" w:cstheme="minorHAnsi"/>
          <w:sz w:val="22"/>
        </w:rPr>
      </w:pPr>
      <w:r w:rsidRPr="002707FB">
        <w:rPr>
          <w:rFonts w:asciiTheme="minorHAnsi" w:eastAsia="Times New Roman" w:hAnsiTheme="minorHAnsi" w:cstheme="minorHAnsi"/>
          <w:sz w:val="22"/>
          <w:lang w:eastAsia="zh-CN"/>
        </w:rPr>
        <w:t>Strategies to ensure the tax and transfer system remains relevant to current conditions include</w:t>
      </w:r>
      <w:r w:rsidRPr="002707FB">
        <w:rPr>
          <w:rFonts w:asciiTheme="minorHAnsi" w:eastAsia="Arial" w:hAnsiTheme="minorHAnsi" w:cstheme="minorHAnsi"/>
          <w:sz w:val="22"/>
        </w:rPr>
        <w:t xml:space="preserve"> a comprehensive reform of Australia’s working-age welfare payments, which will provide:</w:t>
      </w:r>
    </w:p>
    <w:p w14:paraId="4C00F148" w14:textId="77777777" w:rsidR="000B649B" w:rsidRPr="002707FB" w:rsidRDefault="000B649B" w:rsidP="000B649B">
      <w:pPr>
        <w:spacing w:after="0" w:line="240" w:lineRule="auto"/>
        <w:rPr>
          <w:rFonts w:asciiTheme="minorHAnsi" w:hAnsiTheme="minorHAnsi" w:cstheme="minorHAnsi"/>
          <w:sz w:val="22"/>
        </w:rPr>
      </w:pPr>
    </w:p>
    <w:p w14:paraId="5B3530D9" w14:textId="77777777" w:rsidR="000B649B" w:rsidRPr="002707FB" w:rsidRDefault="000B649B" w:rsidP="000B649B">
      <w:pPr>
        <w:pStyle w:val="ListParagraph"/>
        <w:numPr>
          <w:ilvl w:val="0"/>
          <w:numId w:val="5"/>
        </w:numPr>
        <w:spacing w:line="240" w:lineRule="auto"/>
        <w:rPr>
          <w:rFonts w:asciiTheme="minorHAnsi" w:hAnsiTheme="minorHAnsi" w:cstheme="minorHAnsi"/>
          <w:sz w:val="22"/>
        </w:rPr>
      </w:pPr>
      <w:r>
        <w:rPr>
          <w:rFonts w:asciiTheme="minorHAnsi" w:hAnsiTheme="minorHAnsi" w:cstheme="minorHAnsi"/>
          <w:sz w:val="22"/>
        </w:rPr>
        <w:t>A</w:t>
      </w:r>
      <w:r w:rsidRPr="002707FB">
        <w:rPr>
          <w:rFonts w:asciiTheme="minorHAnsi" w:hAnsiTheme="minorHAnsi" w:cstheme="minorHAnsi"/>
          <w:sz w:val="22"/>
        </w:rPr>
        <w:t xml:space="preserve"> simpler system for people receiving working-age payments</w:t>
      </w:r>
    </w:p>
    <w:p w14:paraId="229FCF93" w14:textId="77777777" w:rsidR="000B649B" w:rsidRPr="002707FB" w:rsidRDefault="000B649B" w:rsidP="00BC2039">
      <w:pPr>
        <w:pStyle w:val="ListParagraph"/>
        <w:numPr>
          <w:ilvl w:val="0"/>
          <w:numId w:val="6"/>
        </w:numPr>
        <w:autoSpaceDE w:val="0"/>
        <w:autoSpaceDN w:val="0"/>
        <w:adjustRightInd w:val="0"/>
        <w:spacing w:line="240" w:lineRule="auto"/>
        <w:contextualSpacing/>
        <w:rPr>
          <w:rFonts w:asciiTheme="minorHAnsi" w:hAnsiTheme="minorHAnsi" w:cstheme="minorHAnsi"/>
          <w:sz w:val="22"/>
        </w:rPr>
      </w:pPr>
      <w:r>
        <w:rPr>
          <w:rFonts w:asciiTheme="minorHAnsi" w:hAnsiTheme="minorHAnsi" w:cstheme="minorHAnsi"/>
          <w:sz w:val="22"/>
        </w:rPr>
        <w:t>M</w:t>
      </w:r>
      <w:r w:rsidRPr="002707FB">
        <w:rPr>
          <w:rFonts w:asciiTheme="minorHAnsi" w:hAnsiTheme="minorHAnsi" w:cstheme="minorHAnsi"/>
          <w:sz w:val="22"/>
        </w:rPr>
        <w:t xml:space="preserve">ore encouragement in the system for people transitioning to work and greater support for people along the path to employment </w:t>
      </w:r>
    </w:p>
    <w:p w14:paraId="67EAEC9A" w14:textId="77777777" w:rsidR="000B649B" w:rsidRPr="002707FB" w:rsidRDefault="000B649B" w:rsidP="00BC2039">
      <w:pPr>
        <w:pStyle w:val="ListParagraph"/>
        <w:numPr>
          <w:ilvl w:val="0"/>
          <w:numId w:val="6"/>
        </w:numPr>
        <w:autoSpaceDE w:val="0"/>
        <w:autoSpaceDN w:val="0"/>
        <w:adjustRightInd w:val="0"/>
        <w:spacing w:line="240" w:lineRule="auto"/>
        <w:contextualSpacing/>
        <w:rPr>
          <w:rFonts w:asciiTheme="minorHAnsi" w:hAnsiTheme="minorHAnsi" w:cstheme="minorHAnsi"/>
          <w:sz w:val="22"/>
        </w:rPr>
      </w:pPr>
      <w:r>
        <w:rPr>
          <w:rFonts w:asciiTheme="minorHAnsi" w:hAnsiTheme="minorHAnsi" w:cstheme="minorHAnsi"/>
          <w:sz w:val="22"/>
        </w:rPr>
        <w:t>M</w:t>
      </w:r>
      <w:r w:rsidRPr="002707FB">
        <w:rPr>
          <w:rFonts w:asciiTheme="minorHAnsi" w:hAnsiTheme="minorHAnsi" w:cstheme="minorHAnsi"/>
          <w:sz w:val="22"/>
        </w:rPr>
        <w:t>ore targeted compliance to ensure people are following the rules.</w:t>
      </w:r>
    </w:p>
    <w:p w14:paraId="3A83C49C" w14:textId="77777777" w:rsidR="000B649B" w:rsidRPr="002707FB" w:rsidRDefault="000B649B" w:rsidP="000B649B">
      <w:pPr>
        <w:spacing w:line="240" w:lineRule="auto"/>
        <w:contextualSpacing/>
        <w:rPr>
          <w:rFonts w:asciiTheme="minorHAnsi" w:hAnsiTheme="minorHAnsi" w:cstheme="minorHAnsi"/>
          <w:sz w:val="22"/>
        </w:rPr>
      </w:pPr>
      <w:r w:rsidRPr="002707FB">
        <w:rPr>
          <w:rFonts w:asciiTheme="minorHAnsi" w:hAnsiTheme="minorHAnsi" w:cstheme="minorHAnsi"/>
          <w:sz w:val="22"/>
        </w:rPr>
        <w:br/>
        <w:t>Seven payments will be progressively ceased, and a new JobSeeker Payment created on 20 March 2020. The Australian Government is also committed to creating a clearer, more coherent and stronger part</w:t>
      </w:r>
      <w:r>
        <w:rPr>
          <w:rFonts w:asciiTheme="minorHAnsi" w:hAnsiTheme="minorHAnsi" w:cstheme="minorHAnsi"/>
          <w:sz w:val="22"/>
        </w:rPr>
        <w:t>icipation framework for working-</w:t>
      </w:r>
      <w:r w:rsidRPr="002707FB">
        <w:rPr>
          <w:rFonts w:asciiTheme="minorHAnsi" w:hAnsiTheme="minorHAnsi" w:cstheme="minorHAnsi"/>
          <w:sz w:val="22"/>
        </w:rPr>
        <w:t>age payment recipients to ensure that all Australians with capacity to work can do so.</w:t>
      </w:r>
    </w:p>
    <w:p w14:paraId="6C1A6764" w14:textId="77777777" w:rsidR="000B649B" w:rsidRPr="002707FB" w:rsidRDefault="000B649B" w:rsidP="000B649B">
      <w:pPr>
        <w:autoSpaceDE w:val="0"/>
        <w:autoSpaceDN w:val="0"/>
        <w:adjustRightInd w:val="0"/>
        <w:spacing w:after="0" w:line="240" w:lineRule="auto"/>
        <w:rPr>
          <w:rFonts w:asciiTheme="minorHAnsi" w:hAnsiTheme="minorHAnsi" w:cstheme="minorHAnsi"/>
          <w:sz w:val="22"/>
        </w:rPr>
      </w:pPr>
    </w:p>
    <w:p w14:paraId="4BFD558C" w14:textId="77777777" w:rsidR="000B649B" w:rsidRPr="002707FB" w:rsidRDefault="000B649B" w:rsidP="000B649B">
      <w:pPr>
        <w:autoSpaceDE w:val="0"/>
        <w:autoSpaceDN w:val="0"/>
        <w:adjustRightInd w:val="0"/>
        <w:spacing w:after="0" w:line="240" w:lineRule="auto"/>
        <w:rPr>
          <w:rFonts w:asciiTheme="minorHAnsi" w:hAnsiTheme="minorHAnsi" w:cstheme="minorHAnsi"/>
          <w:sz w:val="22"/>
        </w:rPr>
      </w:pPr>
      <w:r w:rsidRPr="002707FB">
        <w:rPr>
          <w:rFonts w:asciiTheme="minorHAnsi" w:hAnsiTheme="minorHAnsi" w:cstheme="minorHAnsi"/>
          <w:sz w:val="22"/>
        </w:rPr>
        <w:t xml:space="preserve">Another current area of priority for </w:t>
      </w:r>
      <w:r>
        <w:rPr>
          <w:rFonts w:asciiTheme="minorHAnsi" w:hAnsiTheme="minorHAnsi" w:cstheme="minorHAnsi"/>
          <w:sz w:val="22"/>
        </w:rPr>
        <w:t xml:space="preserve">the </w:t>
      </w:r>
      <w:r w:rsidRPr="002707FB">
        <w:rPr>
          <w:rFonts w:asciiTheme="minorHAnsi" w:hAnsiTheme="minorHAnsi" w:cstheme="minorHAnsi"/>
          <w:sz w:val="22"/>
        </w:rPr>
        <w:t>Australia</w:t>
      </w:r>
      <w:r>
        <w:rPr>
          <w:rFonts w:asciiTheme="minorHAnsi" w:hAnsiTheme="minorHAnsi" w:cstheme="minorHAnsi"/>
          <w:sz w:val="22"/>
        </w:rPr>
        <w:t>n Government</w:t>
      </w:r>
      <w:r w:rsidRPr="002707FB">
        <w:rPr>
          <w:rFonts w:asciiTheme="minorHAnsi" w:hAnsiTheme="minorHAnsi" w:cstheme="minorHAnsi"/>
          <w:sz w:val="22"/>
        </w:rPr>
        <w:t xml:space="preserve"> is improving support for people with disabilit</w:t>
      </w:r>
      <w:r>
        <w:rPr>
          <w:rFonts w:asciiTheme="minorHAnsi" w:hAnsiTheme="minorHAnsi" w:cstheme="minorHAnsi"/>
          <w:sz w:val="22"/>
        </w:rPr>
        <w:t>ies</w:t>
      </w:r>
      <w:r w:rsidRPr="002707FB">
        <w:rPr>
          <w:rFonts w:asciiTheme="minorHAnsi" w:hAnsiTheme="minorHAnsi" w:cstheme="minorHAnsi"/>
          <w:sz w:val="22"/>
        </w:rPr>
        <w:t>. The National Disability Strategy 2010-2020 seeks to drive a more inclusive approach to the design of policies, programs</w:t>
      </w:r>
      <w:r>
        <w:rPr>
          <w:rFonts w:asciiTheme="minorHAnsi" w:hAnsiTheme="minorHAnsi" w:cstheme="minorHAnsi"/>
          <w:sz w:val="22"/>
        </w:rPr>
        <w:t>,</w:t>
      </w:r>
      <w:r w:rsidRPr="002707FB">
        <w:rPr>
          <w:rFonts w:asciiTheme="minorHAnsi" w:hAnsiTheme="minorHAnsi" w:cstheme="minorHAnsi"/>
          <w:sz w:val="22"/>
        </w:rPr>
        <w:t xml:space="preserve"> and infrastructure so that people with disabilit</w:t>
      </w:r>
      <w:r>
        <w:rPr>
          <w:rFonts w:asciiTheme="minorHAnsi" w:hAnsiTheme="minorHAnsi" w:cstheme="minorHAnsi"/>
          <w:sz w:val="22"/>
        </w:rPr>
        <w:t>ies</w:t>
      </w:r>
      <w:r w:rsidRPr="002707FB">
        <w:rPr>
          <w:rFonts w:asciiTheme="minorHAnsi" w:hAnsiTheme="minorHAnsi" w:cstheme="minorHAnsi"/>
          <w:sz w:val="22"/>
        </w:rPr>
        <w:t xml:space="preserve"> can participate in all areas of society and en</w:t>
      </w:r>
      <w:r>
        <w:rPr>
          <w:rFonts w:asciiTheme="minorHAnsi" w:hAnsiTheme="minorHAnsi" w:cstheme="minorHAnsi"/>
          <w:sz w:val="22"/>
        </w:rPr>
        <w:t>sure that people with disabilities</w:t>
      </w:r>
      <w:r w:rsidRPr="002707FB">
        <w:rPr>
          <w:rFonts w:asciiTheme="minorHAnsi" w:hAnsiTheme="minorHAnsi" w:cstheme="minorHAnsi"/>
          <w:sz w:val="22"/>
        </w:rPr>
        <w:t>, their families</w:t>
      </w:r>
      <w:r>
        <w:rPr>
          <w:rFonts w:asciiTheme="minorHAnsi" w:hAnsiTheme="minorHAnsi" w:cstheme="minorHAnsi"/>
          <w:sz w:val="22"/>
        </w:rPr>
        <w:t>,</w:t>
      </w:r>
      <w:r w:rsidRPr="002707FB">
        <w:rPr>
          <w:rFonts w:asciiTheme="minorHAnsi" w:hAnsiTheme="minorHAnsi" w:cstheme="minorHAnsi"/>
          <w:sz w:val="22"/>
        </w:rPr>
        <w:t xml:space="preserve"> and carers have economic security. The Strategy includes the Australia-wide roll-out of the National Disability Insurance Scheme (NDIS), which will provide all people aged under 65 with </w:t>
      </w:r>
      <w:r>
        <w:rPr>
          <w:rFonts w:asciiTheme="minorHAnsi" w:hAnsiTheme="minorHAnsi" w:cstheme="minorHAnsi"/>
          <w:sz w:val="22"/>
        </w:rPr>
        <w:t xml:space="preserve">a </w:t>
      </w:r>
      <w:r w:rsidRPr="002707FB">
        <w:rPr>
          <w:rFonts w:asciiTheme="minorHAnsi" w:hAnsiTheme="minorHAnsi" w:cstheme="minorHAnsi"/>
          <w:sz w:val="22"/>
          <w:shd w:val="clear" w:color="auto" w:fill="FFFFFF"/>
        </w:rPr>
        <w:t>permanent and significant disability with the supports they need to live an ordinary life</w:t>
      </w:r>
      <w:r w:rsidRPr="002707FB">
        <w:rPr>
          <w:rFonts w:asciiTheme="minorHAnsi" w:hAnsiTheme="minorHAnsi" w:cstheme="minorHAnsi"/>
          <w:sz w:val="22"/>
        </w:rPr>
        <w:t>. As an insurance scheme, the NDIS takes a lifetime approach, inve</w:t>
      </w:r>
      <w:r>
        <w:rPr>
          <w:rFonts w:asciiTheme="minorHAnsi" w:hAnsiTheme="minorHAnsi" w:cstheme="minorHAnsi"/>
          <w:sz w:val="22"/>
        </w:rPr>
        <w:t xml:space="preserve">sting in people with disabilities </w:t>
      </w:r>
      <w:r w:rsidRPr="002707FB">
        <w:rPr>
          <w:rFonts w:asciiTheme="minorHAnsi" w:hAnsiTheme="minorHAnsi" w:cstheme="minorHAnsi"/>
          <w:sz w:val="22"/>
        </w:rPr>
        <w:t>early to improve their outcomes later in life. Employment services al</w:t>
      </w:r>
      <w:r>
        <w:rPr>
          <w:rFonts w:asciiTheme="minorHAnsi" w:hAnsiTheme="minorHAnsi" w:cstheme="minorHAnsi"/>
          <w:sz w:val="22"/>
        </w:rPr>
        <w:t>so assist people with disabilities</w:t>
      </w:r>
      <w:r w:rsidRPr="002707FB">
        <w:rPr>
          <w:rFonts w:asciiTheme="minorHAnsi" w:hAnsiTheme="minorHAnsi" w:cstheme="minorHAnsi"/>
          <w:sz w:val="22"/>
        </w:rPr>
        <w:t xml:space="preserve"> who have capacity to work to prepare for and secure employment.</w:t>
      </w:r>
    </w:p>
    <w:p w14:paraId="50C7BD31" w14:textId="77777777" w:rsidR="000B649B" w:rsidRPr="002707FB" w:rsidRDefault="000B649B" w:rsidP="000B649B">
      <w:pPr>
        <w:autoSpaceDE w:val="0"/>
        <w:autoSpaceDN w:val="0"/>
        <w:adjustRightInd w:val="0"/>
        <w:spacing w:after="0" w:line="240" w:lineRule="auto"/>
        <w:rPr>
          <w:rFonts w:asciiTheme="minorHAnsi" w:hAnsiTheme="minorHAnsi" w:cstheme="minorHAnsi"/>
          <w:sz w:val="22"/>
        </w:rPr>
      </w:pPr>
    </w:p>
    <w:p w14:paraId="19B1D8C5" w14:textId="77777777" w:rsidR="000B649B" w:rsidRPr="002707FB" w:rsidRDefault="000B649B" w:rsidP="000B649B">
      <w:pPr>
        <w:pStyle w:val="Heading2"/>
        <w:rPr>
          <w:rFonts w:asciiTheme="minorHAnsi" w:hAnsiTheme="minorHAnsi" w:cstheme="minorHAnsi"/>
          <w:sz w:val="22"/>
        </w:rPr>
      </w:pPr>
      <w:r w:rsidRPr="002707FB">
        <w:rPr>
          <w:rFonts w:asciiTheme="minorHAnsi" w:hAnsiTheme="minorHAnsi" w:cstheme="minorHAnsi"/>
          <w:sz w:val="22"/>
        </w:rPr>
        <w:t>Canadian challenges and policy responses</w:t>
      </w:r>
    </w:p>
    <w:p w14:paraId="56D5BA7B" w14:textId="7FB048A9" w:rsidR="000B649B" w:rsidRPr="002707FB" w:rsidRDefault="000B649B" w:rsidP="000B649B">
      <w:pPr>
        <w:spacing w:line="240" w:lineRule="auto"/>
        <w:rPr>
          <w:rFonts w:asciiTheme="minorHAnsi" w:eastAsia="Calibri" w:hAnsiTheme="minorHAnsi" w:cstheme="minorHAnsi"/>
          <w:sz w:val="22"/>
        </w:rPr>
      </w:pPr>
      <w:r w:rsidRPr="002707FB">
        <w:rPr>
          <w:rFonts w:asciiTheme="minorHAnsi" w:hAnsiTheme="minorHAnsi" w:cstheme="minorHAnsi"/>
          <w:sz w:val="22"/>
        </w:rPr>
        <w:t xml:space="preserve">The ability of </w:t>
      </w:r>
      <w:r w:rsidRPr="00903976">
        <w:rPr>
          <w:rFonts w:asciiTheme="minorHAnsi" w:hAnsiTheme="minorHAnsi" w:cstheme="minorHAnsi"/>
          <w:sz w:val="22"/>
        </w:rPr>
        <w:t>Canada’s federal government</w:t>
      </w:r>
      <w:r w:rsidRPr="002707FB">
        <w:rPr>
          <w:rFonts w:asciiTheme="minorHAnsi" w:hAnsiTheme="minorHAnsi" w:cstheme="minorHAnsi"/>
          <w:sz w:val="22"/>
        </w:rPr>
        <w:t xml:space="preserve"> to</w:t>
      </w:r>
      <w:r w:rsidRPr="002707FB">
        <w:rPr>
          <w:rFonts w:asciiTheme="minorHAnsi" w:eastAsia="Calibri" w:hAnsiTheme="minorHAnsi" w:cstheme="minorHAnsi"/>
          <w:sz w:val="22"/>
        </w:rPr>
        <w:t xml:space="preserve"> support vulnerable Canadians through the tax and transfer system is complicated by the division of powers between </w:t>
      </w:r>
      <w:r>
        <w:rPr>
          <w:rFonts w:asciiTheme="minorHAnsi" w:eastAsia="Calibri" w:hAnsiTheme="minorHAnsi" w:cstheme="minorHAnsi"/>
          <w:sz w:val="22"/>
        </w:rPr>
        <w:t>levels</w:t>
      </w:r>
      <w:r w:rsidRPr="002707FB">
        <w:rPr>
          <w:rFonts w:asciiTheme="minorHAnsi" w:eastAsia="Calibri" w:hAnsiTheme="minorHAnsi" w:cstheme="minorHAnsi"/>
          <w:sz w:val="22"/>
        </w:rPr>
        <w:t xml:space="preserve"> of government. The core federal income transfers are </w:t>
      </w:r>
      <w:r>
        <w:rPr>
          <w:rFonts w:asciiTheme="minorHAnsi" w:eastAsia="Calibri" w:hAnsiTheme="minorHAnsi" w:cstheme="minorHAnsi"/>
          <w:sz w:val="22"/>
        </w:rPr>
        <w:t>targeted</w:t>
      </w:r>
      <w:r w:rsidRPr="002707FB">
        <w:rPr>
          <w:rFonts w:asciiTheme="minorHAnsi" w:eastAsia="Calibri" w:hAnsiTheme="minorHAnsi" w:cstheme="minorHAnsi"/>
          <w:sz w:val="22"/>
        </w:rPr>
        <w:t xml:space="preserve"> to seniors, families with children, Indigenous persons living on-reserve, and displaced workers, through the </w:t>
      </w:r>
      <w:r w:rsidR="00563E5E" w:rsidRPr="001A4495">
        <w:rPr>
          <w:rFonts w:asciiTheme="minorHAnsi" w:hAnsiTheme="minorHAnsi" w:cs="Times New Roman"/>
          <w:sz w:val="22"/>
        </w:rPr>
        <w:t xml:space="preserve">Employment Insurance </w:t>
      </w:r>
      <w:r w:rsidR="00563E5E">
        <w:rPr>
          <w:rFonts w:asciiTheme="minorHAnsi" w:hAnsiTheme="minorHAnsi" w:cs="Times New Roman"/>
          <w:sz w:val="22"/>
        </w:rPr>
        <w:t xml:space="preserve">(EI) </w:t>
      </w:r>
      <w:r w:rsidRPr="002707FB">
        <w:rPr>
          <w:rFonts w:asciiTheme="minorHAnsi" w:eastAsia="Calibri" w:hAnsiTheme="minorHAnsi" w:cstheme="minorHAnsi"/>
          <w:sz w:val="22"/>
        </w:rPr>
        <w:t>program. Income support to the working</w:t>
      </w:r>
      <w:r>
        <w:rPr>
          <w:rFonts w:asciiTheme="minorHAnsi" w:eastAsia="Calibri" w:hAnsiTheme="minorHAnsi" w:cstheme="minorHAnsi"/>
          <w:sz w:val="22"/>
        </w:rPr>
        <w:t>-</w:t>
      </w:r>
      <w:r w:rsidRPr="002707FB">
        <w:rPr>
          <w:rFonts w:asciiTheme="minorHAnsi" w:eastAsia="Calibri" w:hAnsiTheme="minorHAnsi" w:cstheme="minorHAnsi"/>
          <w:sz w:val="22"/>
        </w:rPr>
        <w:t>age population is primarily the responsibility of provincial and territorial governments</w:t>
      </w:r>
      <w:r w:rsidRPr="002707FB" w:rsidDel="00535EDC">
        <w:rPr>
          <w:rFonts w:asciiTheme="minorHAnsi" w:eastAsia="Calibri" w:hAnsiTheme="minorHAnsi" w:cstheme="minorHAnsi"/>
          <w:sz w:val="22"/>
        </w:rPr>
        <w:t xml:space="preserve">, as are </w:t>
      </w:r>
      <w:r w:rsidRPr="002707FB">
        <w:rPr>
          <w:rFonts w:asciiTheme="minorHAnsi" w:eastAsia="Calibri" w:hAnsiTheme="minorHAnsi" w:cstheme="minorHAnsi"/>
          <w:sz w:val="22"/>
        </w:rPr>
        <w:t>most income-tested services. Federal support in areas under provincial/territorial jurisdiction tends to take the form of intergovernmental transfers, with new initiatives typically requiring negotiation with provincial and territorial governments that have different pre-existing services and programs</w:t>
      </w:r>
      <w:r>
        <w:rPr>
          <w:rFonts w:asciiTheme="minorHAnsi" w:eastAsia="Calibri" w:hAnsiTheme="minorHAnsi" w:cstheme="minorHAnsi"/>
          <w:sz w:val="22"/>
        </w:rPr>
        <w:t>, particularly in the domains of health, education, and housing.</w:t>
      </w:r>
    </w:p>
    <w:p w14:paraId="605FF45F" w14:textId="47C444D0" w:rsidR="000B649B" w:rsidRDefault="000B649B" w:rsidP="000B649B">
      <w:pPr>
        <w:spacing w:line="240" w:lineRule="auto"/>
        <w:contextualSpacing/>
        <w:rPr>
          <w:rFonts w:asciiTheme="minorHAnsi" w:eastAsia="Calibri" w:hAnsiTheme="minorHAnsi" w:cstheme="minorHAnsi"/>
          <w:sz w:val="22"/>
        </w:rPr>
      </w:pPr>
      <w:r w:rsidRPr="002707FB">
        <w:rPr>
          <w:rFonts w:asciiTheme="minorHAnsi" w:hAnsiTheme="minorHAnsi" w:cstheme="minorHAnsi"/>
          <w:sz w:val="22"/>
          <w:lang w:val="en-US"/>
        </w:rPr>
        <w:t>Since the 1990s, Canada has experienced broad-based growth in both market and after-tax incomes across the distribution. However, the incomes of the top 1</w:t>
      </w:r>
      <w:r>
        <w:rPr>
          <w:rFonts w:asciiTheme="minorHAnsi" w:hAnsiTheme="minorHAnsi" w:cstheme="minorHAnsi"/>
          <w:sz w:val="22"/>
          <w:lang w:val="en-US"/>
        </w:rPr>
        <w:t>%</w:t>
      </w:r>
      <w:r w:rsidRPr="002707FB">
        <w:rPr>
          <w:rFonts w:asciiTheme="minorHAnsi" w:hAnsiTheme="minorHAnsi" w:cstheme="minorHAnsi"/>
          <w:sz w:val="22"/>
          <w:lang w:val="en-US"/>
        </w:rPr>
        <w:t xml:space="preserve"> of Canadians have risen at a significantly faster pace than those of the rest of the population, prompting public debate on whether the benefits of economic growth are being fairly distributed. In response to these concerns, Canada has</w:t>
      </w:r>
      <w:r w:rsidRPr="002707FB">
        <w:rPr>
          <w:rFonts w:asciiTheme="minorHAnsi" w:eastAsia="Calibri" w:hAnsiTheme="minorHAnsi" w:cstheme="minorHAnsi"/>
          <w:sz w:val="22"/>
        </w:rPr>
        <w:t xml:space="preserve"> </w:t>
      </w:r>
      <w:r>
        <w:rPr>
          <w:rFonts w:asciiTheme="minorHAnsi" w:eastAsia="Calibri" w:hAnsiTheme="minorHAnsi" w:cstheme="minorHAnsi"/>
          <w:sz w:val="22"/>
        </w:rPr>
        <w:t xml:space="preserve">recently </w:t>
      </w:r>
      <w:r w:rsidRPr="002707FB">
        <w:rPr>
          <w:rFonts w:asciiTheme="minorHAnsi" w:eastAsia="Calibri" w:hAnsiTheme="minorHAnsi" w:cstheme="minorHAnsi"/>
          <w:sz w:val="22"/>
        </w:rPr>
        <w:t xml:space="preserve">made several significant adjustments to its system of social supports to reduce poverty and promote broad economic participation. Highlights include </w:t>
      </w:r>
      <w:r>
        <w:rPr>
          <w:rFonts w:asciiTheme="minorHAnsi" w:eastAsia="Calibri" w:hAnsiTheme="minorHAnsi" w:cstheme="minorHAnsi"/>
          <w:sz w:val="22"/>
        </w:rPr>
        <w:t>increasing</w:t>
      </w:r>
      <w:r w:rsidRPr="002707FB">
        <w:rPr>
          <w:rFonts w:asciiTheme="minorHAnsi" w:eastAsia="Calibri" w:hAnsiTheme="minorHAnsi" w:cstheme="minorHAnsi"/>
          <w:sz w:val="22"/>
        </w:rPr>
        <w:t xml:space="preserve"> child benefits paid to low- and moderate-income families, a $7.5 billion agreement with the provinces and territories to make complementary investments in child care targeting low-income parents, </w:t>
      </w:r>
      <w:r w:rsidRPr="001A4495">
        <w:rPr>
          <w:rFonts w:asciiTheme="minorHAnsi" w:hAnsiTheme="minorHAnsi" w:cs="Times New Roman"/>
          <w:sz w:val="22"/>
        </w:rPr>
        <w:t>enhanc</w:t>
      </w:r>
      <w:r>
        <w:rPr>
          <w:rFonts w:asciiTheme="minorHAnsi" w:hAnsiTheme="minorHAnsi" w:cs="Times New Roman"/>
          <w:sz w:val="22"/>
        </w:rPr>
        <w:t xml:space="preserve">ing </w:t>
      </w:r>
      <w:r w:rsidRPr="001A4495">
        <w:rPr>
          <w:rFonts w:asciiTheme="minorHAnsi" w:hAnsiTheme="minorHAnsi" w:cs="Times New Roman"/>
          <w:sz w:val="22"/>
        </w:rPr>
        <w:t>the EI program</w:t>
      </w:r>
      <w:r>
        <w:rPr>
          <w:rFonts w:asciiTheme="minorHAnsi" w:hAnsiTheme="minorHAnsi" w:cs="Times New Roman"/>
          <w:sz w:val="22"/>
        </w:rPr>
        <w:t xml:space="preserve"> </w:t>
      </w:r>
      <w:r w:rsidRPr="00B81DD8">
        <w:rPr>
          <w:rFonts w:asciiTheme="minorHAnsi" w:hAnsiTheme="minorHAnsi" w:cs="Times New Roman"/>
          <w:sz w:val="22"/>
        </w:rPr>
        <w:t>to provide increased flexibility to working paren</w:t>
      </w:r>
      <w:r>
        <w:rPr>
          <w:rFonts w:asciiTheme="minorHAnsi" w:hAnsiTheme="minorHAnsi" w:cs="Times New Roman"/>
          <w:sz w:val="22"/>
        </w:rPr>
        <w:t>ts and foster</w:t>
      </w:r>
      <w:r w:rsidRPr="00B81DD8">
        <w:rPr>
          <w:rFonts w:asciiTheme="minorHAnsi" w:hAnsiTheme="minorHAnsi" w:cs="Times New Roman"/>
          <w:sz w:val="22"/>
        </w:rPr>
        <w:t xml:space="preserve"> the labour m</w:t>
      </w:r>
      <w:r>
        <w:rPr>
          <w:rFonts w:asciiTheme="minorHAnsi" w:hAnsiTheme="minorHAnsi" w:cs="Times New Roman"/>
          <w:sz w:val="22"/>
        </w:rPr>
        <w:t xml:space="preserve">arket attachment of new parents, </w:t>
      </w:r>
      <w:r>
        <w:rPr>
          <w:rFonts w:asciiTheme="minorHAnsi" w:eastAsia="Calibri" w:hAnsiTheme="minorHAnsi" w:cstheme="minorHAnsi"/>
          <w:sz w:val="22"/>
        </w:rPr>
        <w:t>enhancing</w:t>
      </w:r>
      <w:r w:rsidRPr="002707FB">
        <w:rPr>
          <w:rFonts w:asciiTheme="minorHAnsi" w:eastAsia="Calibri" w:hAnsiTheme="minorHAnsi" w:cstheme="minorHAnsi"/>
          <w:sz w:val="22"/>
        </w:rPr>
        <w:t xml:space="preserve"> income assistance provided to low-income workers,</w:t>
      </w:r>
      <w:r>
        <w:rPr>
          <w:rFonts w:asciiTheme="minorHAnsi" w:eastAsia="Calibri" w:hAnsiTheme="minorHAnsi" w:cstheme="minorHAnsi"/>
          <w:sz w:val="22"/>
        </w:rPr>
        <w:t xml:space="preserve"> </w:t>
      </w:r>
      <w:r w:rsidRPr="002707FB">
        <w:rPr>
          <w:rFonts w:asciiTheme="minorHAnsi" w:eastAsia="Calibri" w:hAnsiTheme="minorHAnsi" w:cstheme="minorHAnsi"/>
          <w:sz w:val="22"/>
        </w:rPr>
        <w:t xml:space="preserve">and expanding the </w:t>
      </w:r>
      <w:r>
        <w:rPr>
          <w:rFonts w:asciiTheme="minorHAnsi" w:eastAsia="Calibri" w:hAnsiTheme="minorHAnsi" w:cstheme="minorHAnsi"/>
          <w:sz w:val="22"/>
        </w:rPr>
        <w:t xml:space="preserve">mandatory </w:t>
      </w:r>
      <w:r w:rsidRPr="002707FB">
        <w:rPr>
          <w:rFonts w:asciiTheme="minorHAnsi" w:eastAsia="Calibri" w:hAnsiTheme="minorHAnsi" w:cstheme="minorHAnsi"/>
          <w:sz w:val="22"/>
        </w:rPr>
        <w:t xml:space="preserve">Canada and Quebec </w:t>
      </w:r>
      <w:r>
        <w:rPr>
          <w:rFonts w:asciiTheme="minorHAnsi" w:eastAsia="Calibri" w:hAnsiTheme="minorHAnsi" w:cstheme="minorHAnsi"/>
          <w:sz w:val="22"/>
        </w:rPr>
        <w:t>workplace P</w:t>
      </w:r>
      <w:r w:rsidRPr="002707FB">
        <w:rPr>
          <w:rFonts w:asciiTheme="minorHAnsi" w:eastAsia="Calibri" w:hAnsiTheme="minorHAnsi" w:cstheme="minorHAnsi"/>
          <w:sz w:val="22"/>
        </w:rPr>
        <w:t xml:space="preserve">ension </w:t>
      </w:r>
      <w:r>
        <w:rPr>
          <w:rFonts w:asciiTheme="minorHAnsi" w:eastAsia="Calibri" w:hAnsiTheme="minorHAnsi" w:cstheme="minorHAnsi"/>
          <w:sz w:val="22"/>
        </w:rPr>
        <w:t>P</w:t>
      </w:r>
      <w:r w:rsidRPr="002707FB">
        <w:rPr>
          <w:rFonts w:asciiTheme="minorHAnsi" w:eastAsia="Calibri" w:hAnsiTheme="minorHAnsi" w:cstheme="minorHAnsi"/>
          <w:sz w:val="22"/>
        </w:rPr>
        <w:t>lans</w:t>
      </w:r>
      <w:r>
        <w:rPr>
          <w:rFonts w:asciiTheme="minorHAnsi" w:eastAsia="Calibri" w:hAnsiTheme="minorHAnsi" w:cstheme="minorHAnsi"/>
          <w:sz w:val="22"/>
        </w:rPr>
        <w:t>.</w:t>
      </w:r>
    </w:p>
    <w:p w14:paraId="5C2ECBBC" w14:textId="77777777" w:rsidR="000B649B" w:rsidRPr="002707FB" w:rsidRDefault="000B649B" w:rsidP="000B649B">
      <w:pPr>
        <w:spacing w:line="240" w:lineRule="auto"/>
        <w:contextualSpacing/>
        <w:rPr>
          <w:rFonts w:asciiTheme="minorHAnsi" w:hAnsiTheme="minorHAnsi" w:cstheme="minorHAnsi"/>
          <w:i/>
          <w:noProof/>
          <w:sz w:val="22"/>
          <w:lang w:eastAsia="en-AU"/>
        </w:rPr>
      </w:pPr>
    </w:p>
    <w:p w14:paraId="0A4AC25E" w14:textId="77777777" w:rsidR="000B649B" w:rsidRPr="002707FB" w:rsidRDefault="000B649B" w:rsidP="000B649B">
      <w:pPr>
        <w:spacing w:line="240" w:lineRule="auto"/>
        <w:rPr>
          <w:rFonts w:asciiTheme="minorHAnsi" w:eastAsia="Calibri" w:hAnsiTheme="minorHAnsi" w:cstheme="minorHAnsi"/>
          <w:sz w:val="22"/>
        </w:rPr>
      </w:pPr>
      <w:r>
        <w:rPr>
          <w:rFonts w:asciiTheme="minorHAnsi" w:eastAsia="Calibri" w:hAnsiTheme="minorHAnsi" w:cstheme="minorHAnsi"/>
          <w:sz w:val="22"/>
        </w:rPr>
        <w:t xml:space="preserve">The </w:t>
      </w:r>
      <w:r w:rsidRPr="002707FB">
        <w:rPr>
          <w:rFonts w:asciiTheme="minorHAnsi" w:eastAsia="Calibri" w:hAnsiTheme="minorHAnsi" w:cstheme="minorHAnsi"/>
          <w:sz w:val="22"/>
        </w:rPr>
        <w:t>Canad</w:t>
      </w:r>
      <w:r>
        <w:rPr>
          <w:rFonts w:asciiTheme="minorHAnsi" w:eastAsia="Calibri" w:hAnsiTheme="minorHAnsi" w:cstheme="minorHAnsi"/>
          <w:sz w:val="22"/>
        </w:rPr>
        <w:t xml:space="preserve">ian Government </w:t>
      </w:r>
      <w:r w:rsidRPr="002707FB">
        <w:rPr>
          <w:rFonts w:asciiTheme="minorHAnsi" w:eastAsia="Calibri" w:hAnsiTheme="minorHAnsi" w:cstheme="minorHAnsi"/>
          <w:sz w:val="22"/>
        </w:rPr>
        <w:t xml:space="preserve">is also taking steps to provide targeted support to vulnerable groups. Several recent initiatives aim to close the large and persistent socio-economic gaps between </w:t>
      </w:r>
      <w:r>
        <w:rPr>
          <w:rFonts w:asciiTheme="minorHAnsi" w:eastAsia="Calibri" w:hAnsiTheme="minorHAnsi" w:cstheme="minorHAnsi"/>
          <w:sz w:val="22"/>
        </w:rPr>
        <w:t xml:space="preserve">Canada’s </w:t>
      </w:r>
      <w:r w:rsidRPr="002707FB">
        <w:rPr>
          <w:rFonts w:asciiTheme="minorHAnsi" w:eastAsia="Calibri" w:hAnsiTheme="minorHAnsi" w:cstheme="minorHAnsi"/>
          <w:sz w:val="22"/>
        </w:rPr>
        <w:t xml:space="preserve">Indigenous </w:t>
      </w:r>
      <w:r>
        <w:rPr>
          <w:rFonts w:asciiTheme="minorHAnsi" w:eastAsia="Calibri" w:hAnsiTheme="minorHAnsi" w:cstheme="minorHAnsi"/>
          <w:sz w:val="22"/>
        </w:rPr>
        <w:t>peoples</w:t>
      </w:r>
      <w:r w:rsidRPr="002707FB">
        <w:rPr>
          <w:rFonts w:asciiTheme="minorHAnsi" w:eastAsia="Calibri" w:hAnsiTheme="minorHAnsi" w:cstheme="minorHAnsi"/>
          <w:sz w:val="22"/>
        </w:rPr>
        <w:t xml:space="preserve"> and the rest of the population, assist recent immigrants in adjusting to life in Canada, increase accessibility for </w:t>
      </w:r>
      <w:r>
        <w:rPr>
          <w:rFonts w:asciiTheme="minorHAnsi" w:eastAsia="Calibri" w:hAnsiTheme="minorHAnsi" w:cstheme="minorHAnsi"/>
          <w:sz w:val="22"/>
        </w:rPr>
        <w:t>people</w:t>
      </w:r>
      <w:r w:rsidRPr="002707FB">
        <w:rPr>
          <w:rFonts w:asciiTheme="minorHAnsi" w:eastAsia="Calibri" w:hAnsiTheme="minorHAnsi" w:cstheme="minorHAnsi"/>
          <w:sz w:val="22"/>
        </w:rPr>
        <w:t xml:space="preserve"> with disabilities, and lift single seniors out of poverty.</w:t>
      </w:r>
    </w:p>
    <w:p w14:paraId="710F462B" w14:textId="10EF31D4" w:rsidR="000B649B" w:rsidRDefault="000B649B" w:rsidP="000B649B">
      <w:r w:rsidRPr="005D5A83">
        <w:rPr>
          <w:i/>
          <w:noProof/>
          <w:color w:val="1F497D" w:themeColor="text2"/>
          <w:lang w:val="en-US"/>
        </w:rPr>
        <mc:AlternateContent>
          <mc:Choice Requires="wps">
            <w:drawing>
              <wp:inline distT="0" distB="0" distL="0" distR="0" wp14:anchorId="3250620E" wp14:editId="5800BE88">
                <wp:extent cx="6143625" cy="4800600"/>
                <wp:effectExtent l="0" t="0" r="9525"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800600"/>
                        </a:xfrm>
                        <a:prstGeom prst="rect">
                          <a:avLst/>
                        </a:prstGeom>
                        <a:solidFill>
                          <a:schemeClr val="accent1">
                            <a:lumMod val="20000"/>
                            <a:lumOff val="80000"/>
                          </a:schemeClr>
                        </a:solidFill>
                        <a:ln w="9525">
                          <a:noFill/>
                          <a:miter lim="800000"/>
                          <a:headEnd/>
                          <a:tailEnd/>
                        </a:ln>
                      </wps:spPr>
                      <wps:txbx>
                        <w:txbxContent>
                          <w:p w14:paraId="280A83C5"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366DE22D"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308AA85F" w14:textId="77777777" w:rsidR="00633B37" w:rsidRDefault="00633B37" w:rsidP="000B649B">
                            <w:pPr>
                              <w:spacing w:after="0" w:line="240" w:lineRule="auto"/>
                              <w:jc w:val="right"/>
                              <w:rPr>
                                <w:rFonts w:ascii="Arial" w:hAnsi="Arial" w:cs="Arial"/>
                                <w:b/>
                                <w:i/>
                                <w:color w:val="17365D" w:themeColor="text2" w:themeShade="BF"/>
                                <w:sz w:val="16"/>
                              </w:rPr>
                            </w:pPr>
                            <w:r w:rsidRPr="00E222F8">
                              <w:rPr>
                                <w:rFonts w:cs="Times New Roman"/>
                                <w:noProof/>
                                <w:color w:val="17365D" w:themeColor="text2" w:themeShade="BF"/>
                                <w:sz w:val="22"/>
                                <w:lang w:val="en-US"/>
                              </w:rPr>
                              <w:drawing>
                                <wp:inline distT="0" distB="0" distL="0" distR="0" wp14:anchorId="46C3BD2C" wp14:editId="5E3D13B4">
                                  <wp:extent cx="438614" cy="246052"/>
                                  <wp:effectExtent l="0" t="0" r="0" b="1905"/>
                                  <wp:docPr id="10" name="Picture 10"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97" cy="248679"/>
                                          </a:xfrm>
                                          <a:prstGeom prst="rect">
                                            <a:avLst/>
                                          </a:prstGeom>
                                          <a:noFill/>
                                          <a:ln>
                                            <a:noFill/>
                                          </a:ln>
                                        </pic:spPr>
                                      </pic:pic>
                                    </a:graphicData>
                                  </a:graphic>
                                </wp:inline>
                              </w:drawing>
                            </w:r>
                          </w:p>
                          <w:p w14:paraId="526A1E0D"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4C0FB4E2" w14:textId="77777777" w:rsidR="00633B37" w:rsidRPr="00DA72E1" w:rsidRDefault="00633B37" w:rsidP="000B649B">
                            <w:pPr>
                              <w:spacing w:line="240" w:lineRule="auto"/>
                              <w:rPr>
                                <w:rFonts w:ascii="Calibri" w:hAnsi="Calibri" w:cs="Calibri"/>
                                <w:b/>
                                <w:color w:val="17365D" w:themeColor="text2" w:themeShade="BF"/>
                                <w:sz w:val="20"/>
                              </w:rPr>
                            </w:pPr>
                            <w:r w:rsidRPr="00DA72E1">
                              <w:rPr>
                                <w:rFonts w:ascii="Calibri" w:hAnsi="Calibri" w:cs="Calibri"/>
                                <w:b/>
                                <w:color w:val="17365D" w:themeColor="text2" w:themeShade="BF"/>
                                <w:sz w:val="20"/>
                              </w:rPr>
                              <w:t>Examples of Recent Changes to Canadian Taxes and Social Supports</w:t>
                            </w:r>
                          </w:p>
                          <w:p w14:paraId="119B2BFA" w14:textId="39D68FC4" w:rsidR="00633B37" w:rsidRPr="00DA72E1" w:rsidRDefault="00633B37" w:rsidP="00FB6804">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In 2016, </w:t>
                            </w:r>
                            <w:r>
                              <w:rPr>
                                <w:rFonts w:ascii="Calibri" w:hAnsi="Calibri" w:cs="Calibri"/>
                                <w:color w:val="17365D" w:themeColor="text2" w:themeShade="BF"/>
                                <w:sz w:val="20"/>
                                <w:szCs w:val="20"/>
                              </w:rPr>
                              <w:t xml:space="preserve">the </w:t>
                            </w:r>
                            <w:r w:rsidRPr="00DA72E1">
                              <w:rPr>
                                <w:rFonts w:ascii="Calibri" w:hAnsi="Calibri" w:cs="Calibri"/>
                                <w:color w:val="17365D" w:themeColor="text2" w:themeShade="BF"/>
                                <w:sz w:val="20"/>
                                <w:szCs w:val="20"/>
                              </w:rPr>
                              <w:t>Canad</w:t>
                            </w:r>
                            <w:r>
                              <w:rPr>
                                <w:rFonts w:ascii="Calibri" w:hAnsi="Calibri" w:cs="Calibri"/>
                                <w:color w:val="17365D" w:themeColor="text2" w:themeShade="BF"/>
                                <w:sz w:val="20"/>
                                <w:szCs w:val="20"/>
                              </w:rPr>
                              <w:t>ian Go</w:t>
                            </w:r>
                            <w:r w:rsidRPr="00DA72E1">
                              <w:rPr>
                                <w:rFonts w:ascii="Calibri" w:hAnsi="Calibri" w:cs="Calibri"/>
                                <w:color w:val="17365D" w:themeColor="text2" w:themeShade="BF"/>
                                <w:sz w:val="20"/>
                                <w:szCs w:val="20"/>
                              </w:rPr>
                              <w:t xml:space="preserve">vernment replaced a complex system of three different child benefits with a single non-taxable income-tested </w:t>
                            </w:r>
                            <w:r w:rsidRPr="00DA72E1">
                              <w:rPr>
                                <w:rFonts w:ascii="Calibri" w:hAnsi="Calibri" w:cs="Calibri"/>
                                <w:b/>
                                <w:color w:val="17365D" w:themeColor="text2" w:themeShade="BF"/>
                                <w:sz w:val="20"/>
                                <w:szCs w:val="20"/>
                              </w:rPr>
                              <w:t>Canada Child Benefit</w:t>
                            </w:r>
                            <w:r>
                              <w:rPr>
                                <w:rFonts w:ascii="Calibri" w:hAnsi="Calibri" w:cs="Calibri"/>
                                <w:b/>
                                <w:color w:val="17365D" w:themeColor="text2" w:themeShade="BF"/>
                                <w:sz w:val="20"/>
                                <w:szCs w:val="20"/>
                              </w:rPr>
                              <w:t xml:space="preserve"> (CCB)</w:t>
                            </w:r>
                            <w:r w:rsidRPr="00DA72E1">
                              <w:rPr>
                                <w:rFonts w:ascii="Calibri" w:hAnsi="Calibri" w:cs="Calibri"/>
                                <w:color w:val="17365D" w:themeColor="text2" w:themeShade="BF"/>
                                <w:sz w:val="20"/>
                                <w:szCs w:val="20"/>
                              </w:rPr>
                              <w:t>. This measure has helped lift 521,000 individuals, including nearly 300,000 children, out of poverty and promotes intergenerational mobility by providing greater opportunities to children of low income-families.</w:t>
                            </w:r>
                            <w:r w:rsidRPr="00D50768">
                              <w:t xml:space="preserve"> </w:t>
                            </w:r>
                            <w:r w:rsidR="004A2282" w:rsidRPr="00541434">
                              <w:rPr>
                                <w:rFonts w:asciiTheme="minorHAnsi" w:hAnsiTheme="minorHAnsi"/>
                                <w:color w:val="17365D" w:themeColor="text2" w:themeShade="BF"/>
                                <w:sz w:val="20"/>
                              </w:rPr>
                              <w:t>In the 2017-18 benefit year, nearly $24 billion in CCB payments were made to almost 3.7 million recipients.</w:t>
                            </w:r>
                            <w:r w:rsidR="004A2282" w:rsidRPr="00541434">
                              <w:rPr>
                                <w:color w:val="17365D" w:themeColor="text2" w:themeShade="BF"/>
                                <w:sz w:val="20"/>
                              </w:rPr>
                              <w:t xml:space="preserve"> </w:t>
                            </w:r>
                            <w:r w:rsidRPr="007D1656">
                              <w:rPr>
                                <w:rFonts w:ascii="Calibri" w:hAnsi="Calibri" w:cs="Calibri"/>
                                <w:color w:val="17365D" w:themeColor="text2" w:themeShade="BF"/>
                                <w:sz w:val="20"/>
                                <w:szCs w:val="20"/>
                              </w:rPr>
                              <w:t xml:space="preserve">Close to 65 percent of families receiving the maximum CCB amounts are single-parent families, more than 90 percent of which are led by single mothers. The single mothers who will receive the CCB during the 2018-2019 benefit year will get close to $9,000 annually in benefit payments on average. Families </w:t>
                            </w:r>
                            <w:r w:rsidR="00B445A4">
                              <w:rPr>
                                <w:rFonts w:ascii="Calibri" w:hAnsi="Calibri" w:cs="Calibri"/>
                                <w:color w:val="17365D" w:themeColor="text2" w:themeShade="BF"/>
                                <w:sz w:val="20"/>
                                <w:szCs w:val="20"/>
                              </w:rPr>
                              <w:t>benefitting from</w:t>
                            </w:r>
                            <w:r w:rsidRPr="007D1656">
                              <w:rPr>
                                <w:rFonts w:ascii="Calibri" w:hAnsi="Calibri" w:cs="Calibri"/>
                                <w:color w:val="17365D" w:themeColor="text2" w:themeShade="BF"/>
                                <w:sz w:val="20"/>
                                <w:szCs w:val="20"/>
                              </w:rPr>
                              <w:t xml:space="preserve"> the CCB are get</w:t>
                            </w:r>
                            <w:r w:rsidR="000C64B3">
                              <w:rPr>
                                <w:rFonts w:ascii="Calibri" w:hAnsi="Calibri" w:cs="Calibri"/>
                                <w:color w:val="17365D" w:themeColor="text2" w:themeShade="BF"/>
                                <w:sz w:val="20"/>
                                <w:szCs w:val="20"/>
                              </w:rPr>
                              <w:t xml:space="preserve">ting $6,800 on average this year. </w:t>
                            </w:r>
                            <w:r w:rsidR="00B94F31" w:rsidRPr="00B94F31">
                              <w:rPr>
                                <w:rFonts w:ascii="Calibri" w:hAnsi="Calibri" w:cs="Calibri"/>
                                <w:color w:val="17365D" w:themeColor="text2" w:themeShade="BF"/>
                                <w:sz w:val="20"/>
                                <w:szCs w:val="20"/>
                              </w:rPr>
                              <w:t>The Canadian Government has also strengthened the CCB by making annual cost of living increases starting in July 2018. Indexing the CCB provides an additional $5.6 billion in support to Canadian families over the 2018-2019 to 2022-2023 period.</w:t>
                            </w:r>
                            <w:r w:rsidR="00B94F31" w:rsidRPr="00B94F31" w:rsidDel="00B445A4">
                              <w:rPr>
                                <w:rFonts w:ascii="Calibri" w:hAnsi="Calibri" w:cs="Calibri"/>
                                <w:color w:val="17365D" w:themeColor="text2" w:themeShade="BF"/>
                                <w:sz w:val="20"/>
                                <w:szCs w:val="20"/>
                              </w:rPr>
                              <w:t xml:space="preserve"> </w:t>
                            </w:r>
                          </w:p>
                          <w:p w14:paraId="08F2E28D"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The new </w:t>
                            </w:r>
                            <w:r w:rsidRPr="00DA72E1">
                              <w:rPr>
                                <w:rFonts w:ascii="Calibri" w:hAnsi="Calibri" w:cs="Calibri"/>
                                <w:b/>
                                <w:color w:val="17365D" w:themeColor="text2" w:themeShade="BF"/>
                                <w:sz w:val="20"/>
                                <w:szCs w:val="20"/>
                              </w:rPr>
                              <w:t>Canada Workers Benefit</w:t>
                            </w:r>
                            <w:r w:rsidRPr="00DA72E1">
                              <w:rPr>
                                <w:rFonts w:ascii="Calibri" w:hAnsi="Calibri" w:cs="Calibri"/>
                                <w:color w:val="17365D" w:themeColor="text2" w:themeShade="BF"/>
                                <w:sz w:val="20"/>
                                <w:szCs w:val="20"/>
                              </w:rPr>
                              <w:t xml:space="preserve"> (which will replace the Working Income Tax Benefit as of 2019) provides a top-up to the wages of low-income workers, plus a supplement to further support low-income workers with disabilities. Modelled after the successful Earned Income Tax Credit in the United States, the Canada Workers Benefit provides income assistance to low-income workers while reducing barriers to labour force participation that can be created by the clawback of social assistance benefits. </w:t>
                            </w:r>
                          </w:p>
                          <w:p w14:paraId="68E9EEB2"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Total federal government </w:t>
                            </w:r>
                            <w:r w:rsidRPr="00DA72E1">
                              <w:rPr>
                                <w:rFonts w:ascii="Calibri" w:hAnsi="Calibri" w:cs="Calibri"/>
                                <w:b/>
                                <w:color w:val="17365D" w:themeColor="text2" w:themeShade="BF"/>
                                <w:sz w:val="20"/>
                                <w:szCs w:val="20"/>
                              </w:rPr>
                              <w:t>spending on Indigenous programs</w:t>
                            </w:r>
                            <w:r w:rsidRPr="00DA72E1">
                              <w:rPr>
                                <w:rFonts w:ascii="Calibri" w:hAnsi="Calibri" w:cs="Calibri"/>
                                <w:color w:val="17365D" w:themeColor="text2" w:themeShade="BF"/>
                                <w:sz w:val="20"/>
                                <w:szCs w:val="20"/>
                              </w:rPr>
                              <w:t xml:space="preserve"> will increase from over $11 billion in 2015-16 to over $15 billion in 2021-22—an increase of 34% over six years. This funding covers a range of areas including child and family services, education, Indigenous languages and cultures, infrastructure (housing and water), skills and employment, and Indigenous health.</w:t>
                            </w:r>
                          </w:p>
                          <w:p w14:paraId="71771AB2"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In 2016, the </w:t>
                            </w:r>
                            <w:r>
                              <w:rPr>
                                <w:rFonts w:ascii="Calibri" w:hAnsi="Calibri" w:cs="Calibri"/>
                                <w:color w:val="17365D" w:themeColor="text2" w:themeShade="BF"/>
                                <w:sz w:val="20"/>
                                <w:szCs w:val="20"/>
                              </w:rPr>
                              <w:t>Canadian G</w:t>
                            </w:r>
                            <w:r w:rsidRPr="00DA72E1">
                              <w:rPr>
                                <w:rFonts w:ascii="Calibri" w:hAnsi="Calibri" w:cs="Calibri"/>
                                <w:color w:val="17365D" w:themeColor="text2" w:themeShade="BF"/>
                                <w:sz w:val="20"/>
                                <w:szCs w:val="20"/>
                              </w:rPr>
                              <w:t xml:space="preserve">overnment increased </w:t>
                            </w:r>
                            <w:r w:rsidRPr="00DA72E1">
                              <w:rPr>
                                <w:rFonts w:ascii="Calibri" w:hAnsi="Calibri" w:cs="Calibri"/>
                                <w:b/>
                                <w:color w:val="17365D" w:themeColor="text2" w:themeShade="BF"/>
                                <w:sz w:val="20"/>
                                <w:szCs w:val="20"/>
                              </w:rPr>
                              <w:t>direct income transfers for low-income single seniors</w:t>
                            </w:r>
                            <w:r w:rsidRPr="00DA72E1">
                              <w:rPr>
                                <w:rFonts w:ascii="Calibri" w:hAnsi="Calibri" w:cs="Calibri"/>
                                <w:color w:val="17365D" w:themeColor="text2" w:themeShade="BF"/>
                                <w:sz w:val="20"/>
                                <w:szCs w:val="20"/>
                              </w:rPr>
                              <w:t xml:space="preserve"> who rely almost exclusively on government assistance. This measure has increased the financial security of about 900,000 single seniors and lifted an estimated 57,000 out of poverty.</w:t>
                            </w:r>
                          </w:p>
                          <w:p w14:paraId="01481E6C"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wps:txbx>
                      <wps:bodyPr rot="0" vert="horz" wrap="square" lIns="91440" tIns="45720" rIns="91440" bIns="45720" anchor="t" anchorCtr="0">
                        <a:noAutofit/>
                      </wps:bodyPr>
                    </wps:wsp>
                  </a:graphicData>
                </a:graphic>
              </wp:inline>
            </w:drawing>
          </mc:Choice>
          <mc:Fallback>
            <w:pict>
              <v:shape w14:anchorId="3250620E" id="_x0000_s1031" type="#_x0000_t202" style="width:483.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" fillcolor="#dbe5f1 [660]" stroked="f">
                <v:textbox>
                  <w:txbxContent>
                    <w:p w14:paraId="280A83C5"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366DE22D"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308AA85F" w14:textId="77777777" w:rsidR="00633B37" w:rsidRDefault="00633B37" w:rsidP="000B649B">
                      <w:pPr>
                        <w:spacing w:after="0" w:line="240" w:lineRule="auto"/>
                        <w:jc w:val="right"/>
                        <w:rPr>
                          <w:rFonts w:ascii="Arial" w:hAnsi="Arial" w:cs="Arial"/>
                          <w:b/>
                          <w:i/>
                          <w:color w:val="17365D" w:themeColor="text2" w:themeShade="BF"/>
                          <w:sz w:val="16"/>
                        </w:rPr>
                      </w:pPr>
                      <w:r w:rsidRPr="00E222F8">
                        <w:rPr>
                          <w:rFonts w:cs="Times New Roman"/>
                          <w:noProof/>
                          <w:color w:val="17365D" w:themeColor="text2" w:themeShade="BF"/>
                          <w:sz w:val="22"/>
                          <w:lang w:eastAsia="en-AU"/>
                        </w:rPr>
                        <w:drawing>
                          <wp:inline distT="0" distB="0" distL="0" distR="0" wp14:anchorId="46C3BD2C" wp14:editId="5E3D13B4">
                            <wp:extent cx="438614" cy="246052"/>
                            <wp:effectExtent l="0" t="0" r="0" b="1905"/>
                            <wp:docPr id="10" name="Picture 10"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97" cy="248679"/>
                                    </a:xfrm>
                                    <a:prstGeom prst="rect">
                                      <a:avLst/>
                                    </a:prstGeom>
                                    <a:noFill/>
                                    <a:ln>
                                      <a:noFill/>
                                    </a:ln>
                                  </pic:spPr>
                                </pic:pic>
                              </a:graphicData>
                            </a:graphic>
                          </wp:inline>
                        </w:drawing>
                      </w:r>
                    </w:p>
                    <w:p w14:paraId="526A1E0D"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4C0FB4E2" w14:textId="77777777" w:rsidR="00633B37" w:rsidRPr="00DA72E1" w:rsidRDefault="00633B37" w:rsidP="000B649B">
                      <w:pPr>
                        <w:spacing w:line="240" w:lineRule="auto"/>
                        <w:rPr>
                          <w:rFonts w:ascii="Calibri" w:hAnsi="Calibri" w:cs="Calibri"/>
                          <w:b/>
                          <w:color w:val="17365D" w:themeColor="text2" w:themeShade="BF"/>
                          <w:sz w:val="20"/>
                        </w:rPr>
                      </w:pPr>
                      <w:r w:rsidRPr="00DA72E1">
                        <w:rPr>
                          <w:rFonts w:ascii="Calibri" w:hAnsi="Calibri" w:cs="Calibri"/>
                          <w:b/>
                          <w:color w:val="17365D" w:themeColor="text2" w:themeShade="BF"/>
                          <w:sz w:val="20"/>
                        </w:rPr>
                        <w:t>Examples of Recent Changes to Canadian Taxes and Social Supports</w:t>
                      </w:r>
                    </w:p>
                    <w:p w14:paraId="119B2BFA" w14:textId="39D68FC4" w:rsidR="00633B37" w:rsidRPr="00DA72E1" w:rsidRDefault="00633B37" w:rsidP="00FB6804">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In 2016, </w:t>
                      </w:r>
                      <w:r>
                        <w:rPr>
                          <w:rFonts w:ascii="Calibri" w:hAnsi="Calibri" w:cs="Calibri"/>
                          <w:color w:val="17365D" w:themeColor="text2" w:themeShade="BF"/>
                          <w:sz w:val="20"/>
                          <w:szCs w:val="20"/>
                        </w:rPr>
                        <w:t xml:space="preserve">the </w:t>
                      </w:r>
                      <w:r w:rsidRPr="00DA72E1">
                        <w:rPr>
                          <w:rFonts w:ascii="Calibri" w:hAnsi="Calibri" w:cs="Calibri"/>
                          <w:color w:val="17365D" w:themeColor="text2" w:themeShade="BF"/>
                          <w:sz w:val="20"/>
                          <w:szCs w:val="20"/>
                        </w:rPr>
                        <w:t>Canad</w:t>
                      </w:r>
                      <w:r>
                        <w:rPr>
                          <w:rFonts w:ascii="Calibri" w:hAnsi="Calibri" w:cs="Calibri"/>
                          <w:color w:val="17365D" w:themeColor="text2" w:themeShade="BF"/>
                          <w:sz w:val="20"/>
                          <w:szCs w:val="20"/>
                        </w:rPr>
                        <w:t>ian Go</w:t>
                      </w:r>
                      <w:r w:rsidRPr="00DA72E1">
                        <w:rPr>
                          <w:rFonts w:ascii="Calibri" w:hAnsi="Calibri" w:cs="Calibri"/>
                          <w:color w:val="17365D" w:themeColor="text2" w:themeShade="BF"/>
                          <w:sz w:val="20"/>
                          <w:szCs w:val="20"/>
                        </w:rPr>
                        <w:t xml:space="preserve">vernment replaced a complex system of three different child benefits with a single non-taxable income-tested </w:t>
                      </w:r>
                      <w:r w:rsidRPr="00DA72E1">
                        <w:rPr>
                          <w:rFonts w:ascii="Calibri" w:hAnsi="Calibri" w:cs="Calibri"/>
                          <w:b/>
                          <w:color w:val="17365D" w:themeColor="text2" w:themeShade="BF"/>
                          <w:sz w:val="20"/>
                          <w:szCs w:val="20"/>
                        </w:rPr>
                        <w:t>Canada Child Benefit</w:t>
                      </w:r>
                      <w:r>
                        <w:rPr>
                          <w:rFonts w:ascii="Calibri" w:hAnsi="Calibri" w:cs="Calibri"/>
                          <w:b/>
                          <w:color w:val="17365D" w:themeColor="text2" w:themeShade="BF"/>
                          <w:sz w:val="20"/>
                          <w:szCs w:val="20"/>
                        </w:rPr>
                        <w:t xml:space="preserve"> (CCB)</w:t>
                      </w:r>
                      <w:r w:rsidRPr="00DA72E1">
                        <w:rPr>
                          <w:rFonts w:ascii="Calibri" w:hAnsi="Calibri" w:cs="Calibri"/>
                          <w:color w:val="17365D" w:themeColor="text2" w:themeShade="BF"/>
                          <w:sz w:val="20"/>
                          <w:szCs w:val="20"/>
                        </w:rPr>
                        <w:t>. This measure has helped lift 521,000 individuals, including nearly 300,000 children, out of poverty and promotes intergenerational mobility by providing greater opportunities to children of low income-families.</w:t>
                      </w:r>
                      <w:r w:rsidRPr="00D50768">
                        <w:t xml:space="preserve"> </w:t>
                      </w:r>
                      <w:r w:rsidR="004A2282" w:rsidRPr="00541434">
                        <w:rPr>
                          <w:rFonts w:asciiTheme="minorHAnsi" w:hAnsiTheme="minorHAnsi"/>
                          <w:color w:val="17365D" w:themeColor="text2" w:themeShade="BF"/>
                          <w:sz w:val="20"/>
                        </w:rPr>
                        <w:t>In the 2017-18 benefit year, nearly $24 billion in CCB payments were made to almost 3.7 million recipients.</w:t>
                      </w:r>
                      <w:r w:rsidR="004A2282" w:rsidRPr="00541434">
                        <w:rPr>
                          <w:color w:val="17365D" w:themeColor="text2" w:themeShade="BF"/>
                          <w:sz w:val="20"/>
                        </w:rPr>
                        <w:t xml:space="preserve"> </w:t>
                      </w:r>
                      <w:r w:rsidRPr="007D1656">
                        <w:rPr>
                          <w:rFonts w:ascii="Calibri" w:hAnsi="Calibri" w:cs="Calibri"/>
                          <w:color w:val="17365D" w:themeColor="text2" w:themeShade="BF"/>
                          <w:sz w:val="20"/>
                          <w:szCs w:val="20"/>
                        </w:rPr>
                        <w:t xml:space="preserve">Close to 65 percent of families receiving the maximum CCB amounts are single-parent families, more than 90 percent of which are led by single mothers. The single mothers who will receive the CCB during the 2018-2019 benefit year will get close to $9,000 annually in benefit payments on average. Families </w:t>
                      </w:r>
                      <w:r w:rsidR="00B445A4">
                        <w:rPr>
                          <w:rFonts w:ascii="Calibri" w:hAnsi="Calibri" w:cs="Calibri"/>
                          <w:color w:val="17365D" w:themeColor="text2" w:themeShade="BF"/>
                          <w:sz w:val="20"/>
                          <w:szCs w:val="20"/>
                        </w:rPr>
                        <w:t>benefitting from</w:t>
                      </w:r>
                      <w:r w:rsidRPr="007D1656">
                        <w:rPr>
                          <w:rFonts w:ascii="Calibri" w:hAnsi="Calibri" w:cs="Calibri"/>
                          <w:color w:val="17365D" w:themeColor="text2" w:themeShade="BF"/>
                          <w:sz w:val="20"/>
                          <w:szCs w:val="20"/>
                        </w:rPr>
                        <w:t xml:space="preserve"> the CCB are get</w:t>
                      </w:r>
                      <w:r w:rsidR="000C64B3">
                        <w:rPr>
                          <w:rFonts w:ascii="Calibri" w:hAnsi="Calibri" w:cs="Calibri"/>
                          <w:color w:val="17365D" w:themeColor="text2" w:themeShade="BF"/>
                          <w:sz w:val="20"/>
                          <w:szCs w:val="20"/>
                        </w:rPr>
                        <w:t xml:space="preserve">ting $6,800 on average this year. </w:t>
                      </w:r>
                      <w:r w:rsidR="00B94F31" w:rsidRPr="00B94F31">
                        <w:rPr>
                          <w:rFonts w:ascii="Calibri" w:hAnsi="Calibri" w:cs="Calibri"/>
                          <w:color w:val="17365D" w:themeColor="text2" w:themeShade="BF"/>
                          <w:sz w:val="20"/>
                          <w:szCs w:val="20"/>
                        </w:rPr>
                        <w:t>The Canadian Government has also strengthened the CCB by making annual cost of living increases starting in July 2018. Indexing the CCB provides an additional $5.6 billion in support to Canadian families over the 2018-2019 to 2022-2023 period.</w:t>
                      </w:r>
                      <w:r w:rsidR="00B94F31" w:rsidRPr="00B94F31" w:rsidDel="00B445A4">
                        <w:rPr>
                          <w:rFonts w:ascii="Calibri" w:hAnsi="Calibri" w:cs="Calibri"/>
                          <w:color w:val="17365D" w:themeColor="text2" w:themeShade="BF"/>
                          <w:sz w:val="20"/>
                          <w:szCs w:val="20"/>
                        </w:rPr>
                        <w:t xml:space="preserve"> </w:t>
                      </w:r>
                    </w:p>
                    <w:p w14:paraId="08F2E28D"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The new </w:t>
                      </w:r>
                      <w:r w:rsidRPr="00DA72E1">
                        <w:rPr>
                          <w:rFonts w:ascii="Calibri" w:hAnsi="Calibri" w:cs="Calibri"/>
                          <w:b/>
                          <w:color w:val="17365D" w:themeColor="text2" w:themeShade="BF"/>
                          <w:sz w:val="20"/>
                          <w:szCs w:val="20"/>
                        </w:rPr>
                        <w:t>Canada Workers Benefit</w:t>
                      </w:r>
                      <w:r w:rsidRPr="00DA72E1">
                        <w:rPr>
                          <w:rFonts w:ascii="Calibri" w:hAnsi="Calibri" w:cs="Calibri"/>
                          <w:color w:val="17365D" w:themeColor="text2" w:themeShade="BF"/>
                          <w:sz w:val="20"/>
                          <w:szCs w:val="20"/>
                        </w:rPr>
                        <w:t xml:space="preserve"> (which will replace the Working Income Tax Benefit as of 2019) provides a top-up to the wages of low-income workers, plus a supplement to further support low-income workers with disabilities. Modelled after the successful Earned Income Tax Credit in the United States, the Canada Workers Benefit provides income assistance to low-income workers while reducing barriers to labour force participation that can be created by the clawback of social assistance benefits. </w:t>
                      </w:r>
                    </w:p>
                    <w:p w14:paraId="68E9EEB2"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Total federal government </w:t>
                      </w:r>
                      <w:r w:rsidRPr="00DA72E1">
                        <w:rPr>
                          <w:rFonts w:ascii="Calibri" w:hAnsi="Calibri" w:cs="Calibri"/>
                          <w:b/>
                          <w:color w:val="17365D" w:themeColor="text2" w:themeShade="BF"/>
                          <w:sz w:val="20"/>
                          <w:szCs w:val="20"/>
                        </w:rPr>
                        <w:t>spending on Indigenous programs</w:t>
                      </w:r>
                      <w:r w:rsidRPr="00DA72E1">
                        <w:rPr>
                          <w:rFonts w:ascii="Calibri" w:hAnsi="Calibri" w:cs="Calibri"/>
                          <w:color w:val="17365D" w:themeColor="text2" w:themeShade="BF"/>
                          <w:sz w:val="20"/>
                          <w:szCs w:val="20"/>
                        </w:rPr>
                        <w:t xml:space="preserve"> will increase from over $11 billion in 2015-16 to over $15 billion in 2021-22—an increase of 34% over six years. This funding covers a range of areas including child and family services, education, Indigenous languages and cultures, infrastructure (housing and water), skills and employment, and Indigenous health.</w:t>
                      </w:r>
                    </w:p>
                    <w:p w14:paraId="71771AB2" w14:textId="77777777" w:rsidR="00633B37" w:rsidRPr="00DA72E1" w:rsidRDefault="00633B37" w:rsidP="000B649B">
                      <w:pPr>
                        <w:spacing w:before="120" w:line="240" w:lineRule="auto"/>
                        <w:rPr>
                          <w:rFonts w:ascii="Calibri" w:hAnsi="Calibri" w:cs="Calibri"/>
                          <w:color w:val="17365D" w:themeColor="text2" w:themeShade="BF"/>
                          <w:sz w:val="20"/>
                          <w:szCs w:val="20"/>
                        </w:rPr>
                      </w:pPr>
                      <w:r w:rsidRPr="00DA72E1">
                        <w:rPr>
                          <w:rFonts w:ascii="Calibri" w:hAnsi="Calibri" w:cs="Calibri"/>
                          <w:color w:val="17365D" w:themeColor="text2" w:themeShade="BF"/>
                          <w:sz w:val="20"/>
                          <w:szCs w:val="20"/>
                        </w:rPr>
                        <w:t xml:space="preserve">In 2016, the </w:t>
                      </w:r>
                      <w:r>
                        <w:rPr>
                          <w:rFonts w:ascii="Calibri" w:hAnsi="Calibri" w:cs="Calibri"/>
                          <w:color w:val="17365D" w:themeColor="text2" w:themeShade="BF"/>
                          <w:sz w:val="20"/>
                          <w:szCs w:val="20"/>
                        </w:rPr>
                        <w:t>Canadian G</w:t>
                      </w:r>
                      <w:r w:rsidRPr="00DA72E1">
                        <w:rPr>
                          <w:rFonts w:ascii="Calibri" w:hAnsi="Calibri" w:cs="Calibri"/>
                          <w:color w:val="17365D" w:themeColor="text2" w:themeShade="BF"/>
                          <w:sz w:val="20"/>
                          <w:szCs w:val="20"/>
                        </w:rPr>
                        <w:t xml:space="preserve">overnment increased </w:t>
                      </w:r>
                      <w:r w:rsidRPr="00DA72E1">
                        <w:rPr>
                          <w:rFonts w:ascii="Calibri" w:hAnsi="Calibri" w:cs="Calibri"/>
                          <w:b/>
                          <w:color w:val="17365D" w:themeColor="text2" w:themeShade="BF"/>
                          <w:sz w:val="20"/>
                          <w:szCs w:val="20"/>
                        </w:rPr>
                        <w:t>direct income transfers for low-income single seniors</w:t>
                      </w:r>
                      <w:r w:rsidRPr="00DA72E1">
                        <w:rPr>
                          <w:rFonts w:ascii="Calibri" w:hAnsi="Calibri" w:cs="Calibri"/>
                          <w:color w:val="17365D" w:themeColor="text2" w:themeShade="BF"/>
                          <w:sz w:val="20"/>
                          <w:szCs w:val="20"/>
                        </w:rPr>
                        <w:t xml:space="preserve"> who rely almost exclusively on government assistance. This measure has increased the financial security of about 900,000 single seniors and lifted an estimated 57,000 out of poverty.</w:t>
                      </w:r>
                    </w:p>
                    <w:p w14:paraId="01481E6C"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v:textbox>
                <w10:anchorlock/>
              </v:shape>
            </w:pict>
          </mc:Fallback>
        </mc:AlternateContent>
      </w:r>
    </w:p>
    <w:p w14:paraId="7203DE66" w14:textId="77777777" w:rsidR="000B649B" w:rsidRDefault="000B649B" w:rsidP="000B649B">
      <w:r w:rsidRPr="009367C1">
        <w:rPr>
          <w:rFonts w:cs="Times New Roman"/>
          <w:b/>
          <w:i/>
          <w:noProof/>
          <w:color w:val="990000"/>
          <w:sz w:val="28"/>
          <w:szCs w:val="28"/>
          <w:lang w:val="en-US"/>
        </w:rPr>
        <mc:AlternateContent>
          <mc:Choice Requires="wps">
            <w:drawing>
              <wp:inline distT="0" distB="0" distL="0" distR="0" wp14:anchorId="1B43FCD6" wp14:editId="1A476E5E">
                <wp:extent cx="6118225" cy="1403985"/>
                <wp:effectExtent l="0" t="0" r="15875" b="1524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403985"/>
                        </a:xfrm>
                        <a:prstGeom prst="rect">
                          <a:avLst/>
                        </a:prstGeom>
                        <a:solidFill>
                          <a:schemeClr val="accent1">
                            <a:lumMod val="20000"/>
                            <a:lumOff val="80000"/>
                          </a:schemeClr>
                        </a:solidFill>
                        <a:ln w="12700">
                          <a:solidFill>
                            <a:schemeClr val="tx2"/>
                          </a:solidFill>
                          <a:miter lim="800000"/>
                          <a:headEnd/>
                          <a:tailEnd/>
                        </a:ln>
                      </wps:spPr>
                      <wps:txbx>
                        <w:txbxContent>
                          <w:p w14:paraId="6829DA12" w14:textId="77777777" w:rsidR="00633B37" w:rsidRPr="000C0E79" w:rsidRDefault="00633B37" w:rsidP="000B649B">
                            <w:pPr>
                              <w:spacing w:line="240" w:lineRule="auto"/>
                              <w:contextualSpacing/>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289FE42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19001FBC"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The effects of technological change on the labour market and the income distribution remain highly uncertain. Governments must continue to monitor economic trends for signs of widespread disruption while adjusting their tax and transfer systems to ensure that the benefits of growth are broadly distributed and to protect vulnerable segments of the population.  A well-functioning tax and transfer system must be:</w:t>
                            </w:r>
                          </w:p>
                          <w:p w14:paraId="34CE1CEE"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Sustainable over time</w:t>
                            </w:r>
                          </w:p>
                          <w:p w14:paraId="6238A1B0"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Part of a broader strategy to enable and</w:t>
                            </w:r>
                            <w:r>
                              <w:rPr>
                                <w:rFonts w:asciiTheme="minorHAnsi" w:hAnsiTheme="minorHAnsi" w:cstheme="minorHAnsi"/>
                                <w:color w:val="1F497D" w:themeColor="text2"/>
                                <w:sz w:val="22"/>
                              </w:rPr>
                              <w:t xml:space="preserve"> encourage</w:t>
                            </w:r>
                            <w:r w:rsidRPr="000C0E79">
                              <w:rPr>
                                <w:rFonts w:asciiTheme="minorHAnsi" w:hAnsiTheme="minorHAnsi" w:cstheme="minorHAnsi"/>
                                <w:color w:val="1F497D" w:themeColor="text2"/>
                                <w:sz w:val="22"/>
                              </w:rPr>
                              <w:t xml:space="preserve"> economic participation </w:t>
                            </w:r>
                          </w:p>
                          <w:p w14:paraId="319FC4DD"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Able to address specific barriers to economic participation faced by certain groups.</w:t>
                            </w:r>
                          </w:p>
                          <w:p w14:paraId="595029A6"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35ABD90"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Given that the redistributive impact of both countries’ tax and transfer systems is somewhat lower than the OECD average, there may be scope for both the Canadian and Australian Governments to respond to any increases in inequality that may arise from technological disruption by adopting policies that are more redistributive, while ensuring that such policies do not unduly hamper work incentives and growth.</w:t>
                            </w:r>
                          </w:p>
                        </w:txbxContent>
                      </wps:txbx>
                      <wps:bodyPr rot="0" vert="horz" wrap="square" lIns="91440" tIns="45720" rIns="91440" bIns="45720" anchor="t" anchorCtr="0">
                        <a:spAutoFit/>
                      </wps:bodyPr>
                    </wps:wsp>
                  </a:graphicData>
                </a:graphic>
              </wp:inline>
            </w:drawing>
          </mc:Choice>
          <mc:Fallback>
            <w:pict>
              <v:shape w14:anchorId="1B43FCD6" id="Text Box 24" o:spid="_x0000_s1032" type="#_x0000_t202" style="width:481.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" fillcolor="#dbe5f1 [660]" strokecolor="#1f497d [3215]" strokeweight="1pt">
                <v:textbox style="mso-fit-shape-to-text:t">
                  <w:txbxContent>
                    <w:p w14:paraId="6829DA12" w14:textId="77777777" w:rsidR="00633B37" w:rsidRPr="000C0E79" w:rsidRDefault="00633B37" w:rsidP="000B649B">
                      <w:pPr>
                        <w:spacing w:line="240" w:lineRule="auto"/>
                        <w:contextualSpacing/>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289FE42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19001FBC"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The effects of technological change on the labour market and the income distribution remain highly uncertain. Governments must continue to monitor economic trends for signs of widespread disruption while adjusting their tax and transfer systems to ensure that the benefits of growth are broadly distributed and to protect vulnerable segments of the population.  A well-functioning tax and transfer system must be:</w:t>
                      </w:r>
                    </w:p>
                    <w:p w14:paraId="34CE1CEE"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Sustainable over time</w:t>
                      </w:r>
                    </w:p>
                    <w:p w14:paraId="6238A1B0"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Part of a broader strategy to enable and</w:t>
                      </w:r>
                      <w:r>
                        <w:rPr>
                          <w:rFonts w:asciiTheme="minorHAnsi" w:hAnsiTheme="minorHAnsi" w:cstheme="minorHAnsi"/>
                          <w:color w:val="1F497D" w:themeColor="text2"/>
                          <w:sz w:val="22"/>
                        </w:rPr>
                        <w:t xml:space="preserve"> encourage</w:t>
                      </w:r>
                      <w:r w:rsidRPr="000C0E79">
                        <w:rPr>
                          <w:rFonts w:asciiTheme="minorHAnsi" w:hAnsiTheme="minorHAnsi" w:cstheme="minorHAnsi"/>
                          <w:color w:val="1F497D" w:themeColor="text2"/>
                          <w:sz w:val="22"/>
                        </w:rPr>
                        <w:t xml:space="preserve"> economic participation </w:t>
                      </w:r>
                    </w:p>
                    <w:p w14:paraId="319FC4DD" w14:textId="77777777" w:rsidR="00633B37" w:rsidRPr="000C0E79" w:rsidRDefault="00633B37" w:rsidP="00BC2039">
                      <w:pPr>
                        <w:pStyle w:val="ListParagraph"/>
                        <w:numPr>
                          <w:ilvl w:val="0"/>
                          <w:numId w:val="10"/>
                        </w:numPr>
                        <w:spacing w:line="240" w:lineRule="auto"/>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Able to address specific barriers to economic participation faced by certain groups.</w:t>
                      </w:r>
                    </w:p>
                    <w:p w14:paraId="595029A6"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35ABD90"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Given that the redistributive impact of both countries’ tax and transfer systems is somewhat lower than the OECD average, there may be scope for both the Canadian and Australian Governments to respond to any increases in inequality that may arise from technological disruption by adopting policies that are more redistributive, while ensuring that such policies do not unduly hamper work incentives and growth.</w:t>
                      </w:r>
                    </w:p>
                  </w:txbxContent>
                </v:textbox>
                <w10:anchorlock/>
              </v:shape>
            </w:pict>
          </mc:Fallback>
        </mc:AlternateContent>
      </w:r>
    </w:p>
    <w:p w14:paraId="1977D5C9" w14:textId="77777777" w:rsidR="000B649B" w:rsidRDefault="000B649B" w:rsidP="00BC2039">
      <w:pPr>
        <w:pStyle w:val="Heading1"/>
        <w:numPr>
          <w:ilvl w:val="0"/>
          <w:numId w:val="12"/>
        </w:numPr>
      </w:pPr>
      <w:r w:rsidRPr="007F4B91">
        <w:t>Approaches to working with citizens in program design to ensure a citizen-centred approach to program implementation</w:t>
      </w:r>
    </w:p>
    <w:p w14:paraId="255134B2" w14:textId="77777777" w:rsidR="000B649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Citizen-centred policy-making can help address the challenges of both the “growth” a</w:t>
      </w:r>
      <w:r>
        <w:rPr>
          <w:rFonts w:asciiTheme="minorHAnsi" w:hAnsiTheme="minorHAnsi" w:cstheme="minorHAnsi"/>
          <w:sz w:val="22"/>
        </w:rPr>
        <w:t xml:space="preserve">nd “inclusivity” dimensions of </w:t>
      </w:r>
      <w:r w:rsidRPr="002707FB">
        <w:rPr>
          <w:rFonts w:asciiTheme="minorHAnsi" w:hAnsiTheme="minorHAnsi" w:cstheme="minorHAnsi"/>
          <w:sz w:val="22"/>
        </w:rPr>
        <w:t>incl</w:t>
      </w:r>
      <w:r>
        <w:rPr>
          <w:rFonts w:asciiTheme="minorHAnsi" w:hAnsiTheme="minorHAnsi" w:cstheme="minorHAnsi"/>
          <w:sz w:val="22"/>
        </w:rPr>
        <w:t>usive growth</w:t>
      </w:r>
      <w:r w:rsidRPr="002707FB">
        <w:rPr>
          <w:rFonts w:asciiTheme="minorHAnsi" w:hAnsiTheme="minorHAnsi" w:cstheme="minorHAnsi"/>
          <w:sz w:val="22"/>
        </w:rPr>
        <w:t xml:space="preserve">. First, for policy </w:t>
      </w:r>
      <w:r>
        <w:rPr>
          <w:rFonts w:asciiTheme="minorHAnsi" w:hAnsiTheme="minorHAnsi" w:cstheme="minorHAnsi"/>
          <w:sz w:val="22"/>
        </w:rPr>
        <w:t>domains</w:t>
      </w:r>
      <w:r w:rsidRPr="002707FB">
        <w:rPr>
          <w:rFonts w:asciiTheme="minorHAnsi" w:hAnsiTheme="minorHAnsi" w:cstheme="minorHAnsi"/>
          <w:sz w:val="22"/>
        </w:rPr>
        <w:t xml:space="preserve"> characteri</w:t>
      </w:r>
      <w:r>
        <w:rPr>
          <w:rFonts w:asciiTheme="minorHAnsi" w:hAnsiTheme="minorHAnsi" w:cstheme="minorHAnsi"/>
          <w:sz w:val="22"/>
        </w:rPr>
        <w:t>z</w:t>
      </w:r>
      <w:r w:rsidRPr="002707FB">
        <w:rPr>
          <w:rFonts w:asciiTheme="minorHAnsi" w:hAnsiTheme="minorHAnsi" w:cstheme="minorHAnsi"/>
          <w:sz w:val="22"/>
        </w:rPr>
        <w:t xml:space="preserve">ed by high complexity, such as </w:t>
      </w:r>
      <w:r>
        <w:rPr>
          <w:rFonts w:asciiTheme="minorHAnsi" w:hAnsiTheme="minorHAnsi" w:cstheme="minorHAnsi"/>
          <w:sz w:val="22"/>
        </w:rPr>
        <w:t>economic policy</w:t>
      </w:r>
      <w:r w:rsidRPr="002707FB">
        <w:rPr>
          <w:rFonts w:asciiTheme="minorHAnsi" w:hAnsiTheme="minorHAnsi" w:cstheme="minorHAnsi"/>
          <w:sz w:val="22"/>
        </w:rPr>
        <w:t xml:space="preserve">, engaging widely is likely to yield better decisions. </w:t>
      </w:r>
      <w:r w:rsidRPr="002707FB">
        <w:rPr>
          <w:rFonts w:asciiTheme="minorHAnsi" w:hAnsiTheme="minorHAnsi" w:cstheme="minorHAnsi"/>
          <w:sz w:val="22"/>
          <w:lang w:val="en"/>
        </w:rPr>
        <w:t>Stakeholders bring diverse perspectives, views</w:t>
      </w:r>
      <w:r>
        <w:rPr>
          <w:rFonts w:asciiTheme="minorHAnsi" w:hAnsiTheme="minorHAnsi" w:cstheme="minorHAnsi"/>
          <w:sz w:val="22"/>
          <w:lang w:val="en"/>
        </w:rPr>
        <w:t>,</w:t>
      </w:r>
      <w:r w:rsidRPr="002707FB">
        <w:rPr>
          <w:rFonts w:asciiTheme="minorHAnsi" w:hAnsiTheme="minorHAnsi" w:cstheme="minorHAnsi"/>
          <w:sz w:val="22"/>
          <w:lang w:val="en"/>
        </w:rPr>
        <w:t xml:space="preserve"> and solutions to shaping policy and program design, enabling the sort of holistic, nuanced understanding vital to </w:t>
      </w:r>
      <w:r>
        <w:rPr>
          <w:rFonts w:asciiTheme="minorHAnsi" w:hAnsiTheme="minorHAnsi" w:cstheme="minorHAnsi"/>
          <w:sz w:val="22"/>
          <w:lang w:val="en"/>
        </w:rPr>
        <w:t xml:space="preserve">effective </w:t>
      </w:r>
      <w:r w:rsidRPr="002707FB">
        <w:rPr>
          <w:rFonts w:asciiTheme="minorHAnsi" w:hAnsiTheme="minorHAnsi" w:cstheme="minorHAnsi"/>
          <w:sz w:val="22"/>
          <w:lang w:val="en"/>
        </w:rPr>
        <w:t>decision-making</w:t>
      </w:r>
      <w:r>
        <w:rPr>
          <w:rFonts w:asciiTheme="minorHAnsi" w:hAnsiTheme="minorHAnsi" w:cstheme="minorHAnsi"/>
          <w:sz w:val="22"/>
          <w:lang w:val="en"/>
        </w:rPr>
        <w:t xml:space="preserve"> under complexity</w:t>
      </w:r>
      <w:r w:rsidRPr="002707FB">
        <w:rPr>
          <w:rFonts w:asciiTheme="minorHAnsi" w:hAnsiTheme="minorHAnsi" w:cstheme="minorHAnsi"/>
          <w:sz w:val="22"/>
        </w:rPr>
        <w:t>. Second, engagement with specific cohorts of citizens and businesses enables policy design that is responsive to diverse circumstances and meets diverse needs.</w:t>
      </w:r>
    </w:p>
    <w:p w14:paraId="375F5EBD" w14:textId="77777777" w:rsidR="000B649B" w:rsidRDefault="000B649B" w:rsidP="000B649B">
      <w:pPr>
        <w:spacing w:after="0" w:line="240" w:lineRule="auto"/>
        <w:rPr>
          <w:rFonts w:asciiTheme="minorHAnsi" w:hAnsiTheme="minorHAnsi" w:cstheme="minorHAnsi"/>
          <w:sz w:val="22"/>
        </w:rPr>
      </w:pPr>
    </w:p>
    <w:p w14:paraId="60C25CD6" w14:textId="77777777" w:rsidR="000B649B" w:rsidRPr="002707FB" w:rsidDel="00C84826" w:rsidRDefault="000B649B" w:rsidP="000B649B">
      <w:pPr>
        <w:spacing w:after="0" w:line="240" w:lineRule="auto"/>
        <w:rPr>
          <w:rFonts w:asciiTheme="minorHAnsi" w:hAnsiTheme="minorHAnsi" w:cstheme="minorHAnsi"/>
          <w:sz w:val="22"/>
        </w:rPr>
      </w:pPr>
      <w:r w:rsidDel="00C84826">
        <w:rPr>
          <w:rFonts w:asciiTheme="minorHAnsi" w:hAnsiTheme="minorHAnsi" w:cstheme="minorHAnsi"/>
          <w:sz w:val="22"/>
        </w:rPr>
        <w:t>Moreover, w</w:t>
      </w:r>
      <w:r w:rsidRPr="002707FB" w:rsidDel="00C84826">
        <w:rPr>
          <w:rFonts w:asciiTheme="minorHAnsi" w:hAnsiTheme="minorHAnsi" w:cstheme="minorHAnsi"/>
          <w:sz w:val="22"/>
        </w:rPr>
        <w:t xml:space="preserve">ell-developed engagement mechanisms can be leveraged to maintain government awareness of rapid changes in the </w:t>
      </w:r>
      <w:r w:rsidDel="00C84826">
        <w:rPr>
          <w:rFonts w:asciiTheme="minorHAnsi" w:hAnsiTheme="minorHAnsi" w:cstheme="minorHAnsi"/>
          <w:sz w:val="22"/>
        </w:rPr>
        <w:t>interacting parts of this complex</w:t>
      </w:r>
      <w:r w:rsidRPr="002707FB" w:rsidDel="00C84826">
        <w:rPr>
          <w:rFonts w:asciiTheme="minorHAnsi" w:hAnsiTheme="minorHAnsi" w:cstheme="minorHAnsi"/>
          <w:sz w:val="22"/>
        </w:rPr>
        <w:t xml:space="preserve"> environment, and to deliver appropriately targeted responses in real time. </w:t>
      </w:r>
      <w:r w:rsidDel="00C84826">
        <w:rPr>
          <w:rFonts w:asciiTheme="minorHAnsi" w:hAnsiTheme="minorHAnsi" w:cstheme="minorHAnsi"/>
          <w:sz w:val="22"/>
        </w:rPr>
        <w:t xml:space="preserve">Ongoing </w:t>
      </w:r>
      <w:r w:rsidRPr="002707FB" w:rsidDel="00C84826">
        <w:rPr>
          <w:rFonts w:asciiTheme="minorHAnsi" w:hAnsiTheme="minorHAnsi" w:cstheme="minorHAnsi"/>
          <w:sz w:val="22"/>
        </w:rPr>
        <w:t xml:space="preserve">engagement can </w:t>
      </w:r>
      <w:r w:rsidDel="00C84826">
        <w:rPr>
          <w:rFonts w:asciiTheme="minorHAnsi" w:hAnsiTheme="minorHAnsi" w:cstheme="minorHAnsi"/>
          <w:sz w:val="22"/>
        </w:rPr>
        <w:t xml:space="preserve">help </w:t>
      </w:r>
      <w:r w:rsidRPr="002707FB" w:rsidDel="00C84826">
        <w:rPr>
          <w:rFonts w:asciiTheme="minorHAnsi" w:hAnsiTheme="minorHAnsi" w:cstheme="minorHAnsi"/>
          <w:sz w:val="22"/>
        </w:rPr>
        <w:t>make policy more responsive not just to today’s circumstances, but also to ongoing economic</w:t>
      </w:r>
      <w:r w:rsidDel="00C84826">
        <w:rPr>
          <w:rFonts w:asciiTheme="minorHAnsi" w:hAnsiTheme="minorHAnsi" w:cstheme="minorHAnsi"/>
          <w:sz w:val="22"/>
        </w:rPr>
        <w:t xml:space="preserve"> and technological disruption—</w:t>
      </w:r>
      <w:r w:rsidRPr="002707FB" w:rsidDel="00C84826">
        <w:rPr>
          <w:rFonts w:asciiTheme="minorHAnsi" w:hAnsiTheme="minorHAnsi" w:cstheme="minorHAnsi"/>
          <w:sz w:val="22"/>
        </w:rPr>
        <w:t xml:space="preserve">which may otherwise outpace or overwhelm traditional policy research and design </w:t>
      </w:r>
      <w:r w:rsidDel="00C84826">
        <w:rPr>
          <w:rFonts w:asciiTheme="minorHAnsi" w:hAnsiTheme="minorHAnsi" w:cstheme="minorHAnsi"/>
          <w:sz w:val="22"/>
        </w:rPr>
        <w:t>processes</w:t>
      </w:r>
      <w:r w:rsidRPr="002707FB" w:rsidDel="00C84826">
        <w:rPr>
          <w:rFonts w:asciiTheme="minorHAnsi" w:hAnsiTheme="minorHAnsi" w:cstheme="minorHAnsi"/>
          <w:sz w:val="22"/>
        </w:rPr>
        <w:t>.</w:t>
      </w:r>
    </w:p>
    <w:p w14:paraId="1B707854" w14:textId="77777777" w:rsidR="000B649B" w:rsidRPr="002707FB" w:rsidRDefault="000B649B" w:rsidP="000B649B">
      <w:pPr>
        <w:spacing w:after="0" w:line="240" w:lineRule="auto"/>
        <w:rPr>
          <w:rFonts w:asciiTheme="minorHAnsi" w:hAnsiTheme="minorHAnsi" w:cstheme="minorHAnsi"/>
          <w:sz w:val="22"/>
        </w:rPr>
      </w:pPr>
    </w:p>
    <w:p w14:paraId="44C4E849" w14:textId="14F65185" w:rsidR="000B649B" w:rsidRPr="002707F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There is also a compelling political rationale for more and better engagement: the need to rebuild public trust in government.</w:t>
      </w:r>
      <w:r w:rsidR="00064802">
        <w:rPr>
          <w:rStyle w:val="EndnoteReference"/>
          <w:rFonts w:asciiTheme="minorHAnsi" w:hAnsiTheme="minorHAnsi" w:cstheme="minorHAnsi"/>
          <w:sz w:val="22"/>
        </w:rPr>
        <w:endnoteReference w:id="21"/>
      </w:r>
      <w:r w:rsidRPr="002707FB">
        <w:rPr>
          <w:rFonts w:asciiTheme="minorHAnsi" w:hAnsiTheme="minorHAnsi" w:cstheme="minorHAnsi"/>
          <w:sz w:val="22"/>
        </w:rPr>
        <w:t xml:space="preserve"> Australia and Canada have both seen declines in trust in government, consistent with trends across </w:t>
      </w:r>
      <w:r>
        <w:rPr>
          <w:rFonts w:asciiTheme="minorHAnsi" w:hAnsiTheme="minorHAnsi" w:cstheme="minorHAnsi"/>
          <w:sz w:val="22"/>
        </w:rPr>
        <w:t>w</w:t>
      </w:r>
      <w:r w:rsidRPr="002707FB">
        <w:rPr>
          <w:rFonts w:asciiTheme="minorHAnsi" w:hAnsiTheme="minorHAnsi" w:cstheme="minorHAnsi"/>
          <w:sz w:val="22"/>
        </w:rPr>
        <w:t>estern democracies. According to the 2018 Edelman Trust Barometer, only 46% of Canadians and 35% of Australians trust their government institutions. In Australia, satisfaction with democracy itself has also declined.</w:t>
      </w:r>
    </w:p>
    <w:p w14:paraId="51101415" w14:textId="77777777" w:rsidR="000B649B" w:rsidRPr="002707FB" w:rsidRDefault="000B649B" w:rsidP="000B649B">
      <w:pPr>
        <w:spacing w:after="0" w:line="240" w:lineRule="auto"/>
        <w:rPr>
          <w:rFonts w:asciiTheme="minorHAnsi" w:hAnsiTheme="minorHAnsi" w:cstheme="minorHAnsi"/>
          <w:sz w:val="22"/>
        </w:rPr>
      </w:pPr>
    </w:p>
    <w:p w14:paraId="70DF421E" w14:textId="77777777" w:rsidR="000B649B" w:rsidRPr="002707F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One reason for declining trust is suggested by surveys showing citizens feel voiceless in the decisions affecting them.</w:t>
      </w:r>
      <w:r w:rsidRPr="002707FB">
        <w:rPr>
          <w:rFonts w:asciiTheme="minorHAnsi" w:hAnsiTheme="minorHAnsi" w:cstheme="minorHAnsi"/>
          <w:sz w:val="22"/>
          <w:vertAlign w:val="superscript"/>
        </w:rPr>
        <w:endnoteReference w:id="22"/>
      </w:r>
      <w:r w:rsidRPr="002707FB">
        <w:rPr>
          <w:rFonts w:asciiTheme="minorHAnsi" w:hAnsiTheme="minorHAnsi" w:cstheme="minorHAnsi"/>
          <w:sz w:val="22"/>
        </w:rPr>
        <w:t xml:space="preserve"> A syndicated study from Ekos entitled </w:t>
      </w:r>
      <w:r w:rsidRPr="002707FB">
        <w:rPr>
          <w:rFonts w:asciiTheme="minorHAnsi" w:hAnsiTheme="minorHAnsi" w:cstheme="minorHAnsi"/>
          <w:i/>
          <w:sz w:val="22"/>
        </w:rPr>
        <w:t>Rethinking Citizen Engagement</w:t>
      </w:r>
      <w:r w:rsidRPr="002707FB">
        <w:rPr>
          <w:rFonts w:asciiTheme="minorHAnsi" w:hAnsiTheme="minorHAnsi" w:cstheme="minorHAnsi"/>
          <w:sz w:val="22"/>
        </w:rPr>
        <w:t xml:space="preserve"> noted that 84% of Canadians agreed with the statement “I would personally feel better about government decision-making if I knew that governments sought informed input from average citizens on a regular basis.” </w:t>
      </w:r>
      <w:r w:rsidRPr="002707FB" w:rsidDel="00C84826">
        <w:rPr>
          <w:rFonts w:asciiTheme="minorHAnsi" w:hAnsiTheme="minorHAnsi" w:cstheme="minorHAnsi"/>
          <w:sz w:val="22"/>
        </w:rPr>
        <w:t>Similarly, a recent Museum of Australian Democracy survey suggested Australians would support reforms by which “all federal institutions would have a legislative responsibility to connect-up Australian citizens with the Canberra-village in policy-making, regulation and operational delivery.”</w:t>
      </w:r>
    </w:p>
    <w:p w14:paraId="3FF86698" w14:textId="77777777" w:rsidR="000B649B" w:rsidRPr="002707FB" w:rsidRDefault="000B649B" w:rsidP="000B649B">
      <w:pPr>
        <w:spacing w:after="0" w:line="240" w:lineRule="auto"/>
        <w:rPr>
          <w:rFonts w:asciiTheme="minorHAnsi" w:hAnsiTheme="minorHAnsi" w:cstheme="minorHAnsi"/>
          <w:sz w:val="22"/>
        </w:rPr>
      </w:pPr>
    </w:p>
    <w:p w14:paraId="3784AC10" w14:textId="77777777" w:rsidR="000B649B" w:rsidRPr="002707F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 xml:space="preserve">Governments thus face pressure to move from traditional policy development approaches to one that puts citizens at the centre of policy and program design; that is, moving closer to policy </w:t>
      </w:r>
      <w:r w:rsidRPr="002707FB">
        <w:rPr>
          <w:rFonts w:asciiTheme="minorHAnsi" w:hAnsiTheme="minorHAnsi" w:cstheme="minorHAnsi"/>
          <w:i/>
          <w:sz w:val="22"/>
        </w:rPr>
        <w:t>co-design</w:t>
      </w:r>
      <w:r w:rsidRPr="002707FB">
        <w:rPr>
          <w:rFonts w:asciiTheme="minorHAnsi" w:hAnsiTheme="minorHAnsi" w:cstheme="minorHAnsi"/>
          <w:sz w:val="22"/>
        </w:rPr>
        <w:t xml:space="preserve"> rather than one-off </w:t>
      </w:r>
      <w:r w:rsidRPr="002707FB">
        <w:rPr>
          <w:rFonts w:asciiTheme="minorHAnsi" w:hAnsiTheme="minorHAnsi" w:cstheme="minorHAnsi"/>
          <w:i/>
          <w:sz w:val="22"/>
        </w:rPr>
        <w:t>consultation</w:t>
      </w:r>
      <w:r w:rsidRPr="002707FB">
        <w:rPr>
          <w:rFonts w:asciiTheme="minorHAnsi" w:hAnsiTheme="minorHAnsi" w:cstheme="minorHAnsi"/>
          <w:sz w:val="22"/>
        </w:rPr>
        <w:t>. The latter is often seen as a formality rather than a real invitation to shape policy. Moreover, there are concerns traditional consultation mechanisms such as round</w:t>
      </w:r>
      <w:r>
        <w:rPr>
          <w:rFonts w:asciiTheme="minorHAnsi" w:hAnsiTheme="minorHAnsi" w:cstheme="minorHAnsi"/>
          <w:sz w:val="22"/>
        </w:rPr>
        <w:t>tables and formal submissions (</w:t>
      </w:r>
      <w:r w:rsidRPr="002707FB">
        <w:rPr>
          <w:rFonts w:asciiTheme="minorHAnsi" w:hAnsiTheme="minorHAnsi" w:cstheme="minorHAnsi"/>
          <w:sz w:val="22"/>
        </w:rPr>
        <w:t>and informal channels based on geographical and professional proximity to top decision-makers</w:t>
      </w:r>
      <w:r>
        <w:rPr>
          <w:rFonts w:asciiTheme="minorHAnsi" w:hAnsiTheme="minorHAnsi" w:cstheme="minorHAnsi"/>
          <w:sz w:val="22"/>
        </w:rPr>
        <w:t>)</w:t>
      </w:r>
      <w:r w:rsidRPr="002707FB">
        <w:rPr>
          <w:rFonts w:asciiTheme="minorHAnsi" w:hAnsiTheme="minorHAnsi" w:cstheme="minorHAnsi"/>
          <w:sz w:val="22"/>
        </w:rPr>
        <w:t xml:space="preserve"> disproportionately advantage large </w:t>
      </w:r>
      <w:r>
        <w:rPr>
          <w:rFonts w:asciiTheme="minorHAnsi" w:hAnsiTheme="minorHAnsi" w:cstheme="minorHAnsi"/>
          <w:sz w:val="22"/>
        </w:rPr>
        <w:t>organizations</w:t>
      </w:r>
      <w:r w:rsidRPr="002707FB">
        <w:rPr>
          <w:rFonts w:asciiTheme="minorHAnsi" w:hAnsiTheme="minorHAnsi" w:cstheme="minorHAnsi"/>
          <w:sz w:val="22"/>
        </w:rPr>
        <w:t xml:space="preserve"> with professional lobbying capabilities.</w:t>
      </w:r>
      <w:r w:rsidRPr="002707FB">
        <w:rPr>
          <w:rStyle w:val="EndnoteReference"/>
          <w:rFonts w:asciiTheme="minorHAnsi" w:hAnsiTheme="minorHAnsi" w:cstheme="minorHAnsi"/>
          <w:sz w:val="22"/>
        </w:rPr>
        <w:endnoteReference w:id="23"/>
      </w:r>
    </w:p>
    <w:p w14:paraId="77C9A94A" w14:textId="77777777" w:rsidR="000B649B" w:rsidRPr="002707FB" w:rsidRDefault="000B649B" w:rsidP="000B649B">
      <w:pPr>
        <w:spacing w:after="0" w:line="240" w:lineRule="auto"/>
        <w:rPr>
          <w:rFonts w:asciiTheme="minorHAnsi" w:hAnsiTheme="minorHAnsi" w:cstheme="minorHAnsi"/>
          <w:sz w:val="22"/>
        </w:rPr>
      </w:pPr>
    </w:p>
    <w:p w14:paraId="0E708707" w14:textId="77777777" w:rsidR="000B649B" w:rsidRPr="002707FB" w:rsidRDefault="000B649B" w:rsidP="000B649B">
      <w:pPr>
        <w:spacing w:after="0" w:line="240" w:lineRule="auto"/>
        <w:rPr>
          <w:rFonts w:asciiTheme="minorHAnsi" w:hAnsiTheme="minorHAnsi" w:cstheme="minorHAnsi"/>
          <w:sz w:val="22"/>
        </w:rPr>
      </w:pPr>
      <w:r w:rsidRPr="009462A7">
        <w:rPr>
          <w:rFonts w:asciiTheme="minorHAnsi" w:hAnsiTheme="minorHAnsi" w:cstheme="minorHAnsi"/>
          <w:sz w:val="22"/>
        </w:rPr>
        <w:t xml:space="preserve">The need to shift towards policy co-design approaches may be most acute with respect to the cohorts worst served by traditional consultation mechanisms, which largely map to the categories of vulnerable populations identified in Sections II and IV.  At the same time, as we move to design effective policies with citizens, consideration should </w:t>
      </w:r>
      <w:r>
        <w:rPr>
          <w:rFonts w:asciiTheme="minorHAnsi" w:hAnsiTheme="minorHAnsi" w:cstheme="minorHAnsi"/>
          <w:sz w:val="22"/>
        </w:rPr>
        <w:t xml:space="preserve">also </w:t>
      </w:r>
      <w:r w:rsidRPr="009462A7">
        <w:rPr>
          <w:rFonts w:asciiTheme="minorHAnsi" w:hAnsiTheme="minorHAnsi" w:cstheme="minorHAnsi"/>
          <w:sz w:val="22"/>
        </w:rPr>
        <w:t xml:space="preserve">be given to the implementation of consistent Gender Based Analysis plus, which can improve outcomes when focussed on those traditionally overlooked in policy design and performance measurement. </w:t>
      </w:r>
    </w:p>
    <w:p w14:paraId="0DF8D6DC" w14:textId="77777777" w:rsidR="000B649B" w:rsidRPr="002707FB" w:rsidRDefault="000B649B" w:rsidP="000B649B">
      <w:pPr>
        <w:spacing w:after="0" w:line="240" w:lineRule="auto"/>
        <w:rPr>
          <w:rFonts w:asciiTheme="minorHAnsi" w:hAnsiTheme="minorHAnsi" w:cstheme="minorHAnsi"/>
          <w:sz w:val="22"/>
        </w:rPr>
      </w:pPr>
    </w:p>
    <w:p w14:paraId="1E577C0F" w14:textId="77777777" w:rsidR="000B649B" w:rsidRPr="002707F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The link between engagement and trust points to another way engagement enables inclusive growth policy: by rebuilding trust, engagement can deepen governments’ stock of “reform currency,”</w:t>
      </w:r>
      <w:r w:rsidRPr="002707FB">
        <w:rPr>
          <w:rFonts w:asciiTheme="minorHAnsi" w:hAnsiTheme="minorHAnsi" w:cstheme="minorHAnsi"/>
          <w:sz w:val="22"/>
          <w:vertAlign w:val="superscript"/>
        </w:rPr>
        <w:endnoteReference w:id="24"/>
      </w:r>
      <w:r w:rsidRPr="002707FB">
        <w:rPr>
          <w:rFonts w:asciiTheme="minorHAnsi" w:hAnsiTheme="minorHAnsi" w:cstheme="minorHAnsi"/>
          <w:sz w:val="22"/>
        </w:rPr>
        <w:t xml:space="preserve"> making it easier to secure a broad-based mandate for the sort of ambitious reforms countries may need to achieve inclusive growth. </w:t>
      </w:r>
    </w:p>
    <w:p w14:paraId="1D3EFF87" w14:textId="77777777" w:rsidR="000B649B" w:rsidRPr="002707FB" w:rsidRDefault="000B649B" w:rsidP="000B649B">
      <w:pPr>
        <w:spacing w:after="0" w:line="240" w:lineRule="auto"/>
        <w:rPr>
          <w:rFonts w:asciiTheme="minorHAnsi" w:hAnsiTheme="minorHAnsi" w:cstheme="minorHAnsi"/>
          <w:sz w:val="22"/>
          <w:highlight w:val="yellow"/>
          <w:lang w:val="en"/>
        </w:rPr>
      </w:pPr>
    </w:p>
    <w:p w14:paraId="14DD9ABD" w14:textId="77777777" w:rsidR="000B649B" w:rsidRPr="002707FB" w:rsidRDefault="000B649B" w:rsidP="000B649B">
      <w:pPr>
        <w:spacing w:after="0" w:line="240" w:lineRule="auto"/>
        <w:rPr>
          <w:rFonts w:asciiTheme="minorHAnsi" w:hAnsiTheme="minorHAnsi" w:cstheme="minorHAnsi"/>
          <w:sz w:val="22"/>
          <w:lang w:val="en"/>
        </w:rPr>
      </w:pPr>
      <w:r w:rsidRPr="002707FB">
        <w:rPr>
          <w:rFonts w:asciiTheme="minorHAnsi" w:hAnsiTheme="minorHAnsi" w:cstheme="minorHAnsi"/>
          <w:sz w:val="22"/>
        </w:rPr>
        <w:t xml:space="preserve">The Australian and Canadian </w:t>
      </w:r>
      <w:r>
        <w:rPr>
          <w:rFonts w:asciiTheme="minorHAnsi" w:hAnsiTheme="minorHAnsi" w:cstheme="minorHAnsi"/>
          <w:sz w:val="22"/>
        </w:rPr>
        <w:t>G</w:t>
      </w:r>
      <w:r w:rsidRPr="002707FB">
        <w:rPr>
          <w:rFonts w:asciiTheme="minorHAnsi" w:hAnsiTheme="minorHAnsi" w:cstheme="minorHAnsi"/>
          <w:sz w:val="22"/>
        </w:rPr>
        <w:t xml:space="preserve">overnments continue to explore ways to collaborate with the multitude of </w:t>
      </w:r>
      <w:r>
        <w:rPr>
          <w:rFonts w:asciiTheme="minorHAnsi" w:hAnsiTheme="minorHAnsi" w:cstheme="minorHAnsi"/>
          <w:sz w:val="22"/>
        </w:rPr>
        <w:t xml:space="preserve">relevant </w:t>
      </w:r>
      <w:r w:rsidRPr="002707FB">
        <w:rPr>
          <w:rFonts w:asciiTheme="minorHAnsi" w:hAnsiTheme="minorHAnsi" w:cstheme="minorHAnsi"/>
          <w:sz w:val="22"/>
        </w:rPr>
        <w:t xml:space="preserve">actors to develop effective and comprehensive solutions when </w:t>
      </w:r>
      <w:r w:rsidRPr="002707FB">
        <w:rPr>
          <w:rFonts w:asciiTheme="minorHAnsi" w:hAnsiTheme="minorHAnsi" w:cstheme="minorHAnsi"/>
          <w:sz w:val="22"/>
          <w:lang w:val="en"/>
        </w:rPr>
        <w:t xml:space="preserve">exploring policy and program approaches related to </w:t>
      </w:r>
      <w:r w:rsidRPr="002707FB">
        <w:rPr>
          <w:rFonts w:asciiTheme="minorHAnsi" w:hAnsiTheme="minorHAnsi" w:cstheme="minorHAnsi"/>
          <w:sz w:val="22"/>
        </w:rPr>
        <w:t>the transformation of the labour market and the economy.</w:t>
      </w:r>
      <w:r>
        <w:rPr>
          <w:rFonts w:asciiTheme="minorHAnsi" w:hAnsiTheme="minorHAnsi" w:cstheme="minorHAnsi"/>
          <w:sz w:val="22"/>
          <w:lang w:val="en"/>
        </w:rPr>
        <w:t xml:space="preserve"> For example, t</w:t>
      </w:r>
      <w:r w:rsidRPr="002707FB">
        <w:rPr>
          <w:rFonts w:asciiTheme="minorHAnsi" w:hAnsiTheme="minorHAnsi" w:cstheme="minorHAnsi"/>
          <w:sz w:val="22"/>
          <w:lang w:val="en"/>
        </w:rPr>
        <w:t xml:space="preserve">he </w:t>
      </w:r>
      <w:r>
        <w:rPr>
          <w:rFonts w:asciiTheme="minorHAnsi" w:hAnsiTheme="minorHAnsi" w:cstheme="minorHAnsi"/>
          <w:sz w:val="22"/>
          <w:lang w:val="en"/>
        </w:rPr>
        <w:t xml:space="preserve">Canadian </w:t>
      </w:r>
      <w:r w:rsidRPr="002707FB">
        <w:rPr>
          <w:rFonts w:asciiTheme="minorHAnsi" w:hAnsiTheme="minorHAnsi" w:cstheme="minorHAnsi"/>
          <w:sz w:val="22"/>
          <w:lang w:val="en"/>
        </w:rPr>
        <w:t>Government has made strides through improved consul</w:t>
      </w:r>
      <w:r>
        <w:rPr>
          <w:rFonts w:asciiTheme="minorHAnsi" w:hAnsiTheme="minorHAnsi" w:cstheme="minorHAnsi"/>
          <w:sz w:val="22"/>
          <w:lang w:val="en"/>
        </w:rPr>
        <w:t>tations and “innovation labs”—</w:t>
      </w:r>
      <w:r w:rsidRPr="002707FB">
        <w:rPr>
          <w:rFonts w:asciiTheme="minorHAnsi" w:hAnsiTheme="minorHAnsi" w:cstheme="minorHAnsi"/>
          <w:sz w:val="22"/>
          <w:lang w:val="en"/>
        </w:rPr>
        <w:t>a means of bringing citizens to the front and centre of p</w:t>
      </w:r>
      <w:r>
        <w:rPr>
          <w:rFonts w:asciiTheme="minorHAnsi" w:hAnsiTheme="minorHAnsi" w:cstheme="minorHAnsi"/>
          <w:sz w:val="22"/>
          <w:lang w:val="en"/>
        </w:rPr>
        <w:t>olicy and program development—</w:t>
      </w:r>
      <w:r w:rsidRPr="002707FB">
        <w:rPr>
          <w:rFonts w:asciiTheme="minorHAnsi" w:hAnsiTheme="minorHAnsi" w:cstheme="minorHAnsi"/>
          <w:sz w:val="22"/>
          <w:lang w:val="en"/>
        </w:rPr>
        <w:t xml:space="preserve">and social media.  </w:t>
      </w:r>
      <w:r>
        <w:rPr>
          <w:rFonts w:asciiTheme="minorHAnsi" w:hAnsiTheme="minorHAnsi" w:cstheme="minorHAnsi"/>
          <w:sz w:val="22"/>
          <w:lang w:val="en"/>
        </w:rPr>
        <w:t xml:space="preserve">The </w:t>
      </w:r>
      <w:r w:rsidRPr="002707FB">
        <w:rPr>
          <w:rFonts w:asciiTheme="minorHAnsi" w:hAnsiTheme="minorHAnsi" w:cstheme="minorHAnsi"/>
          <w:sz w:val="22"/>
          <w:lang w:val="en"/>
        </w:rPr>
        <w:t>Aus</w:t>
      </w:r>
      <w:r>
        <w:rPr>
          <w:rFonts w:asciiTheme="minorHAnsi" w:hAnsiTheme="minorHAnsi" w:cstheme="minorHAnsi"/>
          <w:sz w:val="22"/>
          <w:lang w:val="en"/>
        </w:rPr>
        <w:t>tralian Government’s Public Service Moderniz</w:t>
      </w:r>
      <w:r w:rsidRPr="002707FB">
        <w:rPr>
          <w:rFonts w:asciiTheme="minorHAnsi" w:hAnsiTheme="minorHAnsi" w:cstheme="minorHAnsi"/>
          <w:sz w:val="22"/>
          <w:lang w:val="en"/>
        </w:rPr>
        <w:t xml:space="preserve">ation </w:t>
      </w:r>
      <w:r>
        <w:rPr>
          <w:rFonts w:asciiTheme="minorHAnsi" w:hAnsiTheme="minorHAnsi" w:cstheme="minorHAnsi"/>
          <w:sz w:val="22"/>
          <w:lang w:val="en"/>
        </w:rPr>
        <w:t>P</w:t>
      </w:r>
      <w:r w:rsidRPr="002707FB">
        <w:rPr>
          <w:rFonts w:asciiTheme="minorHAnsi" w:hAnsiTheme="minorHAnsi" w:cstheme="minorHAnsi"/>
          <w:sz w:val="22"/>
          <w:lang w:val="en"/>
        </w:rPr>
        <w:t>rogram includes a stream focused on Citizen and Business Engagement, l</w:t>
      </w:r>
      <w:r>
        <w:rPr>
          <w:rFonts w:asciiTheme="minorHAnsi" w:hAnsiTheme="minorHAnsi" w:cstheme="minorHAnsi"/>
          <w:sz w:val="22"/>
          <w:lang w:val="en"/>
        </w:rPr>
        <w:t>ed at the highest level of the Australian P</w:t>
      </w:r>
      <w:r w:rsidRPr="002707FB">
        <w:rPr>
          <w:rFonts w:asciiTheme="minorHAnsi" w:hAnsiTheme="minorHAnsi" w:cstheme="minorHAnsi"/>
          <w:sz w:val="22"/>
          <w:lang w:val="en"/>
        </w:rPr>
        <w:t xml:space="preserve">ublic </w:t>
      </w:r>
      <w:r>
        <w:rPr>
          <w:rFonts w:asciiTheme="minorHAnsi" w:hAnsiTheme="minorHAnsi" w:cstheme="minorHAnsi"/>
          <w:sz w:val="22"/>
          <w:lang w:val="en"/>
        </w:rPr>
        <w:t>S</w:t>
      </w:r>
      <w:r w:rsidRPr="002707FB">
        <w:rPr>
          <w:rFonts w:asciiTheme="minorHAnsi" w:hAnsiTheme="minorHAnsi" w:cstheme="minorHAnsi"/>
          <w:sz w:val="22"/>
          <w:lang w:val="en"/>
        </w:rPr>
        <w:t xml:space="preserve">ervice </w:t>
      </w:r>
      <w:r>
        <w:rPr>
          <w:rFonts w:asciiTheme="minorHAnsi" w:hAnsiTheme="minorHAnsi" w:cstheme="minorHAnsi"/>
          <w:sz w:val="22"/>
          <w:lang w:val="en"/>
        </w:rPr>
        <w:t xml:space="preserve">(APS) </w:t>
      </w:r>
      <w:r w:rsidRPr="002707FB">
        <w:rPr>
          <w:rFonts w:asciiTheme="minorHAnsi" w:hAnsiTheme="minorHAnsi" w:cstheme="minorHAnsi"/>
          <w:sz w:val="22"/>
          <w:lang w:val="en"/>
        </w:rPr>
        <w:t>through the Secretaries Board</w:t>
      </w:r>
      <w:r>
        <w:rPr>
          <w:rFonts w:asciiTheme="minorHAnsi" w:hAnsiTheme="minorHAnsi" w:cstheme="minorHAnsi"/>
          <w:sz w:val="22"/>
          <w:lang w:val="en"/>
        </w:rPr>
        <w:t>. T</w:t>
      </w:r>
      <w:r w:rsidRPr="002707FB">
        <w:rPr>
          <w:rFonts w:asciiTheme="minorHAnsi" w:hAnsiTheme="minorHAnsi" w:cstheme="minorHAnsi"/>
          <w:sz w:val="22"/>
          <w:lang w:val="en"/>
        </w:rPr>
        <w:t xml:space="preserve">he </w:t>
      </w:r>
      <w:r>
        <w:rPr>
          <w:rFonts w:asciiTheme="minorHAnsi" w:hAnsiTheme="minorHAnsi" w:cstheme="minorHAnsi"/>
          <w:sz w:val="22"/>
          <w:lang w:val="en"/>
        </w:rPr>
        <w:t xml:space="preserve">APS’s </w:t>
      </w:r>
      <w:r w:rsidRPr="002707FB">
        <w:rPr>
          <w:rFonts w:asciiTheme="minorHAnsi" w:hAnsiTheme="minorHAnsi" w:cstheme="minorHAnsi"/>
          <w:sz w:val="22"/>
          <w:lang w:val="en"/>
        </w:rPr>
        <w:t>engagement capability is also a key consideration in a landmark Independent Review of the</w:t>
      </w:r>
      <w:r>
        <w:rPr>
          <w:rFonts w:asciiTheme="minorHAnsi" w:hAnsiTheme="minorHAnsi" w:cstheme="minorHAnsi"/>
          <w:sz w:val="22"/>
          <w:lang w:val="en"/>
        </w:rPr>
        <w:t xml:space="preserve"> APS</w:t>
      </w:r>
      <w:r w:rsidRPr="002707FB">
        <w:rPr>
          <w:rFonts w:asciiTheme="minorHAnsi" w:hAnsiTheme="minorHAnsi" w:cstheme="minorHAnsi"/>
          <w:sz w:val="22"/>
          <w:lang w:val="en"/>
        </w:rPr>
        <w:t xml:space="preserve"> commenced in early 2018.</w:t>
      </w:r>
    </w:p>
    <w:p w14:paraId="1485FD16" w14:textId="77777777" w:rsidR="000B649B" w:rsidRPr="002707FB" w:rsidRDefault="000B649B" w:rsidP="000B649B">
      <w:pPr>
        <w:spacing w:after="0" w:line="240" w:lineRule="auto"/>
        <w:rPr>
          <w:rFonts w:asciiTheme="minorHAnsi" w:hAnsiTheme="minorHAnsi" w:cstheme="minorHAnsi"/>
          <w:sz w:val="22"/>
          <w:lang w:val="en"/>
        </w:rPr>
      </w:pPr>
    </w:p>
    <w:p w14:paraId="734ADFD9" w14:textId="77777777" w:rsidR="000B649B" w:rsidRPr="002707FB" w:rsidRDefault="000B649B" w:rsidP="000B649B">
      <w:pPr>
        <w:widowControl w:val="0"/>
        <w:autoSpaceDE w:val="0"/>
        <w:autoSpaceDN w:val="0"/>
        <w:adjustRightInd w:val="0"/>
        <w:spacing w:line="240" w:lineRule="auto"/>
        <w:contextualSpacing/>
        <w:rPr>
          <w:rFonts w:asciiTheme="minorHAnsi" w:hAnsiTheme="minorHAnsi" w:cstheme="minorHAnsi"/>
          <w:sz w:val="22"/>
        </w:rPr>
      </w:pPr>
      <w:r w:rsidRPr="002707FB">
        <w:rPr>
          <w:rFonts w:asciiTheme="minorHAnsi" w:hAnsiTheme="minorHAnsi" w:cstheme="minorHAnsi"/>
          <w:sz w:val="22"/>
          <w:lang w:val="en"/>
        </w:rPr>
        <w:t>Both governments have also progressed against commitments to increase transparency and trust through Open Government initiatives. In 2018, Canada reached an important milestone on open data, tying with the UK for the top s</w:t>
      </w:r>
      <w:r>
        <w:rPr>
          <w:rFonts w:asciiTheme="minorHAnsi" w:hAnsiTheme="minorHAnsi" w:cstheme="minorHAnsi"/>
          <w:sz w:val="22"/>
          <w:lang w:val="en"/>
        </w:rPr>
        <w:t>pot on the Open Data Barometer—</w:t>
      </w:r>
      <w:r w:rsidRPr="002707FB">
        <w:rPr>
          <w:rFonts w:asciiTheme="minorHAnsi" w:hAnsiTheme="minorHAnsi" w:cstheme="minorHAnsi"/>
          <w:sz w:val="22"/>
          <w:lang w:val="en"/>
        </w:rPr>
        <w:t xml:space="preserve">a global measure of how governments are publishing and using open data for accountability, innovation and social impact. Canada is also the current chair of the multilateral Open Government Partnership (OGP), of which Australia is also a member. </w:t>
      </w:r>
      <w:r w:rsidRPr="002707FB">
        <w:rPr>
          <w:rFonts w:asciiTheme="minorHAnsi" w:hAnsiTheme="minorHAnsi" w:cstheme="minorHAnsi"/>
          <w:sz w:val="22"/>
        </w:rPr>
        <w:t>Canada will be hosting the OGP Global Summit in Ottawa from May 29-31, 2019.  Canada’s priorities for the Global Summit 2019 will focus on three main principles: inclusion, participation</w:t>
      </w:r>
      <w:r>
        <w:rPr>
          <w:rFonts w:asciiTheme="minorHAnsi" w:hAnsiTheme="minorHAnsi" w:cstheme="minorHAnsi"/>
          <w:sz w:val="22"/>
        </w:rPr>
        <w:t>,</w:t>
      </w:r>
      <w:r w:rsidRPr="002707FB">
        <w:rPr>
          <w:rFonts w:asciiTheme="minorHAnsi" w:hAnsiTheme="minorHAnsi" w:cstheme="minorHAnsi"/>
          <w:sz w:val="22"/>
        </w:rPr>
        <w:t xml:space="preserve"> and impact. </w:t>
      </w:r>
      <w:r w:rsidRPr="002707FB">
        <w:rPr>
          <w:rFonts w:asciiTheme="minorHAnsi" w:hAnsiTheme="minorHAnsi" w:cstheme="minorHAnsi"/>
          <w:sz w:val="22"/>
          <w:lang w:val="en"/>
        </w:rPr>
        <w:t xml:space="preserve">Australia’s recent commitments under the OGP include developing an engagement framework and online resources hub for use across the </w:t>
      </w:r>
      <w:r>
        <w:rPr>
          <w:rFonts w:asciiTheme="minorHAnsi" w:hAnsiTheme="minorHAnsi" w:cstheme="minorHAnsi"/>
          <w:sz w:val="22"/>
          <w:lang w:val="en"/>
        </w:rPr>
        <w:t>APS</w:t>
      </w:r>
      <w:r w:rsidRPr="002707FB">
        <w:rPr>
          <w:rFonts w:asciiTheme="minorHAnsi" w:hAnsiTheme="minorHAnsi" w:cstheme="minorHAnsi"/>
          <w:sz w:val="22"/>
          <w:lang w:val="en"/>
        </w:rPr>
        <w:t>, to guide and support public servants to engage more effectively with citizens, the community</w:t>
      </w:r>
      <w:r>
        <w:rPr>
          <w:rFonts w:asciiTheme="minorHAnsi" w:hAnsiTheme="minorHAnsi" w:cstheme="minorHAnsi"/>
          <w:sz w:val="22"/>
          <w:lang w:val="en"/>
        </w:rPr>
        <w:t>,</w:t>
      </w:r>
      <w:r w:rsidRPr="002707FB">
        <w:rPr>
          <w:rFonts w:asciiTheme="minorHAnsi" w:hAnsiTheme="minorHAnsi" w:cstheme="minorHAnsi"/>
          <w:sz w:val="22"/>
          <w:lang w:val="en"/>
        </w:rPr>
        <w:t xml:space="preserve"> and businesses.</w:t>
      </w:r>
      <w:r w:rsidRPr="002707FB">
        <w:rPr>
          <w:rFonts w:asciiTheme="minorHAnsi" w:hAnsiTheme="minorHAnsi" w:cstheme="minorHAnsi"/>
          <w:sz w:val="22"/>
          <w:vertAlign w:val="superscript"/>
          <w:lang w:val="en"/>
        </w:rPr>
        <w:endnoteReference w:id="25"/>
      </w:r>
    </w:p>
    <w:p w14:paraId="1A7A8424" w14:textId="77777777" w:rsidR="000B649B" w:rsidRPr="002707FB" w:rsidRDefault="000B649B" w:rsidP="000B649B">
      <w:pPr>
        <w:spacing w:after="0" w:line="240" w:lineRule="auto"/>
        <w:rPr>
          <w:rFonts w:asciiTheme="minorHAnsi" w:hAnsiTheme="minorHAnsi" w:cstheme="minorHAnsi"/>
          <w:sz w:val="22"/>
          <w:lang w:val="en"/>
        </w:rPr>
      </w:pPr>
    </w:p>
    <w:p w14:paraId="692C19BD" w14:textId="77777777" w:rsidR="000B649B" w:rsidRDefault="000B649B" w:rsidP="000B649B">
      <w:pPr>
        <w:spacing w:after="0" w:line="240" w:lineRule="auto"/>
        <w:rPr>
          <w:rFonts w:asciiTheme="minorHAnsi" w:hAnsiTheme="minorHAnsi" w:cstheme="minorHAnsi"/>
          <w:sz w:val="22"/>
          <w:lang w:val="en"/>
        </w:rPr>
      </w:pPr>
      <w:r w:rsidRPr="002707FB">
        <w:rPr>
          <w:rFonts w:asciiTheme="minorHAnsi" w:hAnsiTheme="minorHAnsi" w:cstheme="minorHAnsi"/>
          <w:sz w:val="22"/>
          <w:lang w:val="en"/>
        </w:rPr>
        <w:t xml:space="preserve">However, Australia and Canada </w:t>
      </w:r>
      <w:r>
        <w:rPr>
          <w:rFonts w:asciiTheme="minorHAnsi" w:hAnsiTheme="minorHAnsi" w:cstheme="minorHAnsi"/>
          <w:sz w:val="22"/>
          <w:lang w:val="en"/>
        </w:rPr>
        <w:t xml:space="preserve">also </w:t>
      </w:r>
      <w:r w:rsidRPr="002707FB">
        <w:rPr>
          <w:rFonts w:asciiTheme="minorHAnsi" w:hAnsiTheme="minorHAnsi" w:cstheme="minorHAnsi"/>
          <w:sz w:val="22"/>
          <w:lang w:val="en"/>
        </w:rPr>
        <w:t xml:space="preserve">face common challenges related to the size and heterogeneity of their territories and federal models of government. As such, both countries </w:t>
      </w:r>
      <w:r>
        <w:rPr>
          <w:rFonts w:asciiTheme="minorHAnsi" w:hAnsiTheme="minorHAnsi" w:cstheme="minorHAnsi"/>
          <w:sz w:val="22"/>
          <w:lang w:val="en"/>
        </w:rPr>
        <w:t xml:space="preserve">must </w:t>
      </w:r>
      <w:r w:rsidRPr="002707FB">
        <w:rPr>
          <w:rFonts w:asciiTheme="minorHAnsi" w:hAnsiTheme="minorHAnsi" w:cstheme="minorHAnsi"/>
          <w:sz w:val="22"/>
          <w:lang w:val="en"/>
        </w:rPr>
        <w:t xml:space="preserve">align policy </w:t>
      </w:r>
      <w:r>
        <w:rPr>
          <w:rFonts w:asciiTheme="minorHAnsi" w:hAnsiTheme="minorHAnsi" w:cstheme="minorHAnsi"/>
          <w:sz w:val="22"/>
          <w:lang w:val="en"/>
        </w:rPr>
        <w:t>across</w:t>
      </w:r>
      <w:r w:rsidRPr="002707FB">
        <w:rPr>
          <w:rFonts w:asciiTheme="minorHAnsi" w:hAnsiTheme="minorHAnsi" w:cstheme="minorHAnsi"/>
          <w:sz w:val="22"/>
          <w:lang w:val="en"/>
        </w:rPr>
        <w:t xml:space="preserve"> multiple levels of government to effectively deliver solutions tailored to regions, cities, communities, and the unique nee</w:t>
      </w:r>
      <w:r>
        <w:rPr>
          <w:rFonts w:asciiTheme="minorHAnsi" w:hAnsiTheme="minorHAnsi" w:cstheme="minorHAnsi"/>
          <w:sz w:val="22"/>
          <w:lang w:val="en"/>
        </w:rPr>
        <w:t>ds of very different citizens.</w:t>
      </w:r>
    </w:p>
    <w:p w14:paraId="5BE45E7F" w14:textId="77777777" w:rsidR="000B649B" w:rsidRDefault="000B649B" w:rsidP="000B649B">
      <w:pPr>
        <w:spacing w:after="0" w:line="240" w:lineRule="auto"/>
        <w:rPr>
          <w:rFonts w:asciiTheme="minorHAnsi" w:hAnsiTheme="minorHAnsi" w:cstheme="minorHAnsi"/>
          <w:sz w:val="22"/>
          <w:lang w:val="en"/>
        </w:rPr>
      </w:pPr>
    </w:p>
    <w:p w14:paraId="630A0B1F" w14:textId="77777777" w:rsidR="000B649B" w:rsidRDefault="000B649B" w:rsidP="000B649B">
      <w:pPr>
        <w:spacing w:after="0" w:line="240" w:lineRule="auto"/>
        <w:rPr>
          <w:rFonts w:asciiTheme="minorHAnsi" w:hAnsiTheme="minorHAnsi" w:cstheme="minorHAnsi"/>
          <w:sz w:val="22"/>
          <w:lang w:val="en"/>
        </w:rPr>
      </w:pPr>
      <w:r>
        <w:rPr>
          <w:rFonts w:asciiTheme="minorHAnsi" w:hAnsiTheme="minorHAnsi" w:cstheme="minorHAnsi"/>
          <w:sz w:val="22"/>
          <w:lang w:val="en"/>
        </w:rPr>
        <w:t>Moreover</w:t>
      </w:r>
      <w:r w:rsidRPr="002707FB">
        <w:rPr>
          <w:rFonts w:asciiTheme="minorHAnsi" w:hAnsiTheme="minorHAnsi" w:cstheme="minorHAnsi"/>
          <w:sz w:val="22"/>
          <w:lang w:val="en"/>
        </w:rPr>
        <w:t>, engagement in-person can be a challenge for both countries given their size.  While digital technology has helped to foster engagement to some degree, this remains a concern for certain segments of the population who remain uncomfortable with new technologies</w:t>
      </w:r>
      <w:r>
        <w:rPr>
          <w:rFonts w:asciiTheme="minorHAnsi" w:hAnsiTheme="minorHAnsi" w:cstheme="minorHAnsi"/>
          <w:sz w:val="22"/>
          <w:lang w:val="en"/>
        </w:rPr>
        <w:t>, or who live</w:t>
      </w:r>
      <w:r w:rsidRPr="002707FB">
        <w:rPr>
          <w:rFonts w:asciiTheme="minorHAnsi" w:hAnsiTheme="minorHAnsi" w:cstheme="minorHAnsi"/>
          <w:sz w:val="22"/>
          <w:lang w:val="en"/>
        </w:rPr>
        <w:t xml:space="preserve"> in rural and remote communities where broadband access can be an issue.</w:t>
      </w:r>
      <w:r w:rsidRPr="002707FB">
        <w:rPr>
          <w:rStyle w:val="EndnoteReference"/>
          <w:rFonts w:asciiTheme="minorHAnsi" w:hAnsiTheme="minorHAnsi" w:cstheme="minorHAnsi"/>
          <w:sz w:val="22"/>
          <w:lang w:val="en"/>
        </w:rPr>
        <w:endnoteReference w:id="26"/>
      </w:r>
      <w:r>
        <w:rPr>
          <w:rFonts w:asciiTheme="minorHAnsi" w:hAnsiTheme="minorHAnsi" w:cstheme="minorHAnsi"/>
          <w:sz w:val="22"/>
          <w:lang w:val="en"/>
        </w:rPr>
        <w:t xml:space="preserve"> </w:t>
      </w:r>
      <w:r w:rsidRPr="002707FB">
        <w:rPr>
          <w:rFonts w:asciiTheme="minorHAnsi" w:hAnsiTheme="minorHAnsi" w:cstheme="minorHAnsi"/>
          <w:sz w:val="22"/>
          <w:lang w:val="en"/>
        </w:rPr>
        <w:t>Further improvements to digital engagement platforms, including ease of use, are needed to help foster engagement and help address the particular needs of different segments of the population and communities.</w:t>
      </w:r>
    </w:p>
    <w:p w14:paraId="13598E10" w14:textId="77777777" w:rsidR="000B649B" w:rsidRDefault="000B649B" w:rsidP="000B649B">
      <w:pPr>
        <w:spacing w:after="0" w:line="240" w:lineRule="auto"/>
        <w:rPr>
          <w:rFonts w:asciiTheme="minorHAnsi" w:hAnsiTheme="minorHAnsi" w:cstheme="minorHAnsi"/>
          <w:sz w:val="22"/>
          <w:lang w:val="en"/>
        </w:rPr>
      </w:pPr>
    </w:p>
    <w:p w14:paraId="6DABC191" w14:textId="77777777" w:rsidR="000B649B" w:rsidRDefault="000B649B" w:rsidP="000B649B">
      <w:pPr>
        <w:spacing w:after="0" w:line="240" w:lineRule="auto"/>
        <w:rPr>
          <w:rFonts w:asciiTheme="minorHAnsi" w:hAnsiTheme="minorHAnsi" w:cstheme="minorHAnsi"/>
          <w:sz w:val="22"/>
          <w:lang w:val="en"/>
        </w:rPr>
      </w:pPr>
      <w:r>
        <w:rPr>
          <w:rFonts w:asciiTheme="minorHAnsi" w:hAnsiTheme="minorHAnsi" w:cstheme="minorHAnsi"/>
          <w:sz w:val="22"/>
          <w:lang w:val="en"/>
        </w:rPr>
        <w:t>Both governments see</w:t>
      </w:r>
      <w:r w:rsidRPr="002707FB">
        <w:rPr>
          <w:rFonts w:asciiTheme="minorHAnsi" w:hAnsiTheme="minorHAnsi" w:cstheme="minorHAnsi"/>
          <w:sz w:val="22"/>
          <w:lang w:val="en"/>
        </w:rPr>
        <w:t xml:space="preserve"> an opportunity—and a responsibility—to lead the way </w:t>
      </w:r>
      <w:r>
        <w:rPr>
          <w:rFonts w:asciiTheme="minorHAnsi" w:hAnsiTheme="minorHAnsi" w:cstheme="minorHAnsi"/>
          <w:sz w:val="22"/>
          <w:lang w:val="en"/>
        </w:rPr>
        <w:t xml:space="preserve">on </w:t>
      </w:r>
      <w:r w:rsidRPr="002707FB">
        <w:rPr>
          <w:rFonts w:asciiTheme="minorHAnsi" w:hAnsiTheme="minorHAnsi" w:cstheme="minorHAnsi"/>
          <w:sz w:val="22"/>
          <w:lang w:val="en"/>
        </w:rPr>
        <w:t xml:space="preserve">digital innovation to support more widespread adoption of digital tools, and to better serve </w:t>
      </w:r>
      <w:r>
        <w:rPr>
          <w:rFonts w:asciiTheme="minorHAnsi" w:hAnsiTheme="minorHAnsi" w:cstheme="minorHAnsi"/>
          <w:sz w:val="22"/>
          <w:lang w:val="en"/>
        </w:rPr>
        <w:t xml:space="preserve">their citizens. As </w:t>
      </w:r>
      <w:r w:rsidRPr="002707FB">
        <w:rPr>
          <w:rFonts w:asciiTheme="minorHAnsi" w:hAnsiTheme="minorHAnsi" w:cstheme="minorHAnsi"/>
          <w:sz w:val="22"/>
          <w:lang w:val="en"/>
        </w:rPr>
        <w:t>technology improves</w:t>
      </w:r>
      <w:r>
        <w:rPr>
          <w:rFonts w:asciiTheme="minorHAnsi" w:hAnsiTheme="minorHAnsi" w:cstheme="minorHAnsi"/>
          <w:sz w:val="22"/>
          <w:lang w:val="en"/>
        </w:rPr>
        <w:t>,</w:t>
      </w:r>
      <w:r w:rsidRPr="002707FB">
        <w:rPr>
          <w:rFonts w:asciiTheme="minorHAnsi" w:hAnsiTheme="minorHAnsi" w:cstheme="minorHAnsi"/>
          <w:sz w:val="22"/>
          <w:lang w:val="en"/>
        </w:rPr>
        <w:t xml:space="preserve"> and Australians and Canadians experience increasingly convenient, customized, accurate, and responsive services in the private sector, expectations of government engagement and tailored service delivery are</w:t>
      </w:r>
      <w:r>
        <w:rPr>
          <w:rFonts w:asciiTheme="minorHAnsi" w:hAnsiTheme="minorHAnsi" w:cstheme="minorHAnsi"/>
          <w:sz w:val="22"/>
          <w:lang w:val="en"/>
        </w:rPr>
        <w:t xml:space="preserve"> also rising.  Both governments face the challenge that w</w:t>
      </w:r>
      <w:r w:rsidRPr="002707FB">
        <w:rPr>
          <w:rFonts w:asciiTheme="minorHAnsi" w:hAnsiTheme="minorHAnsi" w:cstheme="minorHAnsi"/>
          <w:sz w:val="22"/>
          <w:lang w:val="en"/>
        </w:rPr>
        <w:t xml:space="preserve">hen those expectations are not met, whether because of groups being left out, bureaucratic </w:t>
      </w:r>
      <w:r>
        <w:rPr>
          <w:rFonts w:asciiTheme="minorHAnsi" w:hAnsiTheme="minorHAnsi" w:cstheme="minorHAnsi"/>
          <w:sz w:val="22"/>
          <w:lang w:val="en"/>
        </w:rPr>
        <w:t xml:space="preserve">or legal </w:t>
      </w:r>
      <w:r w:rsidRPr="002707FB">
        <w:rPr>
          <w:rFonts w:asciiTheme="minorHAnsi" w:hAnsiTheme="minorHAnsi" w:cstheme="minorHAnsi"/>
          <w:sz w:val="22"/>
          <w:lang w:val="en"/>
        </w:rPr>
        <w:t xml:space="preserve">complexity, </w:t>
      </w:r>
      <w:r>
        <w:rPr>
          <w:rFonts w:asciiTheme="minorHAnsi" w:hAnsiTheme="minorHAnsi" w:cstheme="minorHAnsi"/>
          <w:sz w:val="22"/>
          <w:lang w:val="en"/>
        </w:rPr>
        <w:t xml:space="preserve">or </w:t>
      </w:r>
      <w:r w:rsidRPr="002707FB">
        <w:rPr>
          <w:rFonts w:asciiTheme="minorHAnsi" w:hAnsiTheme="minorHAnsi" w:cstheme="minorHAnsi"/>
          <w:sz w:val="22"/>
          <w:lang w:val="en"/>
        </w:rPr>
        <w:t xml:space="preserve">engagement </w:t>
      </w:r>
      <w:r>
        <w:rPr>
          <w:rFonts w:asciiTheme="minorHAnsi" w:hAnsiTheme="minorHAnsi" w:cstheme="minorHAnsi"/>
          <w:sz w:val="22"/>
          <w:lang w:val="en"/>
        </w:rPr>
        <w:t xml:space="preserve">or digital </w:t>
      </w:r>
      <w:r w:rsidRPr="002707FB">
        <w:rPr>
          <w:rFonts w:asciiTheme="minorHAnsi" w:hAnsiTheme="minorHAnsi" w:cstheme="minorHAnsi"/>
          <w:sz w:val="22"/>
          <w:lang w:val="en"/>
        </w:rPr>
        <w:t>capability shortfalls</w:t>
      </w:r>
      <w:r>
        <w:rPr>
          <w:rFonts w:asciiTheme="minorHAnsi" w:hAnsiTheme="minorHAnsi" w:cstheme="minorHAnsi"/>
          <w:sz w:val="22"/>
          <w:lang w:val="en"/>
        </w:rPr>
        <w:t xml:space="preserve">, </w:t>
      </w:r>
      <w:r w:rsidRPr="002707FB">
        <w:rPr>
          <w:rFonts w:asciiTheme="minorHAnsi" w:hAnsiTheme="minorHAnsi" w:cstheme="minorHAnsi"/>
          <w:sz w:val="22"/>
          <w:lang w:val="en"/>
        </w:rPr>
        <w:t xml:space="preserve">confidence and trust </w:t>
      </w:r>
      <w:r>
        <w:rPr>
          <w:rFonts w:asciiTheme="minorHAnsi" w:hAnsiTheme="minorHAnsi" w:cstheme="minorHAnsi"/>
          <w:sz w:val="22"/>
          <w:lang w:val="en"/>
        </w:rPr>
        <w:t xml:space="preserve">in government </w:t>
      </w:r>
      <w:r w:rsidRPr="002707FB">
        <w:rPr>
          <w:rFonts w:asciiTheme="minorHAnsi" w:hAnsiTheme="minorHAnsi" w:cstheme="minorHAnsi"/>
          <w:sz w:val="22"/>
          <w:lang w:val="en"/>
        </w:rPr>
        <w:t>can be undermined.</w:t>
      </w:r>
    </w:p>
    <w:p w14:paraId="712DDBFF" w14:textId="77777777" w:rsidR="000B649B" w:rsidRDefault="000B649B" w:rsidP="000B649B">
      <w:pPr>
        <w:spacing w:after="0" w:line="240" w:lineRule="auto"/>
        <w:rPr>
          <w:rFonts w:asciiTheme="minorHAnsi" w:hAnsiTheme="minorHAnsi" w:cstheme="minorHAnsi"/>
          <w:sz w:val="22"/>
          <w:lang w:val="en"/>
        </w:rPr>
      </w:pPr>
    </w:p>
    <w:p w14:paraId="075DBD73" w14:textId="77777777" w:rsidR="000B649B" w:rsidRPr="002707FB" w:rsidRDefault="000B649B" w:rsidP="000B649B">
      <w:pPr>
        <w:pStyle w:val="Heading2"/>
        <w:rPr>
          <w:rFonts w:asciiTheme="minorHAnsi" w:hAnsiTheme="minorHAnsi" w:cstheme="minorHAnsi"/>
          <w:sz w:val="22"/>
          <w:lang w:val="en"/>
        </w:rPr>
      </w:pPr>
      <w:r w:rsidRPr="002707FB">
        <w:rPr>
          <w:rFonts w:asciiTheme="minorHAnsi" w:hAnsiTheme="minorHAnsi" w:cstheme="minorHAnsi"/>
          <w:sz w:val="22"/>
          <w:lang w:val="en"/>
        </w:rPr>
        <w:t xml:space="preserve">Australian </w:t>
      </w:r>
      <w:r>
        <w:rPr>
          <w:rFonts w:asciiTheme="minorHAnsi" w:hAnsiTheme="minorHAnsi" w:cstheme="minorHAnsi"/>
          <w:sz w:val="22"/>
          <w:lang w:val="en"/>
        </w:rPr>
        <w:t>challenges and policy responses</w:t>
      </w:r>
      <w:r w:rsidRPr="002707FB">
        <w:rPr>
          <w:rFonts w:asciiTheme="minorHAnsi" w:hAnsiTheme="minorHAnsi" w:cstheme="minorHAnsi"/>
          <w:sz w:val="22"/>
          <w:lang w:val="en"/>
        </w:rPr>
        <w:t xml:space="preserve"> </w:t>
      </w:r>
    </w:p>
    <w:p w14:paraId="3239A957" w14:textId="77777777" w:rsidR="000B649B" w:rsidRPr="002707FB" w:rsidRDefault="000B649B" w:rsidP="000B649B">
      <w:pPr>
        <w:spacing w:after="0" w:line="240" w:lineRule="auto"/>
        <w:rPr>
          <w:rFonts w:asciiTheme="minorHAnsi" w:hAnsiTheme="minorHAnsi" w:cstheme="minorHAnsi"/>
          <w:sz w:val="22"/>
          <w:lang w:val="en"/>
        </w:rPr>
      </w:pPr>
      <w:r>
        <w:rPr>
          <w:rFonts w:asciiTheme="minorHAnsi" w:hAnsiTheme="minorHAnsi" w:cstheme="minorHAnsi"/>
          <w:sz w:val="22"/>
          <w:lang w:val="en"/>
        </w:rPr>
        <w:t xml:space="preserve">The </w:t>
      </w:r>
      <w:r w:rsidRPr="002707FB">
        <w:rPr>
          <w:rFonts w:asciiTheme="minorHAnsi" w:hAnsiTheme="minorHAnsi" w:cstheme="minorHAnsi"/>
          <w:sz w:val="22"/>
          <w:lang w:val="en"/>
        </w:rPr>
        <w:t>Australia</w:t>
      </w:r>
      <w:r>
        <w:rPr>
          <w:rFonts w:asciiTheme="minorHAnsi" w:hAnsiTheme="minorHAnsi" w:cstheme="minorHAnsi"/>
          <w:sz w:val="22"/>
          <w:lang w:val="en"/>
        </w:rPr>
        <w:t>n Government</w:t>
      </w:r>
      <w:r w:rsidRPr="002707FB">
        <w:rPr>
          <w:rFonts w:asciiTheme="minorHAnsi" w:hAnsiTheme="minorHAnsi" w:cstheme="minorHAnsi"/>
          <w:sz w:val="22"/>
          <w:lang w:val="en"/>
        </w:rPr>
        <w:t xml:space="preserve"> has </w:t>
      </w:r>
      <w:r>
        <w:rPr>
          <w:rFonts w:asciiTheme="minorHAnsi" w:hAnsiTheme="minorHAnsi" w:cstheme="minorHAnsi"/>
          <w:sz w:val="22"/>
          <w:lang w:val="en"/>
        </w:rPr>
        <w:t xml:space="preserve">also </w:t>
      </w:r>
      <w:r w:rsidRPr="002707FB">
        <w:rPr>
          <w:rFonts w:asciiTheme="minorHAnsi" w:hAnsiTheme="minorHAnsi" w:cstheme="minorHAnsi"/>
          <w:sz w:val="22"/>
          <w:lang w:val="en"/>
        </w:rPr>
        <w:t>been working over years to improve citizen experiences interacting with government online</w:t>
      </w:r>
      <w:r>
        <w:rPr>
          <w:rFonts w:asciiTheme="minorHAnsi" w:hAnsiTheme="minorHAnsi" w:cstheme="minorHAnsi"/>
          <w:sz w:val="22"/>
          <w:lang w:val="en"/>
        </w:rPr>
        <w:t>,</w:t>
      </w:r>
      <w:r w:rsidRPr="002707FB">
        <w:rPr>
          <w:rFonts w:asciiTheme="minorHAnsi" w:hAnsiTheme="minorHAnsi" w:cstheme="minorHAnsi"/>
          <w:sz w:val="22"/>
          <w:lang w:val="en"/>
        </w:rPr>
        <w:t xml:space="preserve"> thr</w:t>
      </w:r>
      <w:r>
        <w:rPr>
          <w:rFonts w:asciiTheme="minorHAnsi" w:hAnsiTheme="minorHAnsi" w:cstheme="minorHAnsi"/>
          <w:sz w:val="22"/>
          <w:lang w:val="en"/>
        </w:rPr>
        <w:t>ough better engagement with end-</w:t>
      </w:r>
      <w:r w:rsidRPr="002707FB">
        <w:rPr>
          <w:rFonts w:asciiTheme="minorHAnsi" w:hAnsiTheme="minorHAnsi" w:cstheme="minorHAnsi"/>
          <w:sz w:val="22"/>
          <w:lang w:val="en"/>
        </w:rPr>
        <w:t>use</w:t>
      </w:r>
      <w:r>
        <w:rPr>
          <w:rFonts w:asciiTheme="minorHAnsi" w:hAnsiTheme="minorHAnsi" w:cstheme="minorHAnsi"/>
          <w:sz w:val="22"/>
          <w:lang w:val="en"/>
        </w:rPr>
        <w:t>r</w:t>
      </w:r>
      <w:r w:rsidRPr="002707FB">
        <w:rPr>
          <w:rFonts w:asciiTheme="minorHAnsi" w:hAnsiTheme="minorHAnsi" w:cstheme="minorHAnsi"/>
          <w:sz w:val="22"/>
          <w:lang w:val="en"/>
        </w:rPr>
        <w:t xml:space="preserve">s in the design and </w:t>
      </w:r>
      <w:r>
        <w:rPr>
          <w:rFonts w:asciiTheme="minorHAnsi" w:hAnsiTheme="minorHAnsi" w:cstheme="minorHAnsi"/>
          <w:sz w:val="22"/>
          <w:lang w:val="en"/>
        </w:rPr>
        <w:t>improvement</w:t>
      </w:r>
      <w:r w:rsidRPr="002707FB">
        <w:rPr>
          <w:rFonts w:asciiTheme="minorHAnsi" w:hAnsiTheme="minorHAnsi" w:cstheme="minorHAnsi"/>
          <w:sz w:val="22"/>
          <w:lang w:val="en"/>
        </w:rPr>
        <w:t xml:space="preserve"> of digital services. </w:t>
      </w:r>
      <w:r>
        <w:rPr>
          <w:rFonts w:asciiTheme="minorHAnsi" w:hAnsiTheme="minorHAnsi" w:cstheme="minorHAnsi"/>
          <w:sz w:val="22"/>
          <w:lang w:val="en"/>
        </w:rPr>
        <w:t xml:space="preserve">The </w:t>
      </w:r>
      <w:r w:rsidRPr="002707FB">
        <w:rPr>
          <w:rFonts w:asciiTheme="minorHAnsi" w:hAnsiTheme="minorHAnsi" w:cstheme="minorHAnsi"/>
          <w:sz w:val="22"/>
          <w:lang w:val="en"/>
        </w:rPr>
        <w:t>Australia</w:t>
      </w:r>
      <w:r>
        <w:rPr>
          <w:rFonts w:asciiTheme="minorHAnsi" w:hAnsiTheme="minorHAnsi" w:cstheme="minorHAnsi"/>
          <w:sz w:val="22"/>
          <w:lang w:val="en"/>
        </w:rPr>
        <w:t>n Government</w:t>
      </w:r>
      <w:r w:rsidRPr="002707FB">
        <w:rPr>
          <w:rFonts w:asciiTheme="minorHAnsi" w:hAnsiTheme="minorHAnsi" w:cstheme="minorHAnsi"/>
          <w:sz w:val="22"/>
          <w:lang w:val="en"/>
        </w:rPr>
        <w:t xml:space="preserve">’s Digital Transformation Agency </w:t>
      </w:r>
      <w:r>
        <w:rPr>
          <w:rFonts w:asciiTheme="minorHAnsi" w:hAnsiTheme="minorHAnsi" w:cstheme="minorHAnsi"/>
          <w:sz w:val="22"/>
          <w:lang w:val="en"/>
        </w:rPr>
        <w:t xml:space="preserve">(DTA) </w:t>
      </w:r>
      <w:r w:rsidRPr="002707FB">
        <w:rPr>
          <w:rFonts w:asciiTheme="minorHAnsi" w:hAnsiTheme="minorHAnsi" w:cstheme="minorHAnsi"/>
          <w:sz w:val="22"/>
          <w:lang w:val="en"/>
        </w:rPr>
        <w:t>is the steward of the Digital Service Standard, which puts user-cent</w:t>
      </w:r>
      <w:r>
        <w:rPr>
          <w:rFonts w:asciiTheme="minorHAnsi" w:hAnsiTheme="minorHAnsi" w:cstheme="minorHAnsi"/>
          <w:sz w:val="22"/>
          <w:lang w:val="en"/>
        </w:rPr>
        <w:t>red design at the heart of the G</w:t>
      </w:r>
      <w:r w:rsidRPr="002707FB">
        <w:rPr>
          <w:rFonts w:asciiTheme="minorHAnsi" w:hAnsiTheme="minorHAnsi" w:cstheme="minorHAnsi"/>
          <w:sz w:val="22"/>
          <w:lang w:val="en"/>
        </w:rPr>
        <w:t>overnment’s goal of delivering seamless online services</w:t>
      </w:r>
      <w:r>
        <w:rPr>
          <w:rFonts w:asciiTheme="minorHAnsi" w:hAnsiTheme="minorHAnsi" w:cstheme="minorHAnsi"/>
          <w:sz w:val="22"/>
          <w:lang w:val="en"/>
        </w:rPr>
        <w:t>.</w:t>
      </w:r>
      <w:r w:rsidRPr="002707FB">
        <w:rPr>
          <w:rFonts w:asciiTheme="minorHAnsi" w:hAnsiTheme="minorHAnsi" w:cstheme="minorHAnsi"/>
          <w:sz w:val="22"/>
          <w:lang w:val="en"/>
        </w:rPr>
        <w:t xml:space="preserve"> </w:t>
      </w:r>
      <w:r>
        <w:rPr>
          <w:rFonts w:asciiTheme="minorHAnsi" w:hAnsiTheme="minorHAnsi" w:cstheme="minorHAnsi"/>
          <w:sz w:val="22"/>
          <w:lang w:val="en"/>
        </w:rPr>
        <w:t>I</w:t>
      </w:r>
      <w:r w:rsidRPr="002707FB">
        <w:rPr>
          <w:rFonts w:asciiTheme="minorHAnsi" w:hAnsiTheme="minorHAnsi" w:cstheme="minorHAnsi"/>
          <w:sz w:val="22"/>
          <w:lang w:val="en"/>
        </w:rPr>
        <w:t xml:space="preserve">ndividual agencies are increasingly applying </w:t>
      </w:r>
      <w:r>
        <w:rPr>
          <w:rFonts w:asciiTheme="minorHAnsi" w:hAnsiTheme="minorHAnsi" w:cstheme="minorHAnsi"/>
          <w:sz w:val="22"/>
          <w:lang w:val="en"/>
        </w:rPr>
        <w:t>the DTA’s</w:t>
      </w:r>
      <w:r w:rsidRPr="002707FB">
        <w:rPr>
          <w:rFonts w:asciiTheme="minorHAnsi" w:hAnsiTheme="minorHAnsi" w:cstheme="minorHAnsi"/>
          <w:sz w:val="22"/>
          <w:lang w:val="en"/>
        </w:rPr>
        <w:t xml:space="preserve"> user-centred design model not just for digital service design, but also to inform “upstream” strategic program and poli</w:t>
      </w:r>
      <w:r>
        <w:rPr>
          <w:rFonts w:asciiTheme="minorHAnsi" w:hAnsiTheme="minorHAnsi" w:cstheme="minorHAnsi"/>
          <w:sz w:val="22"/>
          <w:lang w:val="en"/>
        </w:rPr>
        <w:t>cy work (see the case studies).</w:t>
      </w:r>
      <w:r w:rsidRPr="00E279E9">
        <w:rPr>
          <w:rFonts w:asciiTheme="minorHAnsi" w:hAnsiTheme="minorHAnsi" w:cstheme="minorHAnsi"/>
          <w:i/>
          <w:noProof/>
          <w:color w:val="1F497D" w:themeColor="text2"/>
          <w:sz w:val="22"/>
          <w:lang w:eastAsia="en-AU"/>
        </w:rPr>
        <w:t xml:space="preserve"> </w:t>
      </w:r>
    </w:p>
    <w:p w14:paraId="692229CC" w14:textId="77777777" w:rsidR="000B649B" w:rsidRPr="002707FB" w:rsidRDefault="000B649B" w:rsidP="000B649B">
      <w:pPr>
        <w:spacing w:after="0" w:line="240" w:lineRule="auto"/>
        <w:rPr>
          <w:rFonts w:asciiTheme="minorHAnsi" w:hAnsiTheme="minorHAnsi" w:cstheme="minorHAnsi"/>
          <w:sz w:val="22"/>
          <w:lang w:val="en"/>
        </w:rPr>
      </w:pPr>
    </w:p>
    <w:p w14:paraId="5EAA63FB" w14:textId="77777777" w:rsidR="000B649B" w:rsidRPr="002707FB" w:rsidRDefault="000B649B" w:rsidP="000B649B">
      <w:pPr>
        <w:spacing w:after="0" w:line="240" w:lineRule="auto"/>
        <w:rPr>
          <w:rFonts w:asciiTheme="minorHAnsi" w:hAnsiTheme="minorHAnsi" w:cstheme="minorHAnsi"/>
          <w:sz w:val="22"/>
          <w:lang w:val="en"/>
        </w:rPr>
      </w:pPr>
      <w:r w:rsidRPr="002707FB">
        <w:rPr>
          <w:rFonts w:asciiTheme="minorHAnsi" w:hAnsiTheme="minorHAnsi" w:cstheme="minorHAnsi"/>
          <w:sz w:val="22"/>
          <w:lang w:val="en"/>
        </w:rPr>
        <w:t>However, agencies are struggling to reconcile service users’ consistent preference for single-portal and “tell me once” interactions with government, with an at least equally strong reluctance to allow the cross-referencing of their data across government agencies. If the Australian Government is to meet “tell me once” preference</w:t>
      </w:r>
      <w:r>
        <w:rPr>
          <w:rFonts w:asciiTheme="minorHAnsi" w:hAnsiTheme="minorHAnsi" w:cstheme="minorHAnsi"/>
          <w:sz w:val="22"/>
          <w:lang w:val="en"/>
        </w:rPr>
        <w:t>s</w:t>
      </w:r>
      <w:r w:rsidRPr="002707FB">
        <w:rPr>
          <w:rFonts w:asciiTheme="minorHAnsi" w:hAnsiTheme="minorHAnsi" w:cstheme="minorHAnsi"/>
          <w:sz w:val="22"/>
          <w:lang w:val="en"/>
        </w:rPr>
        <w:t xml:space="preserve">, it must </w:t>
      </w:r>
      <w:r>
        <w:rPr>
          <w:rFonts w:asciiTheme="minorHAnsi" w:hAnsiTheme="minorHAnsi" w:cstheme="minorHAnsi"/>
          <w:sz w:val="22"/>
          <w:lang w:val="en"/>
        </w:rPr>
        <w:t xml:space="preserve">also </w:t>
      </w:r>
      <w:r w:rsidRPr="002707FB">
        <w:rPr>
          <w:rFonts w:asciiTheme="minorHAnsi" w:hAnsiTheme="minorHAnsi" w:cstheme="minorHAnsi"/>
          <w:sz w:val="22"/>
          <w:lang w:val="en"/>
        </w:rPr>
        <w:t>address citizens’ privacy concerns and ensure that it has a broad social license as a custodian of service users’ data.</w:t>
      </w:r>
      <w:r w:rsidRPr="00A7127D">
        <w:rPr>
          <w:rFonts w:asciiTheme="minorHAnsi" w:hAnsiTheme="minorHAnsi" w:cstheme="minorHAnsi"/>
          <w:i/>
          <w:noProof/>
          <w:color w:val="1F497D" w:themeColor="text2"/>
          <w:sz w:val="22"/>
          <w:lang w:eastAsia="en-AU"/>
        </w:rPr>
        <w:t xml:space="preserve"> </w:t>
      </w:r>
    </w:p>
    <w:p w14:paraId="49CA6B1A" w14:textId="77777777" w:rsidR="000B649B" w:rsidRPr="002707FB" w:rsidRDefault="000B649B" w:rsidP="000B649B">
      <w:pPr>
        <w:spacing w:after="0" w:line="240" w:lineRule="auto"/>
        <w:rPr>
          <w:rFonts w:asciiTheme="minorHAnsi" w:hAnsiTheme="minorHAnsi" w:cstheme="minorHAnsi"/>
          <w:sz w:val="22"/>
          <w:lang w:val="en"/>
        </w:rPr>
      </w:pPr>
    </w:p>
    <w:p w14:paraId="757B92E4" w14:textId="77777777" w:rsidR="000B649B" w:rsidRDefault="000B649B" w:rsidP="000B649B">
      <w:pPr>
        <w:spacing w:after="0" w:line="240" w:lineRule="auto"/>
        <w:rPr>
          <w:rFonts w:asciiTheme="minorHAnsi" w:hAnsiTheme="minorHAnsi" w:cstheme="minorHAnsi"/>
          <w:sz w:val="22"/>
          <w:lang w:val="en"/>
        </w:rPr>
      </w:pPr>
      <w:r w:rsidRPr="002707FB">
        <w:rPr>
          <w:rFonts w:asciiTheme="minorHAnsi" w:hAnsiTheme="minorHAnsi" w:cstheme="minorHAnsi"/>
          <w:i/>
          <w:noProof/>
          <w:color w:val="1F497D" w:themeColor="text2"/>
          <w:sz w:val="22"/>
          <w:lang w:val="en-US"/>
        </w:rPr>
        <mc:AlternateContent>
          <mc:Choice Requires="wps">
            <w:drawing>
              <wp:anchor distT="45720" distB="45720" distL="114300" distR="114300" simplePos="0" relativeHeight="251658241" behindDoc="0" locked="0" layoutInCell="1" allowOverlap="1" wp14:anchorId="4161D0B5" wp14:editId="6090914F">
                <wp:simplePos x="0" y="0"/>
                <wp:positionH relativeFrom="margin">
                  <wp:align>right</wp:align>
                </wp:positionH>
                <wp:positionV relativeFrom="page">
                  <wp:posOffset>884432</wp:posOffset>
                </wp:positionV>
                <wp:extent cx="2933700" cy="5731510"/>
                <wp:effectExtent l="0" t="0" r="0"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731510"/>
                        </a:xfrm>
                        <a:prstGeom prst="rect">
                          <a:avLst/>
                        </a:prstGeom>
                        <a:solidFill>
                          <a:schemeClr val="accent1">
                            <a:lumMod val="20000"/>
                            <a:lumOff val="80000"/>
                          </a:schemeClr>
                        </a:solidFill>
                        <a:ln w="9525">
                          <a:noFill/>
                          <a:miter lim="800000"/>
                          <a:headEnd/>
                          <a:tailEnd/>
                        </a:ln>
                      </wps:spPr>
                      <wps:txbx>
                        <w:txbxContent>
                          <w:p w14:paraId="7B272B9B"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28C0C189"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5CD71BA" w14:textId="77777777" w:rsidR="00633B37" w:rsidRDefault="00633B37" w:rsidP="000B649B">
                            <w:pPr>
                              <w:spacing w:after="0" w:line="240" w:lineRule="auto"/>
                              <w:jc w:val="right"/>
                              <w:rPr>
                                <w:rFonts w:ascii="Arial" w:hAnsi="Arial" w:cs="Arial"/>
                                <w:b/>
                                <w:i/>
                                <w:color w:val="17365D" w:themeColor="text2" w:themeShade="BF"/>
                                <w:sz w:val="16"/>
                              </w:rPr>
                            </w:pPr>
                            <w:r w:rsidRPr="005D5A83">
                              <w:rPr>
                                <w:i/>
                                <w:noProof/>
                                <w:color w:val="17365D" w:themeColor="text2" w:themeShade="BF"/>
                                <w:lang w:val="en-US"/>
                              </w:rPr>
                              <w:drawing>
                                <wp:inline distT="0" distB="0" distL="0" distR="0" wp14:anchorId="079BEF53" wp14:editId="0438EF84">
                                  <wp:extent cx="532435" cy="265013"/>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736" cy="281090"/>
                                          </a:xfrm>
                                          <a:prstGeom prst="rect">
                                            <a:avLst/>
                                          </a:prstGeom>
                                        </pic:spPr>
                                      </pic:pic>
                                    </a:graphicData>
                                  </a:graphic>
                                </wp:inline>
                              </w:drawing>
                            </w:r>
                          </w:p>
                          <w:p w14:paraId="35908E97"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05BAFC2B" w14:textId="77777777" w:rsidR="00633B37" w:rsidRPr="00DA72E1" w:rsidRDefault="00633B37" w:rsidP="000B649B">
                            <w:pPr>
                              <w:spacing w:line="240" w:lineRule="auto"/>
                              <w:rPr>
                                <w:rFonts w:asciiTheme="minorHAnsi" w:hAnsiTheme="minorHAnsi" w:cstheme="minorHAnsi"/>
                                <w:b/>
                                <w:color w:val="17365D" w:themeColor="text2" w:themeShade="BF"/>
                                <w:sz w:val="20"/>
                              </w:rPr>
                            </w:pPr>
                            <w:r>
                              <w:rPr>
                                <w:rFonts w:asciiTheme="minorHAnsi" w:hAnsiTheme="minorHAnsi" w:cstheme="minorHAnsi"/>
                                <w:b/>
                                <w:color w:val="17365D" w:themeColor="text2" w:themeShade="BF"/>
                                <w:sz w:val="20"/>
                              </w:rPr>
                              <w:t>Australian Engagement Examples</w:t>
                            </w:r>
                          </w:p>
                          <w:p w14:paraId="7168B1C5" w14:textId="77777777" w:rsidR="00633B37" w:rsidRPr="00DA72E1" w:rsidRDefault="00633B37" w:rsidP="000B649B">
                            <w:pPr>
                              <w:spacing w:before="120" w:after="0" w:line="240" w:lineRule="auto"/>
                              <w:rPr>
                                <w:rFonts w:asciiTheme="minorHAnsi" w:hAnsiTheme="minorHAnsi" w:cstheme="minorHAnsi"/>
                                <w:color w:val="17365D" w:themeColor="text2" w:themeShade="BF"/>
                                <w:sz w:val="20"/>
                                <w:szCs w:val="20"/>
                              </w:rPr>
                            </w:pPr>
                            <w:r w:rsidRPr="00DA72E1">
                              <w:rPr>
                                <w:rFonts w:asciiTheme="minorHAnsi" w:hAnsiTheme="minorHAnsi" w:cstheme="minorHAnsi"/>
                                <w:color w:val="17365D" w:themeColor="text2" w:themeShade="BF"/>
                                <w:sz w:val="20"/>
                                <w:szCs w:val="20"/>
                              </w:rPr>
                              <w:t xml:space="preserve">In 2017, the </w:t>
                            </w:r>
                            <w:r w:rsidRPr="00354A6E">
                              <w:rPr>
                                <w:rFonts w:asciiTheme="minorHAnsi" w:hAnsiTheme="minorHAnsi" w:cstheme="minorHAnsi"/>
                                <w:b/>
                                <w:color w:val="17365D" w:themeColor="text2" w:themeShade="BF"/>
                                <w:sz w:val="20"/>
                                <w:szCs w:val="20"/>
                              </w:rPr>
                              <w:t>Department of Jobs and Small Business</w:t>
                            </w:r>
                            <w:r w:rsidRPr="00DA72E1">
                              <w:rPr>
                                <w:rFonts w:asciiTheme="minorHAnsi" w:hAnsiTheme="minorHAnsi" w:cstheme="minorHAnsi"/>
                                <w:color w:val="17365D" w:themeColor="text2" w:themeShade="BF"/>
                                <w:sz w:val="20"/>
                                <w:szCs w:val="20"/>
                              </w:rPr>
                              <w:t xml:space="preserve"> released its </w:t>
                            </w:r>
                            <w:r w:rsidRPr="00DA72E1">
                              <w:rPr>
                                <w:rFonts w:asciiTheme="minorHAnsi" w:hAnsiTheme="minorHAnsi" w:cstheme="minorHAnsi"/>
                                <w:b/>
                                <w:color w:val="17365D" w:themeColor="text2" w:themeShade="BF"/>
                                <w:sz w:val="20"/>
                                <w:szCs w:val="20"/>
                              </w:rPr>
                              <w:t>User-Centred Strategy</w:t>
                            </w:r>
                            <w:r>
                              <w:rPr>
                                <w:rFonts w:asciiTheme="minorHAnsi" w:hAnsiTheme="minorHAnsi" w:cstheme="minorHAnsi"/>
                                <w:color w:val="17365D" w:themeColor="text2" w:themeShade="BF"/>
                                <w:sz w:val="20"/>
                                <w:szCs w:val="20"/>
                              </w:rPr>
                              <w:t>. Citizen-</w:t>
                            </w:r>
                            <w:r w:rsidRPr="00DA72E1">
                              <w:rPr>
                                <w:rFonts w:asciiTheme="minorHAnsi" w:hAnsiTheme="minorHAnsi" w:cstheme="minorHAnsi"/>
                                <w:color w:val="17365D" w:themeColor="text2" w:themeShade="BF"/>
                                <w:sz w:val="20"/>
                                <w:szCs w:val="20"/>
                              </w:rPr>
                              <w:t xml:space="preserve">centric approaches are currently being employed to assist with the design of Australia’s </w:t>
                            </w:r>
                            <w:r w:rsidRPr="00DA72E1">
                              <w:rPr>
                                <w:rFonts w:asciiTheme="minorHAnsi" w:hAnsiTheme="minorHAnsi" w:cstheme="minorHAnsi"/>
                                <w:b/>
                                <w:color w:val="17365D" w:themeColor="text2" w:themeShade="BF"/>
                                <w:sz w:val="20"/>
                                <w:szCs w:val="20"/>
                              </w:rPr>
                              <w:t>new employment services model</w:t>
                            </w:r>
                            <w:r>
                              <w:rPr>
                                <w:rFonts w:asciiTheme="minorHAnsi" w:hAnsiTheme="minorHAnsi" w:cstheme="minorHAnsi"/>
                                <w:color w:val="17365D" w:themeColor="text2" w:themeShade="BF"/>
                                <w:sz w:val="20"/>
                                <w:szCs w:val="20"/>
                              </w:rPr>
                              <w:t>, from high-</w:t>
                            </w:r>
                            <w:r w:rsidRPr="00DA72E1">
                              <w:rPr>
                                <w:rFonts w:asciiTheme="minorHAnsi" w:hAnsiTheme="minorHAnsi" w:cstheme="minorHAnsi"/>
                                <w:color w:val="17365D" w:themeColor="text2" w:themeShade="BF"/>
                                <w:sz w:val="20"/>
                                <w:szCs w:val="20"/>
                              </w:rPr>
                              <w:t>level policy settings through to implementation and ongoing improvement. This work involves taking core components of the draft employment services model, translating these into concepts that resonate with core users, and then speaking with users directly about these topics. The intention is to learn about the lives and experiences of users and how they might be impacted by proposed options.</w:t>
                            </w:r>
                          </w:p>
                          <w:p w14:paraId="5878BC97" w14:textId="77777777" w:rsidR="00633B37" w:rsidRDefault="00633B37" w:rsidP="000B649B">
                            <w:pPr>
                              <w:spacing w:before="120" w:after="0" w:line="240" w:lineRule="auto"/>
                              <w:rPr>
                                <w:rFonts w:asciiTheme="minorHAnsi" w:hAnsiTheme="minorHAnsi" w:cstheme="minorHAnsi"/>
                                <w:color w:val="17365D" w:themeColor="text2" w:themeShade="BF"/>
                                <w:sz w:val="20"/>
                                <w:szCs w:val="20"/>
                              </w:rPr>
                            </w:pPr>
                            <w:r w:rsidRPr="00354A6E">
                              <w:rPr>
                                <w:rFonts w:asciiTheme="minorHAnsi" w:hAnsiTheme="minorHAnsi" w:cstheme="minorHAnsi"/>
                                <w:b/>
                                <w:color w:val="17365D" w:themeColor="text2" w:themeShade="BF"/>
                                <w:sz w:val="20"/>
                                <w:szCs w:val="20"/>
                              </w:rPr>
                              <w:t>Bizlab</w:t>
                            </w:r>
                            <w:r w:rsidRPr="00DA72E1">
                              <w:rPr>
                                <w:rFonts w:asciiTheme="minorHAnsi" w:hAnsiTheme="minorHAnsi" w:cstheme="minorHAnsi"/>
                                <w:color w:val="17365D" w:themeColor="text2" w:themeShade="BF"/>
                                <w:sz w:val="20"/>
                                <w:szCs w:val="20"/>
                              </w:rPr>
                              <w:t xml:space="preserve"> is the policy and program innovation lab of the </w:t>
                            </w:r>
                            <w:r w:rsidRPr="00354A6E">
                              <w:rPr>
                                <w:rFonts w:asciiTheme="minorHAnsi" w:hAnsiTheme="minorHAnsi" w:cstheme="minorHAnsi"/>
                                <w:b/>
                                <w:color w:val="17365D" w:themeColor="text2" w:themeShade="BF"/>
                                <w:sz w:val="20"/>
                                <w:szCs w:val="20"/>
                              </w:rPr>
                              <w:t>Department of Industry, Innovation and Science</w:t>
                            </w:r>
                            <w:r w:rsidRPr="00DA72E1">
                              <w:rPr>
                                <w:rFonts w:asciiTheme="minorHAnsi" w:hAnsiTheme="minorHAnsi" w:cstheme="minorHAnsi"/>
                                <w:color w:val="17365D" w:themeColor="text2" w:themeShade="BF"/>
                                <w:sz w:val="20"/>
                                <w:szCs w:val="20"/>
                              </w:rPr>
                              <w:t xml:space="preserve">. For a recent project, it partnered with policy areas to </w:t>
                            </w:r>
                            <w:r w:rsidRPr="00DA72E1">
                              <w:rPr>
                                <w:rFonts w:asciiTheme="minorHAnsi" w:hAnsiTheme="minorHAnsi" w:cstheme="minorHAnsi"/>
                                <w:b/>
                                <w:color w:val="17365D" w:themeColor="text2" w:themeShade="BF"/>
                                <w:sz w:val="20"/>
                                <w:szCs w:val="20"/>
                              </w:rPr>
                              <w:t>research drivers and barriers to collaboration between small to medium enterprises (SMEs) and research organi</w:t>
                            </w:r>
                            <w:r>
                              <w:rPr>
                                <w:rFonts w:asciiTheme="minorHAnsi" w:hAnsiTheme="minorHAnsi" w:cstheme="minorHAnsi"/>
                                <w:b/>
                                <w:color w:val="17365D" w:themeColor="text2" w:themeShade="BF"/>
                                <w:sz w:val="20"/>
                                <w:szCs w:val="20"/>
                              </w:rPr>
                              <w:t>z</w:t>
                            </w:r>
                            <w:r w:rsidRPr="00DA72E1">
                              <w:rPr>
                                <w:rFonts w:asciiTheme="minorHAnsi" w:hAnsiTheme="minorHAnsi" w:cstheme="minorHAnsi"/>
                                <w:b/>
                                <w:color w:val="17365D" w:themeColor="text2" w:themeShade="BF"/>
                                <w:sz w:val="20"/>
                                <w:szCs w:val="20"/>
                              </w:rPr>
                              <w:t>ations, applying a user-centred design framework</w:t>
                            </w:r>
                            <w:r w:rsidRPr="00DA72E1">
                              <w:rPr>
                                <w:rFonts w:asciiTheme="minorHAnsi" w:hAnsiTheme="minorHAnsi" w:cstheme="minorHAnsi"/>
                                <w:color w:val="17365D" w:themeColor="text2" w:themeShade="BF"/>
                                <w:sz w:val="20"/>
                                <w:szCs w:val="20"/>
                              </w:rPr>
                              <w:t xml:space="preserve">. </w:t>
                            </w:r>
                          </w:p>
                          <w:p w14:paraId="2AE7C798" w14:textId="77777777" w:rsidR="00633B37" w:rsidRPr="00DA72E1" w:rsidRDefault="00633B37" w:rsidP="000B649B">
                            <w:pPr>
                              <w:spacing w:before="120" w:after="0" w:line="240" w:lineRule="auto"/>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lang w:val="en"/>
                              </w:rPr>
                              <w:t xml:space="preserve">The Australian Government is also pursuing </w:t>
                            </w:r>
                            <w:r>
                              <w:rPr>
                                <w:rFonts w:asciiTheme="minorHAnsi" w:hAnsiTheme="minorHAnsi" w:cstheme="minorHAnsi"/>
                                <w:b/>
                                <w:color w:val="17365D" w:themeColor="text2" w:themeShade="BF"/>
                                <w:sz w:val="20"/>
                                <w:szCs w:val="20"/>
                                <w:lang w:val="en"/>
                              </w:rPr>
                              <w:t xml:space="preserve">open government </w:t>
                            </w:r>
                            <w:r>
                              <w:rPr>
                                <w:rFonts w:asciiTheme="minorHAnsi" w:hAnsiTheme="minorHAnsi" w:cstheme="minorHAnsi"/>
                                <w:color w:val="17365D" w:themeColor="text2" w:themeShade="BF"/>
                                <w:sz w:val="20"/>
                                <w:szCs w:val="20"/>
                                <w:lang w:val="en"/>
                              </w:rPr>
                              <w:t>initiatives, including development of an engagement framework and resources hub for the Australian Public Services, and a national challenge</w:t>
                            </w:r>
                            <w:r w:rsidRPr="00E454E2">
                              <w:rPr>
                                <w:rFonts w:asciiTheme="minorHAnsi" w:hAnsiTheme="minorHAnsi" w:cstheme="minorHAnsi"/>
                                <w:color w:val="17365D" w:themeColor="text2" w:themeShade="BF"/>
                                <w:sz w:val="20"/>
                                <w:szCs w:val="20"/>
                                <w:lang w:val="en"/>
                              </w:rPr>
                              <w:t xml:space="preserve"> </w:t>
                            </w:r>
                            <w:r>
                              <w:rPr>
                                <w:rFonts w:asciiTheme="minorHAnsi" w:hAnsiTheme="minorHAnsi" w:cstheme="minorHAnsi"/>
                                <w:color w:val="17365D" w:themeColor="text2" w:themeShade="BF"/>
                                <w:sz w:val="20"/>
                                <w:szCs w:val="20"/>
                                <w:lang w:val="en"/>
                              </w:rPr>
                              <w:t>inviting</w:t>
                            </w:r>
                            <w:r w:rsidRPr="00E454E2">
                              <w:rPr>
                                <w:rFonts w:asciiTheme="minorHAnsi" w:hAnsiTheme="minorHAnsi" w:cstheme="minorHAnsi"/>
                                <w:color w:val="17365D" w:themeColor="text2" w:themeShade="BF"/>
                                <w:sz w:val="20"/>
                                <w:szCs w:val="20"/>
                                <w:lang w:val="en"/>
                              </w:rPr>
                              <w:t xml:space="preserve"> start-ups to pitch solutions </w:t>
                            </w:r>
                            <w:r>
                              <w:rPr>
                                <w:rFonts w:asciiTheme="minorHAnsi" w:hAnsiTheme="minorHAnsi" w:cstheme="minorHAnsi"/>
                                <w:color w:val="17365D" w:themeColor="text2" w:themeShade="BF"/>
                                <w:sz w:val="20"/>
                                <w:szCs w:val="20"/>
                                <w:lang w:val="en"/>
                              </w:rPr>
                              <w:t xml:space="preserve">to government </w:t>
                            </w:r>
                            <w:r w:rsidRPr="00E454E2">
                              <w:rPr>
                                <w:rFonts w:asciiTheme="minorHAnsi" w:hAnsiTheme="minorHAnsi" w:cstheme="minorHAnsi"/>
                                <w:color w:val="17365D" w:themeColor="text2" w:themeShade="BF"/>
                                <w:sz w:val="20"/>
                                <w:szCs w:val="20"/>
                                <w:lang w:val="en"/>
                              </w:rPr>
                              <w:t xml:space="preserve">for better </w:t>
                            </w:r>
                            <w:r>
                              <w:rPr>
                                <w:rFonts w:asciiTheme="minorHAnsi" w:hAnsiTheme="minorHAnsi" w:cstheme="minorHAnsi"/>
                                <w:color w:val="17365D" w:themeColor="text2" w:themeShade="BF"/>
                                <w:sz w:val="20"/>
                                <w:szCs w:val="20"/>
                                <w:lang w:val="en"/>
                              </w:rPr>
                              <w:t xml:space="preserve">digital </w:t>
                            </w:r>
                            <w:r w:rsidRPr="00E454E2">
                              <w:rPr>
                                <w:rFonts w:asciiTheme="minorHAnsi" w:hAnsiTheme="minorHAnsi" w:cstheme="minorHAnsi"/>
                                <w:color w:val="17365D" w:themeColor="text2" w:themeShade="BF"/>
                                <w:sz w:val="20"/>
                                <w:szCs w:val="20"/>
                                <w:lang w:val="en"/>
                              </w:rPr>
                              <w:t xml:space="preserve">engagement tools.  One of the winning start-ups was </w:t>
                            </w:r>
                            <w:r w:rsidRPr="00354A6E">
                              <w:rPr>
                                <w:rFonts w:asciiTheme="minorHAnsi" w:hAnsiTheme="minorHAnsi" w:cstheme="minorHAnsi"/>
                                <w:b/>
                                <w:color w:val="17365D" w:themeColor="text2" w:themeShade="BF"/>
                                <w:sz w:val="20"/>
                                <w:szCs w:val="20"/>
                                <w:lang w:val="en"/>
                              </w:rPr>
                              <w:t>Converlens</w:t>
                            </w:r>
                            <w:r w:rsidRPr="00E454E2">
                              <w:rPr>
                                <w:rFonts w:asciiTheme="minorHAnsi" w:hAnsiTheme="minorHAnsi" w:cstheme="minorHAnsi"/>
                                <w:color w:val="17365D" w:themeColor="text2" w:themeShade="BF"/>
                                <w:sz w:val="20"/>
                                <w:szCs w:val="20"/>
                                <w:lang w:val="en"/>
                              </w:rPr>
                              <w:t>, who have since successfully tendered to be the engagement platform for the</w:t>
                            </w:r>
                            <w:r>
                              <w:rPr>
                                <w:rFonts w:asciiTheme="minorHAnsi" w:hAnsiTheme="minorHAnsi" w:cstheme="minorHAnsi"/>
                                <w:color w:val="17365D" w:themeColor="text2" w:themeShade="BF"/>
                                <w:sz w:val="20"/>
                                <w:szCs w:val="20"/>
                                <w:lang w:val="en"/>
                              </w:rPr>
                              <w:t xml:space="preserve"> Independent Review of the APS.</w:t>
                            </w:r>
                          </w:p>
                          <w:p w14:paraId="18E0EAC9"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D0B5" id="_x0000_s1033" type="#_x0000_t202" style="position:absolute;margin-left:179.8pt;margin-top:69.65pt;width:231pt;height:451.3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" fillcolor="#dbe5f1 [660]" stroked="f">
                <v:textbox>
                  <w:txbxContent>
                    <w:p w14:paraId="7B272B9B"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28C0C189"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5CD71BA" w14:textId="77777777" w:rsidR="00633B37" w:rsidRDefault="00633B37" w:rsidP="000B649B">
                      <w:pPr>
                        <w:spacing w:after="0" w:line="240" w:lineRule="auto"/>
                        <w:jc w:val="right"/>
                        <w:rPr>
                          <w:rFonts w:ascii="Arial" w:hAnsi="Arial" w:cs="Arial"/>
                          <w:b/>
                          <w:i/>
                          <w:color w:val="17365D" w:themeColor="text2" w:themeShade="BF"/>
                          <w:sz w:val="16"/>
                        </w:rPr>
                      </w:pPr>
                      <w:r w:rsidRPr="005D5A83">
                        <w:rPr>
                          <w:i/>
                          <w:noProof/>
                          <w:color w:val="17365D" w:themeColor="text2" w:themeShade="BF"/>
                          <w:lang w:eastAsia="en-AU"/>
                        </w:rPr>
                        <w:drawing>
                          <wp:inline distT="0" distB="0" distL="0" distR="0" wp14:anchorId="079BEF53" wp14:editId="0438EF84">
                            <wp:extent cx="532435" cy="265013"/>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736" cy="281090"/>
                                    </a:xfrm>
                                    <a:prstGeom prst="rect">
                                      <a:avLst/>
                                    </a:prstGeom>
                                  </pic:spPr>
                                </pic:pic>
                              </a:graphicData>
                            </a:graphic>
                          </wp:inline>
                        </w:drawing>
                      </w:r>
                    </w:p>
                    <w:p w14:paraId="35908E97" w14:textId="77777777" w:rsidR="00633B37" w:rsidRPr="00843635" w:rsidRDefault="00633B37" w:rsidP="000B649B">
                      <w:pPr>
                        <w:spacing w:after="0" w:line="240" w:lineRule="auto"/>
                        <w:jc w:val="right"/>
                        <w:rPr>
                          <w:rFonts w:ascii="Arial" w:hAnsi="Arial" w:cs="Arial"/>
                          <w:b/>
                          <w:i/>
                          <w:color w:val="17365D" w:themeColor="text2" w:themeShade="BF"/>
                          <w:sz w:val="16"/>
                        </w:rPr>
                      </w:pPr>
                    </w:p>
                    <w:p w14:paraId="05BAFC2B" w14:textId="77777777" w:rsidR="00633B37" w:rsidRPr="00DA72E1" w:rsidRDefault="00633B37" w:rsidP="000B649B">
                      <w:pPr>
                        <w:spacing w:line="240" w:lineRule="auto"/>
                        <w:rPr>
                          <w:rFonts w:asciiTheme="minorHAnsi" w:hAnsiTheme="minorHAnsi" w:cstheme="minorHAnsi"/>
                          <w:b/>
                          <w:color w:val="17365D" w:themeColor="text2" w:themeShade="BF"/>
                          <w:sz w:val="20"/>
                        </w:rPr>
                      </w:pPr>
                      <w:r>
                        <w:rPr>
                          <w:rFonts w:asciiTheme="minorHAnsi" w:hAnsiTheme="minorHAnsi" w:cstheme="minorHAnsi"/>
                          <w:b/>
                          <w:color w:val="17365D" w:themeColor="text2" w:themeShade="BF"/>
                          <w:sz w:val="20"/>
                        </w:rPr>
                        <w:t>Australian Engagement Examples</w:t>
                      </w:r>
                    </w:p>
                    <w:p w14:paraId="7168B1C5" w14:textId="77777777" w:rsidR="00633B37" w:rsidRPr="00DA72E1" w:rsidRDefault="00633B37" w:rsidP="000B649B">
                      <w:pPr>
                        <w:spacing w:before="120" w:after="0" w:line="240" w:lineRule="auto"/>
                        <w:rPr>
                          <w:rFonts w:asciiTheme="minorHAnsi" w:hAnsiTheme="minorHAnsi" w:cstheme="minorHAnsi"/>
                          <w:color w:val="17365D" w:themeColor="text2" w:themeShade="BF"/>
                          <w:sz w:val="20"/>
                          <w:szCs w:val="20"/>
                        </w:rPr>
                      </w:pPr>
                      <w:r w:rsidRPr="00DA72E1">
                        <w:rPr>
                          <w:rFonts w:asciiTheme="minorHAnsi" w:hAnsiTheme="minorHAnsi" w:cstheme="minorHAnsi"/>
                          <w:color w:val="17365D" w:themeColor="text2" w:themeShade="BF"/>
                          <w:sz w:val="20"/>
                          <w:szCs w:val="20"/>
                        </w:rPr>
                        <w:t xml:space="preserve">In 2017, the </w:t>
                      </w:r>
                      <w:r w:rsidRPr="00354A6E">
                        <w:rPr>
                          <w:rFonts w:asciiTheme="minorHAnsi" w:hAnsiTheme="minorHAnsi" w:cstheme="minorHAnsi"/>
                          <w:b/>
                          <w:color w:val="17365D" w:themeColor="text2" w:themeShade="BF"/>
                          <w:sz w:val="20"/>
                          <w:szCs w:val="20"/>
                        </w:rPr>
                        <w:t>Department of Jobs and Small Business</w:t>
                      </w:r>
                      <w:r w:rsidRPr="00DA72E1">
                        <w:rPr>
                          <w:rFonts w:asciiTheme="minorHAnsi" w:hAnsiTheme="minorHAnsi" w:cstheme="minorHAnsi"/>
                          <w:color w:val="17365D" w:themeColor="text2" w:themeShade="BF"/>
                          <w:sz w:val="20"/>
                          <w:szCs w:val="20"/>
                        </w:rPr>
                        <w:t xml:space="preserve"> released its </w:t>
                      </w:r>
                      <w:r w:rsidRPr="00DA72E1">
                        <w:rPr>
                          <w:rFonts w:asciiTheme="minorHAnsi" w:hAnsiTheme="minorHAnsi" w:cstheme="minorHAnsi"/>
                          <w:b/>
                          <w:color w:val="17365D" w:themeColor="text2" w:themeShade="BF"/>
                          <w:sz w:val="20"/>
                          <w:szCs w:val="20"/>
                        </w:rPr>
                        <w:t>User-Centred Strategy</w:t>
                      </w:r>
                      <w:r>
                        <w:rPr>
                          <w:rFonts w:asciiTheme="minorHAnsi" w:hAnsiTheme="minorHAnsi" w:cstheme="minorHAnsi"/>
                          <w:color w:val="17365D" w:themeColor="text2" w:themeShade="BF"/>
                          <w:sz w:val="20"/>
                          <w:szCs w:val="20"/>
                        </w:rPr>
                        <w:t>. Citizen-</w:t>
                      </w:r>
                      <w:r w:rsidRPr="00DA72E1">
                        <w:rPr>
                          <w:rFonts w:asciiTheme="minorHAnsi" w:hAnsiTheme="minorHAnsi" w:cstheme="minorHAnsi"/>
                          <w:color w:val="17365D" w:themeColor="text2" w:themeShade="BF"/>
                          <w:sz w:val="20"/>
                          <w:szCs w:val="20"/>
                        </w:rPr>
                        <w:t xml:space="preserve">centric approaches are currently being employed to assist with the design of Australia’s </w:t>
                      </w:r>
                      <w:r w:rsidRPr="00DA72E1">
                        <w:rPr>
                          <w:rFonts w:asciiTheme="minorHAnsi" w:hAnsiTheme="minorHAnsi" w:cstheme="minorHAnsi"/>
                          <w:b/>
                          <w:color w:val="17365D" w:themeColor="text2" w:themeShade="BF"/>
                          <w:sz w:val="20"/>
                          <w:szCs w:val="20"/>
                        </w:rPr>
                        <w:t>new employment services model</w:t>
                      </w:r>
                      <w:r>
                        <w:rPr>
                          <w:rFonts w:asciiTheme="minorHAnsi" w:hAnsiTheme="minorHAnsi" w:cstheme="minorHAnsi"/>
                          <w:color w:val="17365D" w:themeColor="text2" w:themeShade="BF"/>
                          <w:sz w:val="20"/>
                          <w:szCs w:val="20"/>
                        </w:rPr>
                        <w:t>, from high-</w:t>
                      </w:r>
                      <w:r w:rsidRPr="00DA72E1">
                        <w:rPr>
                          <w:rFonts w:asciiTheme="minorHAnsi" w:hAnsiTheme="minorHAnsi" w:cstheme="minorHAnsi"/>
                          <w:color w:val="17365D" w:themeColor="text2" w:themeShade="BF"/>
                          <w:sz w:val="20"/>
                          <w:szCs w:val="20"/>
                        </w:rPr>
                        <w:t>level policy settings through to implementation and ongoing improvement. This work involves taking core components of the draft employment services model, translating these into concepts that resonate with core users, and then speaking with users directly about these topics. The intention is to learn about the lives and experiences of users and how they might be impacted by proposed options.</w:t>
                      </w:r>
                    </w:p>
                    <w:p w14:paraId="5878BC97" w14:textId="77777777" w:rsidR="00633B37" w:rsidRDefault="00633B37" w:rsidP="000B649B">
                      <w:pPr>
                        <w:spacing w:before="120" w:after="0" w:line="240" w:lineRule="auto"/>
                        <w:rPr>
                          <w:rFonts w:asciiTheme="minorHAnsi" w:hAnsiTheme="minorHAnsi" w:cstheme="minorHAnsi"/>
                          <w:color w:val="17365D" w:themeColor="text2" w:themeShade="BF"/>
                          <w:sz w:val="20"/>
                          <w:szCs w:val="20"/>
                        </w:rPr>
                      </w:pPr>
                      <w:r w:rsidRPr="00354A6E">
                        <w:rPr>
                          <w:rFonts w:asciiTheme="minorHAnsi" w:hAnsiTheme="minorHAnsi" w:cstheme="minorHAnsi"/>
                          <w:b/>
                          <w:color w:val="17365D" w:themeColor="text2" w:themeShade="BF"/>
                          <w:sz w:val="20"/>
                          <w:szCs w:val="20"/>
                        </w:rPr>
                        <w:t>Bizlab</w:t>
                      </w:r>
                      <w:r w:rsidRPr="00DA72E1">
                        <w:rPr>
                          <w:rFonts w:asciiTheme="minorHAnsi" w:hAnsiTheme="minorHAnsi" w:cstheme="minorHAnsi"/>
                          <w:color w:val="17365D" w:themeColor="text2" w:themeShade="BF"/>
                          <w:sz w:val="20"/>
                          <w:szCs w:val="20"/>
                        </w:rPr>
                        <w:t xml:space="preserve"> is the policy and program innovation lab of the </w:t>
                      </w:r>
                      <w:r w:rsidRPr="00354A6E">
                        <w:rPr>
                          <w:rFonts w:asciiTheme="minorHAnsi" w:hAnsiTheme="minorHAnsi" w:cstheme="minorHAnsi"/>
                          <w:b/>
                          <w:color w:val="17365D" w:themeColor="text2" w:themeShade="BF"/>
                          <w:sz w:val="20"/>
                          <w:szCs w:val="20"/>
                        </w:rPr>
                        <w:t>Department of Industry, Innovation and Science</w:t>
                      </w:r>
                      <w:r w:rsidRPr="00DA72E1">
                        <w:rPr>
                          <w:rFonts w:asciiTheme="minorHAnsi" w:hAnsiTheme="minorHAnsi" w:cstheme="minorHAnsi"/>
                          <w:color w:val="17365D" w:themeColor="text2" w:themeShade="BF"/>
                          <w:sz w:val="20"/>
                          <w:szCs w:val="20"/>
                        </w:rPr>
                        <w:t xml:space="preserve">. For a recent project, it partnered with policy areas to </w:t>
                      </w:r>
                      <w:r w:rsidRPr="00DA72E1">
                        <w:rPr>
                          <w:rFonts w:asciiTheme="minorHAnsi" w:hAnsiTheme="minorHAnsi" w:cstheme="minorHAnsi"/>
                          <w:b/>
                          <w:color w:val="17365D" w:themeColor="text2" w:themeShade="BF"/>
                          <w:sz w:val="20"/>
                          <w:szCs w:val="20"/>
                        </w:rPr>
                        <w:t>research drivers and barriers to collaboration between small to medium enterprises (SMEs) and research organi</w:t>
                      </w:r>
                      <w:r>
                        <w:rPr>
                          <w:rFonts w:asciiTheme="minorHAnsi" w:hAnsiTheme="minorHAnsi" w:cstheme="minorHAnsi"/>
                          <w:b/>
                          <w:color w:val="17365D" w:themeColor="text2" w:themeShade="BF"/>
                          <w:sz w:val="20"/>
                          <w:szCs w:val="20"/>
                        </w:rPr>
                        <w:t>z</w:t>
                      </w:r>
                      <w:r w:rsidRPr="00DA72E1">
                        <w:rPr>
                          <w:rFonts w:asciiTheme="minorHAnsi" w:hAnsiTheme="minorHAnsi" w:cstheme="minorHAnsi"/>
                          <w:b/>
                          <w:color w:val="17365D" w:themeColor="text2" w:themeShade="BF"/>
                          <w:sz w:val="20"/>
                          <w:szCs w:val="20"/>
                        </w:rPr>
                        <w:t>ations, applying a user-centred design framework</w:t>
                      </w:r>
                      <w:r w:rsidRPr="00DA72E1">
                        <w:rPr>
                          <w:rFonts w:asciiTheme="minorHAnsi" w:hAnsiTheme="minorHAnsi" w:cstheme="minorHAnsi"/>
                          <w:color w:val="17365D" w:themeColor="text2" w:themeShade="BF"/>
                          <w:sz w:val="20"/>
                          <w:szCs w:val="20"/>
                        </w:rPr>
                        <w:t xml:space="preserve">. </w:t>
                      </w:r>
                    </w:p>
                    <w:p w14:paraId="2AE7C798" w14:textId="77777777" w:rsidR="00633B37" w:rsidRPr="00DA72E1" w:rsidRDefault="00633B37" w:rsidP="000B649B">
                      <w:pPr>
                        <w:spacing w:before="120" w:after="0" w:line="240" w:lineRule="auto"/>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lang w:val="en"/>
                        </w:rPr>
                        <w:t xml:space="preserve">The Australian Government is also pursuing </w:t>
                      </w:r>
                      <w:r>
                        <w:rPr>
                          <w:rFonts w:asciiTheme="minorHAnsi" w:hAnsiTheme="minorHAnsi" w:cstheme="minorHAnsi"/>
                          <w:b/>
                          <w:color w:val="17365D" w:themeColor="text2" w:themeShade="BF"/>
                          <w:sz w:val="20"/>
                          <w:szCs w:val="20"/>
                          <w:lang w:val="en"/>
                        </w:rPr>
                        <w:t xml:space="preserve">open government </w:t>
                      </w:r>
                      <w:r>
                        <w:rPr>
                          <w:rFonts w:asciiTheme="minorHAnsi" w:hAnsiTheme="minorHAnsi" w:cstheme="minorHAnsi"/>
                          <w:color w:val="17365D" w:themeColor="text2" w:themeShade="BF"/>
                          <w:sz w:val="20"/>
                          <w:szCs w:val="20"/>
                          <w:lang w:val="en"/>
                        </w:rPr>
                        <w:t>initiatives, including development of an engagement framework and resources hub for the Australian Public Services, and a national challenge</w:t>
                      </w:r>
                      <w:r w:rsidRPr="00E454E2">
                        <w:rPr>
                          <w:rFonts w:asciiTheme="minorHAnsi" w:hAnsiTheme="minorHAnsi" w:cstheme="minorHAnsi"/>
                          <w:color w:val="17365D" w:themeColor="text2" w:themeShade="BF"/>
                          <w:sz w:val="20"/>
                          <w:szCs w:val="20"/>
                          <w:lang w:val="en"/>
                        </w:rPr>
                        <w:t xml:space="preserve"> </w:t>
                      </w:r>
                      <w:r>
                        <w:rPr>
                          <w:rFonts w:asciiTheme="minorHAnsi" w:hAnsiTheme="minorHAnsi" w:cstheme="minorHAnsi"/>
                          <w:color w:val="17365D" w:themeColor="text2" w:themeShade="BF"/>
                          <w:sz w:val="20"/>
                          <w:szCs w:val="20"/>
                          <w:lang w:val="en"/>
                        </w:rPr>
                        <w:t>inviting</w:t>
                      </w:r>
                      <w:r w:rsidRPr="00E454E2">
                        <w:rPr>
                          <w:rFonts w:asciiTheme="minorHAnsi" w:hAnsiTheme="minorHAnsi" w:cstheme="minorHAnsi"/>
                          <w:color w:val="17365D" w:themeColor="text2" w:themeShade="BF"/>
                          <w:sz w:val="20"/>
                          <w:szCs w:val="20"/>
                          <w:lang w:val="en"/>
                        </w:rPr>
                        <w:t xml:space="preserve"> start-ups to pitch solutions </w:t>
                      </w:r>
                      <w:r>
                        <w:rPr>
                          <w:rFonts w:asciiTheme="minorHAnsi" w:hAnsiTheme="minorHAnsi" w:cstheme="minorHAnsi"/>
                          <w:color w:val="17365D" w:themeColor="text2" w:themeShade="BF"/>
                          <w:sz w:val="20"/>
                          <w:szCs w:val="20"/>
                          <w:lang w:val="en"/>
                        </w:rPr>
                        <w:t xml:space="preserve">to government </w:t>
                      </w:r>
                      <w:r w:rsidRPr="00E454E2">
                        <w:rPr>
                          <w:rFonts w:asciiTheme="minorHAnsi" w:hAnsiTheme="minorHAnsi" w:cstheme="minorHAnsi"/>
                          <w:color w:val="17365D" w:themeColor="text2" w:themeShade="BF"/>
                          <w:sz w:val="20"/>
                          <w:szCs w:val="20"/>
                          <w:lang w:val="en"/>
                        </w:rPr>
                        <w:t xml:space="preserve">for better </w:t>
                      </w:r>
                      <w:r>
                        <w:rPr>
                          <w:rFonts w:asciiTheme="minorHAnsi" w:hAnsiTheme="minorHAnsi" w:cstheme="minorHAnsi"/>
                          <w:color w:val="17365D" w:themeColor="text2" w:themeShade="BF"/>
                          <w:sz w:val="20"/>
                          <w:szCs w:val="20"/>
                          <w:lang w:val="en"/>
                        </w:rPr>
                        <w:t xml:space="preserve">digital </w:t>
                      </w:r>
                      <w:r w:rsidRPr="00E454E2">
                        <w:rPr>
                          <w:rFonts w:asciiTheme="minorHAnsi" w:hAnsiTheme="minorHAnsi" w:cstheme="minorHAnsi"/>
                          <w:color w:val="17365D" w:themeColor="text2" w:themeShade="BF"/>
                          <w:sz w:val="20"/>
                          <w:szCs w:val="20"/>
                          <w:lang w:val="en"/>
                        </w:rPr>
                        <w:t xml:space="preserve">engagement tools.  One of the winning start-ups was </w:t>
                      </w:r>
                      <w:r w:rsidRPr="00354A6E">
                        <w:rPr>
                          <w:rFonts w:asciiTheme="minorHAnsi" w:hAnsiTheme="minorHAnsi" w:cstheme="minorHAnsi"/>
                          <w:b/>
                          <w:color w:val="17365D" w:themeColor="text2" w:themeShade="BF"/>
                          <w:sz w:val="20"/>
                          <w:szCs w:val="20"/>
                          <w:lang w:val="en"/>
                        </w:rPr>
                        <w:t>Converlens</w:t>
                      </w:r>
                      <w:r w:rsidRPr="00E454E2">
                        <w:rPr>
                          <w:rFonts w:asciiTheme="minorHAnsi" w:hAnsiTheme="minorHAnsi" w:cstheme="minorHAnsi"/>
                          <w:color w:val="17365D" w:themeColor="text2" w:themeShade="BF"/>
                          <w:sz w:val="20"/>
                          <w:szCs w:val="20"/>
                          <w:lang w:val="en"/>
                        </w:rPr>
                        <w:t>, who have since successfully tendered to be the engagement platform for the</w:t>
                      </w:r>
                      <w:r>
                        <w:rPr>
                          <w:rFonts w:asciiTheme="minorHAnsi" w:hAnsiTheme="minorHAnsi" w:cstheme="minorHAnsi"/>
                          <w:color w:val="17365D" w:themeColor="text2" w:themeShade="BF"/>
                          <w:sz w:val="20"/>
                          <w:szCs w:val="20"/>
                          <w:lang w:val="en"/>
                        </w:rPr>
                        <w:t xml:space="preserve"> Independent Review of the APS.</w:t>
                      </w:r>
                    </w:p>
                    <w:p w14:paraId="18E0EAC9"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txbxContent>
                </v:textbox>
                <w10:wrap type="square" anchorx="margin" anchory="page"/>
              </v:shape>
            </w:pict>
          </mc:Fallback>
        </mc:AlternateContent>
      </w:r>
      <w:r>
        <w:rPr>
          <w:rFonts w:asciiTheme="minorHAnsi" w:hAnsiTheme="minorHAnsi" w:cstheme="minorHAnsi"/>
          <w:sz w:val="22"/>
          <w:lang w:val="en"/>
        </w:rPr>
        <w:t>For example, r</w:t>
      </w:r>
      <w:r w:rsidRPr="002707FB">
        <w:rPr>
          <w:rFonts w:asciiTheme="minorHAnsi" w:hAnsiTheme="minorHAnsi" w:cstheme="minorHAnsi"/>
          <w:sz w:val="22"/>
          <w:lang w:val="en"/>
        </w:rPr>
        <w:t xml:space="preserve">ecent initiatives such as My Health Record (to consolidate citizens’ medical information in one secure government record) and a national digital identity system, myGovID, could save Australia billions annually and dramatically simplify interactions with government for service users. However, negative </w:t>
      </w:r>
      <w:r>
        <w:rPr>
          <w:rFonts w:asciiTheme="minorHAnsi" w:hAnsiTheme="minorHAnsi" w:cstheme="minorHAnsi"/>
          <w:sz w:val="22"/>
          <w:lang w:val="en"/>
        </w:rPr>
        <w:t xml:space="preserve">media and </w:t>
      </w:r>
      <w:r w:rsidRPr="002707FB">
        <w:rPr>
          <w:rFonts w:asciiTheme="minorHAnsi" w:hAnsiTheme="minorHAnsi" w:cstheme="minorHAnsi"/>
          <w:sz w:val="22"/>
          <w:lang w:val="en"/>
        </w:rPr>
        <w:t xml:space="preserve">community reactions in late 2018 showed </w:t>
      </w:r>
      <w:r>
        <w:rPr>
          <w:rFonts w:asciiTheme="minorHAnsi" w:hAnsiTheme="minorHAnsi" w:cstheme="minorHAnsi"/>
          <w:sz w:val="22"/>
          <w:lang w:val="en"/>
        </w:rPr>
        <w:t xml:space="preserve">that </w:t>
      </w:r>
      <w:r w:rsidRPr="002707FB">
        <w:rPr>
          <w:rFonts w:asciiTheme="minorHAnsi" w:hAnsiTheme="minorHAnsi" w:cstheme="minorHAnsi"/>
          <w:sz w:val="22"/>
          <w:lang w:val="en"/>
        </w:rPr>
        <w:t xml:space="preserve">policy-makers cannot assume citizens’ willingness to trust government </w:t>
      </w:r>
      <w:r>
        <w:rPr>
          <w:rFonts w:asciiTheme="minorHAnsi" w:hAnsiTheme="minorHAnsi" w:cstheme="minorHAnsi"/>
          <w:sz w:val="22"/>
          <w:lang w:val="en"/>
        </w:rPr>
        <w:t>to collect and manage</w:t>
      </w:r>
      <w:r w:rsidRPr="002707FB">
        <w:rPr>
          <w:rFonts w:asciiTheme="minorHAnsi" w:hAnsiTheme="minorHAnsi" w:cstheme="minorHAnsi"/>
          <w:sz w:val="22"/>
          <w:lang w:val="en"/>
        </w:rPr>
        <w:t xml:space="preserve"> their data. </w:t>
      </w:r>
      <w:r>
        <w:rPr>
          <w:rFonts w:asciiTheme="minorHAnsi" w:hAnsiTheme="minorHAnsi" w:cstheme="minorHAnsi"/>
          <w:sz w:val="22"/>
          <w:lang w:val="en"/>
        </w:rPr>
        <w:t xml:space="preserve">A higher than estimated </w:t>
      </w:r>
      <w:r w:rsidRPr="002707FB">
        <w:rPr>
          <w:rFonts w:asciiTheme="minorHAnsi" w:hAnsiTheme="minorHAnsi" w:cstheme="minorHAnsi"/>
          <w:sz w:val="22"/>
          <w:lang w:val="en"/>
        </w:rPr>
        <w:t>number of citizens opt</w:t>
      </w:r>
      <w:r>
        <w:rPr>
          <w:rFonts w:asciiTheme="minorHAnsi" w:hAnsiTheme="minorHAnsi" w:cstheme="minorHAnsi"/>
          <w:sz w:val="22"/>
          <w:lang w:val="en"/>
        </w:rPr>
        <w:t>ed</w:t>
      </w:r>
      <w:r w:rsidRPr="002707FB">
        <w:rPr>
          <w:rFonts w:asciiTheme="minorHAnsi" w:hAnsiTheme="minorHAnsi" w:cstheme="minorHAnsi"/>
          <w:sz w:val="22"/>
          <w:lang w:val="en"/>
        </w:rPr>
        <w:t xml:space="preserve"> out of the My Health Record program</w:t>
      </w:r>
      <w:r>
        <w:rPr>
          <w:rFonts w:asciiTheme="minorHAnsi" w:hAnsiTheme="minorHAnsi" w:cstheme="minorHAnsi"/>
          <w:sz w:val="22"/>
          <w:lang w:val="en"/>
        </w:rPr>
        <w:t>, attributed</w:t>
      </w:r>
      <w:r w:rsidRPr="002707FB">
        <w:rPr>
          <w:rFonts w:asciiTheme="minorHAnsi" w:hAnsiTheme="minorHAnsi" w:cstheme="minorHAnsi"/>
          <w:sz w:val="22"/>
          <w:lang w:val="en"/>
        </w:rPr>
        <w:t xml:space="preserve"> </w:t>
      </w:r>
      <w:r>
        <w:rPr>
          <w:rFonts w:asciiTheme="minorHAnsi" w:hAnsiTheme="minorHAnsi" w:cstheme="minorHAnsi"/>
          <w:sz w:val="22"/>
          <w:lang w:val="en"/>
        </w:rPr>
        <w:t xml:space="preserve">to </w:t>
      </w:r>
      <w:r w:rsidRPr="002707FB">
        <w:rPr>
          <w:rFonts w:asciiTheme="minorHAnsi" w:hAnsiTheme="minorHAnsi" w:cstheme="minorHAnsi"/>
          <w:sz w:val="22"/>
          <w:lang w:val="en"/>
        </w:rPr>
        <w:t>priv</w:t>
      </w:r>
      <w:r>
        <w:rPr>
          <w:rFonts w:asciiTheme="minorHAnsi" w:hAnsiTheme="minorHAnsi" w:cstheme="minorHAnsi"/>
          <w:sz w:val="22"/>
          <w:lang w:val="en"/>
        </w:rPr>
        <w:t xml:space="preserve">acy and cyber security concerns. Media coverage of the </w:t>
      </w:r>
      <w:r w:rsidRPr="002707FB">
        <w:rPr>
          <w:rFonts w:asciiTheme="minorHAnsi" w:hAnsiTheme="minorHAnsi" w:cstheme="minorHAnsi"/>
          <w:sz w:val="22"/>
          <w:lang w:val="en"/>
        </w:rPr>
        <w:t xml:space="preserve">myGovID </w:t>
      </w:r>
      <w:r>
        <w:rPr>
          <w:rFonts w:asciiTheme="minorHAnsi" w:hAnsiTheme="minorHAnsi" w:cstheme="minorHAnsi"/>
          <w:sz w:val="22"/>
          <w:lang w:val="en"/>
        </w:rPr>
        <w:t>initiative has also focused on privacy concerns</w:t>
      </w:r>
      <w:r w:rsidRPr="002707FB">
        <w:rPr>
          <w:rFonts w:asciiTheme="minorHAnsi" w:hAnsiTheme="minorHAnsi" w:cstheme="minorHAnsi"/>
          <w:sz w:val="22"/>
          <w:lang w:val="en"/>
        </w:rPr>
        <w:t>.</w:t>
      </w:r>
      <w:r w:rsidRPr="002707FB">
        <w:rPr>
          <w:rFonts w:asciiTheme="minorHAnsi" w:hAnsiTheme="minorHAnsi" w:cstheme="minorHAnsi"/>
          <w:sz w:val="22"/>
          <w:vertAlign w:val="superscript"/>
          <w:lang w:val="en"/>
        </w:rPr>
        <w:endnoteReference w:id="27"/>
      </w:r>
      <w:r w:rsidRPr="006F7F19">
        <w:rPr>
          <w:rFonts w:asciiTheme="minorHAnsi" w:hAnsiTheme="minorHAnsi" w:cstheme="minorHAnsi"/>
          <w:i/>
          <w:noProof/>
          <w:color w:val="1F497D" w:themeColor="text2"/>
          <w:sz w:val="22"/>
          <w:lang w:eastAsia="en-AU"/>
        </w:rPr>
        <w:t xml:space="preserve"> </w:t>
      </w:r>
    </w:p>
    <w:p w14:paraId="20BF3BDA" w14:textId="77777777" w:rsidR="000B649B" w:rsidRDefault="000B649B" w:rsidP="000B649B">
      <w:pPr>
        <w:spacing w:after="0" w:line="240" w:lineRule="auto"/>
        <w:rPr>
          <w:rFonts w:asciiTheme="minorHAnsi" w:hAnsiTheme="minorHAnsi" w:cstheme="minorHAnsi"/>
          <w:sz w:val="22"/>
          <w:lang w:val="en"/>
        </w:rPr>
      </w:pPr>
    </w:p>
    <w:p w14:paraId="6367D9F5" w14:textId="77777777" w:rsidR="000B649B" w:rsidRPr="002707FB" w:rsidRDefault="000B649B" w:rsidP="000B649B">
      <w:pPr>
        <w:spacing w:after="0" w:line="240" w:lineRule="auto"/>
        <w:rPr>
          <w:rFonts w:asciiTheme="minorHAnsi" w:hAnsiTheme="minorHAnsi" w:cstheme="minorHAnsi"/>
          <w:sz w:val="22"/>
          <w:lang w:val="en"/>
        </w:rPr>
      </w:pPr>
      <w:r>
        <w:rPr>
          <w:rFonts w:asciiTheme="minorHAnsi" w:hAnsiTheme="minorHAnsi" w:cstheme="minorHAnsi"/>
          <w:sz w:val="22"/>
          <w:lang w:val="en"/>
        </w:rPr>
        <w:t>This is consistent with emerging issues for industry and innovation policy-makers discussed in Section IV. Here too, trust and social license issues must be addressed in order to advance other policy goals, whether productivity increases or better satisfaction with government service design by end-users.</w:t>
      </w:r>
    </w:p>
    <w:p w14:paraId="22217BF3" w14:textId="77777777" w:rsidR="000B649B" w:rsidRPr="002707FB" w:rsidRDefault="000B649B" w:rsidP="000B649B">
      <w:pPr>
        <w:spacing w:after="0" w:line="240" w:lineRule="auto"/>
        <w:rPr>
          <w:rFonts w:asciiTheme="minorHAnsi" w:hAnsiTheme="minorHAnsi" w:cstheme="minorHAnsi"/>
          <w:b/>
          <w:i/>
          <w:sz w:val="22"/>
          <w:lang w:val="en"/>
        </w:rPr>
      </w:pPr>
    </w:p>
    <w:p w14:paraId="799CDAFC" w14:textId="77777777" w:rsidR="000B649B" w:rsidRPr="002707FB" w:rsidRDefault="000B649B" w:rsidP="000B649B">
      <w:pPr>
        <w:pStyle w:val="Heading2"/>
        <w:rPr>
          <w:lang w:val="en"/>
        </w:rPr>
      </w:pPr>
      <w:r w:rsidRPr="002707FB">
        <w:rPr>
          <w:lang w:val="en"/>
        </w:rPr>
        <w:t xml:space="preserve">Canadian </w:t>
      </w:r>
      <w:r>
        <w:rPr>
          <w:lang w:val="en"/>
        </w:rPr>
        <w:t>challenges and policy responses</w:t>
      </w:r>
    </w:p>
    <w:p w14:paraId="118A0137" w14:textId="77777777" w:rsidR="000B649B" w:rsidRDefault="000B649B" w:rsidP="000B649B">
      <w:pPr>
        <w:spacing w:after="0" w:line="240" w:lineRule="auto"/>
        <w:rPr>
          <w:rFonts w:asciiTheme="minorHAnsi" w:hAnsiTheme="minorHAnsi" w:cstheme="minorHAnsi"/>
          <w:sz w:val="22"/>
          <w:lang w:val="en"/>
        </w:rPr>
      </w:pPr>
      <w:r>
        <w:rPr>
          <w:rFonts w:asciiTheme="minorHAnsi" w:hAnsiTheme="minorHAnsi" w:cstheme="minorHAnsi"/>
          <w:sz w:val="22"/>
          <w:lang w:val="en"/>
        </w:rPr>
        <w:t>T</w:t>
      </w:r>
      <w:r w:rsidRPr="00B81DD8">
        <w:rPr>
          <w:rFonts w:asciiTheme="minorHAnsi" w:hAnsiTheme="minorHAnsi" w:cstheme="minorHAnsi"/>
          <w:sz w:val="22"/>
          <w:lang w:val="en"/>
        </w:rPr>
        <w:t>hrough many of its improved digital platforms, the Canad</w:t>
      </w:r>
      <w:r>
        <w:rPr>
          <w:rFonts w:asciiTheme="minorHAnsi" w:hAnsiTheme="minorHAnsi" w:cstheme="minorHAnsi"/>
          <w:sz w:val="22"/>
          <w:lang w:val="en"/>
        </w:rPr>
        <w:t>ian Government</w:t>
      </w:r>
      <w:r w:rsidRPr="00B81DD8">
        <w:rPr>
          <w:rFonts w:asciiTheme="minorHAnsi" w:hAnsiTheme="minorHAnsi" w:cstheme="minorHAnsi"/>
          <w:sz w:val="22"/>
          <w:lang w:val="en"/>
        </w:rPr>
        <w:t xml:space="preserve"> routin</w:t>
      </w:r>
      <w:r>
        <w:rPr>
          <w:rFonts w:asciiTheme="minorHAnsi" w:hAnsiTheme="minorHAnsi" w:cstheme="minorHAnsi"/>
          <w:sz w:val="22"/>
          <w:lang w:val="en"/>
        </w:rPr>
        <w:t xml:space="preserve">ely seeks input from the public, and Canada </w:t>
      </w:r>
      <w:r w:rsidRPr="00B81DD8">
        <w:rPr>
          <w:rFonts w:asciiTheme="minorHAnsi" w:hAnsiTheme="minorHAnsi" w:cstheme="minorHAnsi"/>
          <w:sz w:val="22"/>
          <w:lang w:val="en"/>
        </w:rPr>
        <w:t>continues to seek ways to improve its digital platforms and services in order to facilitate mor</w:t>
      </w:r>
      <w:r>
        <w:rPr>
          <w:rFonts w:asciiTheme="minorHAnsi" w:hAnsiTheme="minorHAnsi" w:cstheme="minorHAnsi"/>
          <w:sz w:val="22"/>
          <w:lang w:val="en"/>
        </w:rPr>
        <w:t>e user-centric program design.</w:t>
      </w:r>
    </w:p>
    <w:p w14:paraId="765D64A2" w14:textId="77777777" w:rsidR="000B649B" w:rsidRDefault="000B649B" w:rsidP="000B649B">
      <w:pPr>
        <w:spacing w:after="0" w:line="240" w:lineRule="auto"/>
        <w:rPr>
          <w:rFonts w:asciiTheme="minorHAnsi" w:hAnsiTheme="minorHAnsi" w:cstheme="minorHAnsi"/>
          <w:sz w:val="22"/>
          <w:lang w:val="en"/>
        </w:rPr>
      </w:pPr>
    </w:p>
    <w:p w14:paraId="77EA89E4" w14:textId="77777777" w:rsidR="000B649B" w:rsidRDefault="000B649B" w:rsidP="000B649B">
      <w:pPr>
        <w:spacing w:after="0" w:line="240" w:lineRule="auto"/>
        <w:rPr>
          <w:rFonts w:asciiTheme="minorHAnsi" w:hAnsiTheme="minorHAnsi" w:cstheme="minorHAnsi"/>
          <w:sz w:val="22"/>
          <w:lang w:val="en"/>
        </w:rPr>
      </w:pPr>
      <w:r w:rsidRPr="00B81DD8">
        <w:rPr>
          <w:rFonts w:asciiTheme="minorHAnsi" w:hAnsiTheme="minorHAnsi" w:cstheme="minorHAnsi"/>
          <w:sz w:val="22"/>
          <w:lang w:val="en"/>
        </w:rPr>
        <w:t xml:space="preserve">For example, </w:t>
      </w:r>
      <w:r w:rsidRPr="00B81DD8">
        <w:rPr>
          <w:rStyle w:val="xn-location"/>
          <w:rFonts w:asciiTheme="minorHAnsi" w:hAnsiTheme="minorHAnsi" w:cstheme="minorHAnsi"/>
          <w:sz w:val="22"/>
        </w:rPr>
        <w:t xml:space="preserve">in an effort to provide </w:t>
      </w:r>
      <w:r w:rsidRPr="00B81DD8">
        <w:rPr>
          <w:rFonts w:asciiTheme="minorHAnsi" w:hAnsiTheme="minorHAnsi" w:cstheme="minorHAnsi"/>
          <w:sz w:val="22"/>
          <w:lang w:val="en"/>
        </w:rPr>
        <w:t>Canadians with reliable, accessible</w:t>
      </w:r>
      <w:r>
        <w:rPr>
          <w:rFonts w:asciiTheme="minorHAnsi" w:hAnsiTheme="minorHAnsi" w:cstheme="minorHAnsi"/>
          <w:sz w:val="22"/>
          <w:lang w:val="en"/>
        </w:rPr>
        <w:t>,</w:t>
      </w:r>
      <w:r w:rsidRPr="00B81DD8">
        <w:rPr>
          <w:rFonts w:asciiTheme="minorHAnsi" w:hAnsiTheme="minorHAnsi" w:cstheme="minorHAnsi"/>
          <w:sz w:val="22"/>
          <w:lang w:val="en"/>
        </w:rPr>
        <w:t xml:space="preserve"> and secure services that are seamless and digitally enabled, the Canad</w:t>
      </w:r>
      <w:r>
        <w:rPr>
          <w:rFonts w:asciiTheme="minorHAnsi" w:hAnsiTheme="minorHAnsi" w:cstheme="minorHAnsi"/>
          <w:sz w:val="22"/>
          <w:lang w:val="en"/>
        </w:rPr>
        <w:t>i</w:t>
      </w:r>
      <w:r w:rsidRPr="00B81DD8">
        <w:rPr>
          <w:rFonts w:asciiTheme="minorHAnsi" w:hAnsiTheme="minorHAnsi" w:cstheme="minorHAnsi"/>
          <w:sz w:val="22"/>
          <w:lang w:val="en"/>
        </w:rPr>
        <w:t>a</w:t>
      </w:r>
      <w:r>
        <w:rPr>
          <w:rFonts w:asciiTheme="minorHAnsi" w:hAnsiTheme="minorHAnsi" w:cstheme="minorHAnsi"/>
          <w:sz w:val="22"/>
          <w:lang w:val="en"/>
        </w:rPr>
        <w:t>n Government</w:t>
      </w:r>
      <w:r w:rsidRPr="00B81DD8">
        <w:rPr>
          <w:rFonts w:asciiTheme="minorHAnsi" w:hAnsiTheme="minorHAnsi" w:cstheme="minorHAnsi"/>
          <w:sz w:val="22"/>
          <w:lang w:val="en"/>
        </w:rPr>
        <w:t xml:space="preserve"> </w:t>
      </w:r>
      <w:r>
        <w:rPr>
          <w:rFonts w:asciiTheme="minorHAnsi" w:hAnsiTheme="minorHAnsi" w:cstheme="minorHAnsi"/>
          <w:sz w:val="22"/>
          <w:lang w:val="en"/>
        </w:rPr>
        <w:t xml:space="preserve">has </w:t>
      </w:r>
      <w:r w:rsidRPr="00B81DD8">
        <w:rPr>
          <w:rFonts w:asciiTheme="minorHAnsi" w:hAnsiTheme="minorHAnsi" w:cstheme="minorHAnsi"/>
          <w:sz w:val="22"/>
          <w:lang w:val="en"/>
        </w:rPr>
        <w:t xml:space="preserve">launched the </w:t>
      </w:r>
      <w:r w:rsidRPr="001A4495">
        <w:rPr>
          <w:rFonts w:asciiTheme="minorHAnsi" w:hAnsiTheme="minorHAnsi" w:cstheme="minorHAnsi"/>
          <w:sz w:val="22"/>
          <w:lang w:val="en"/>
        </w:rPr>
        <w:t>Canadian Digital Service</w:t>
      </w:r>
      <w:r>
        <w:rPr>
          <w:rFonts w:asciiTheme="minorHAnsi" w:hAnsiTheme="minorHAnsi" w:cstheme="minorHAnsi"/>
          <w:sz w:val="22"/>
          <w:lang w:val="en"/>
        </w:rPr>
        <w:t xml:space="preserve"> (CDS). </w:t>
      </w:r>
      <w:r w:rsidRPr="00B81DD8">
        <w:rPr>
          <w:rFonts w:asciiTheme="minorHAnsi" w:hAnsiTheme="minorHAnsi" w:cstheme="minorHAnsi"/>
          <w:sz w:val="22"/>
          <w:lang w:val="en"/>
        </w:rPr>
        <w:t>CDS provides delivery capacity for the President of the Treasury Board’s expanded mandate as Canada’s first-ever Minister for Digital Government, ser</w:t>
      </w:r>
      <w:r>
        <w:rPr>
          <w:rFonts w:asciiTheme="minorHAnsi" w:hAnsiTheme="minorHAnsi" w:cstheme="minorHAnsi"/>
          <w:sz w:val="22"/>
          <w:lang w:val="en"/>
        </w:rPr>
        <w:t>ving as a digital delivery unit</w:t>
      </w:r>
      <w:r w:rsidRPr="00B81DD8">
        <w:rPr>
          <w:rFonts w:asciiTheme="minorHAnsi" w:hAnsiTheme="minorHAnsi" w:cstheme="minorHAnsi"/>
          <w:sz w:val="22"/>
          <w:lang w:val="en"/>
        </w:rPr>
        <w:t xml:space="preserve"> for Government, inside government.  </w:t>
      </w:r>
    </w:p>
    <w:p w14:paraId="7BB8F785" w14:textId="77777777" w:rsidR="000B649B" w:rsidRDefault="000B649B" w:rsidP="000B649B">
      <w:pPr>
        <w:pStyle w:val="ListParagraph"/>
        <w:autoSpaceDE w:val="0"/>
        <w:autoSpaceDN w:val="0"/>
        <w:adjustRightInd w:val="0"/>
        <w:spacing w:line="240" w:lineRule="auto"/>
        <w:ind w:left="0"/>
        <w:rPr>
          <w:rFonts w:asciiTheme="minorHAnsi" w:hAnsiTheme="minorHAnsi" w:cstheme="minorHAnsi"/>
          <w:sz w:val="22"/>
        </w:rPr>
      </w:pPr>
    </w:p>
    <w:p w14:paraId="01FCA7B9" w14:textId="77777777" w:rsidR="000B649B" w:rsidRPr="002707FB" w:rsidRDefault="000B649B" w:rsidP="000B649B">
      <w:pPr>
        <w:pStyle w:val="ListParagraph"/>
        <w:autoSpaceDE w:val="0"/>
        <w:autoSpaceDN w:val="0"/>
        <w:adjustRightInd w:val="0"/>
        <w:spacing w:line="240" w:lineRule="auto"/>
        <w:ind w:left="0"/>
        <w:rPr>
          <w:rFonts w:asciiTheme="minorHAnsi" w:hAnsiTheme="minorHAnsi" w:cstheme="minorHAnsi"/>
          <w:sz w:val="22"/>
          <w:lang w:val="en-US"/>
        </w:rPr>
      </w:pPr>
      <w:r w:rsidRPr="002707FB">
        <w:rPr>
          <w:rFonts w:asciiTheme="minorHAnsi" w:hAnsiTheme="minorHAnsi" w:cstheme="minorHAnsi"/>
          <w:sz w:val="22"/>
          <w:lang w:val="en-US"/>
        </w:rPr>
        <w:t xml:space="preserve">Building on the </w:t>
      </w:r>
      <w:r>
        <w:rPr>
          <w:rFonts w:asciiTheme="minorHAnsi" w:hAnsiTheme="minorHAnsi" w:cstheme="minorHAnsi"/>
          <w:sz w:val="22"/>
          <w:lang w:val="en-US"/>
        </w:rPr>
        <w:t>Canadian Government’s Service Strategy—which is</w:t>
      </w:r>
      <w:r w:rsidRPr="002707FB">
        <w:rPr>
          <w:rFonts w:asciiTheme="minorHAnsi" w:hAnsiTheme="minorHAnsi" w:cstheme="minorHAnsi"/>
          <w:sz w:val="22"/>
          <w:lang w:val="en-US"/>
        </w:rPr>
        <w:t xml:space="preserve"> focused </w:t>
      </w:r>
      <w:r w:rsidRPr="002707FB">
        <w:rPr>
          <w:rFonts w:asciiTheme="minorHAnsi" w:hAnsiTheme="minorHAnsi" w:cstheme="minorHAnsi"/>
          <w:sz w:val="22"/>
          <w:lang w:val="en"/>
        </w:rPr>
        <w:t>on three results: client-driven design an</w:t>
      </w:r>
      <w:r>
        <w:rPr>
          <w:rFonts w:asciiTheme="minorHAnsi" w:hAnsiTheme="minorHAnsi" w:cstheme="minorHAnsi"/>
          <w:sz w:val="22"/>
          <w:lang w:val="en"/>
        </w:rPr>
        <w:t xml:space="preserve">d delivery across all channels; </w:t>
      </w:r>
      <w:r w:rsidRPr="002707FB">
        <w:rPr>
          <w:rFonts w:asciiTheme="minorHAnsi" w:hAnsiTheme="minorHAnsi" w:cstheme="minorHAnsi"/>
          <w:sz w:val="22"/>
          <w:lang w:val="en"/>
        </w:rPr>
        <w:t>easy online services</w:t>
      </w:r>
      <w:r>
        <w:rPr>
          <w:rFonts w:asciiTheme="minorHAnsi" w:hAnsiTheme="minorHAnsi" w:cstheme="minorHAnsi"/>
          <w:sz w:val="22"/>
          <w:lang w:val="en"/>
        </w:rPr>
        <w:t>; and</w:t>
      </w:r>
      <w:r w:rsidRPr="002707FB">
        <w:rPr>
          <w:rFonts w:asciiTheme="minorHAnsi" w:hAnsiTheme="minorHAnsi" w:cstheme="minorHAnsi"/>
          <w:sz w:val="22"/>
          <w:lang w:val="en"/>
        </w:rPr>
        <w:t xml:space="preserve"> seamless delivery</w:t>
      </w:r>
      <w:r>
        <w:rPr>
          <w:rFonts w:asciiTheme="minorHAnsi" w:hAnsiTheme="minorHAnsi" w:cstheme="minorHAnsi"/>
          <w:sz w:val="22"/>
          <w:lang w:val="en-US"/>
        </w:rPr>
        <w:t>—</w:t>
      </w:r>
      <w:r w:rsidRPr="002707FB">
        <w:rPr>
          <w:rFonts w:asciiTheme="minorHAnsi" w:hAnsiTheme="minorHAnsi" w:cstheme="minorHAnsi"/>
          <w:sz w:val="22"/>
          <w:lang w:val="en-US"/>
        </w:rPr>
        <w:t xml:space="preserve">Service Canada’s </w:t>
      </w:r>
      <w:r w:rsidRPr="00E525F5">
        <w:rPr>
          <w:rFonts w:asciiTheme="minorHAnsi" w:hAnsiTheme="minorHAnsi" w:cstheme="minorHAnsi"/>
          <w:sz w:val="22"/>
          <w:lang w:val="en-US"/>
        </w:rPr>
        <w:t>Service Transformation Plan</w:t>
      </w:r>
      <w:r w:rsidRPr="002707FB">
        <w:rPr>
          <w:rFonts w:asciiTheme="minorHAnsi" w:hAnsiTheme="minorHAnsi" w:cstheme="minorHAnsi"/>
          <w:sz w:val="22"/>
          <w:lang w:val="en-US"/>
        </w:rPr>
        <w:t xml:space="preserve"> (STP) was co-developed with Canadians to support its move from strategy to implementation for </w:t>
      </w:r>
      <w:r>
        <w:rPr>
          <w:rFonts w:asciiTheme="minorHAnsi" w:hAnsiTheme="minorHAnsi" w:cstheme="minorHAnsi"/>
          <w:sz w:val="22"/>
          <w:lang w:val="en-US"/>
        </w:rPr>
        <w:t xml:space="preserve">the </w:t>
      </w:r>
      <w:r w:rsidRPr="002707FB">
        <w:rPr>
          <w:rFonts w:asciiTheme="minorHAnsi" w:hAnsiTheme="minorHAnsi" w:cstheme="minorHAnsi"/>
          <w:sz w:val="22"/>
          <w:lang w:val="en-US"/>
        </w:rPr>
        <w:t xml:space="preserve">transformation and modernization of its services.  </w:t>
      </w:r>
      <w:r w:rsidRPr="00E91FA0">
        <w:rPr>
          <w:rFonts w:asciiTheme="minorHAnsi" w:hAnsiTheme="minorHAnsi"/>
          <w:sz w:val="22"/>
          <w:lang w:val="en-US"/>
        </w:rPr>
        <w:t>This plan was created through a design thinking co-creation process. Since April 2018</w:t>
      </w:r>
      <w:r w:rsidRPr="002707FB">
        <w:rPr>
          <w:rFonts w:asciiTheme="minorHAnsi" w:hAnsiTheme="minorHAnsi" w:cstheme="minorHAnsi"/>
          <w:sz w:val="22"/>
          <w:lang w:val="en-US"/>
        </w:rPr>
        <w:t xml:space="preserve">, the </w:t>
      </w:r>
      <w:r>
        <w:rPr>
          <w:rFonts w:asciiTheme="minorHAnsi" w:hAnsiTheme="minorHAnsi" w:cstheme="minorHAnsi"/>
          <w:sz w:val="22"/>
          <w:lang w:val="en-US"/>
        </w:rPr>
        <w:t xml:space="preserve">Canadian </w:t>
      </w:r>
      <w:r w:rsidRPr="002707FB">
        <w:rPr>
          <w:rFonts w:asciiTheme="minorHAnsi" w:hAnsiTheme="minorHAnsi" w:cstheme="minorHAnsi"/>
          <w:sz w:val="22"/>
          <w:lang w:val="en-US"/>
        </w:rPr>
        <w:t xml:space="preserve">Government has </w:t>
      </w:r>
      <w:r w:rsidRPr="00E91FA0">
        <w:rPr>
          <w:rFonts w:asciiTheme="minorHAnsi" w:hAnsiTheme="minorHAnsi"/>
          <w:sz w:val="22"/>
          <w:lang w:val="en-US"/>
        </w:rPr>
        <w:t>engaged</w:t>
      </w:r>
      <w:r w:rsidRPr="002707FB">
        <w:rPr>
          <w:rFonts w:asciiTheme="minorHAnsi" w:hAnsiTheme="minorHAnsi" w:cstheme="minorHAnsi"/>
          <w:sz w:val="22"/>
          <w:lang w:val="en-US"/>
        </w:rPr>
        <w:t xml:space="preserve"> over </w:t>
      </w:r>
      <w:r w:rsidRPr="00E91FA0">
        <w:rPr>
          <w:rFonts w:asciiTheme="minorHAnsi" w:hAnsiTheme="minorHAnsi"/>
          <w:sz w:val="22"/>
          <w:lang w:val="en-US"/>
        </w:rPr>
        <w:t>16</w:t>
      </w:r>
      <w:r w:rsidRPr="002707FB">
        <w:rPr>
          <w:rFonts w:asciiTheme="minorHAnsi" w:hAnsiTheme="minorHAnsi" w:cstheme="minorHAnsi"/>
          <w:sz w:val="22"/>
          <w:lang w:val="en-US"/>
        </w:rPr>
        <w:t xml:space="preserve">,000 </w:t>
      </w:r>
      <w:r>
        <w:rPr>
          <w:rFonts w:asciiTheme="minorHAnsi" w:hAnsiTheme="minorHAnsi"/>
          <w:sz w:val="22"/>
          <w:lang w:val="en-US"/>
        </w:rPr>
        <w:t>people</w:t>
      </w:r>
      <w:r w:rsidRPr="002707FB">
        <w:rPr>
          <w:rFonts w:asciiTheme="minorHAnsi" w:hAnsiTheme="minorHAnsi" w:cstheme="minorHAnsi"/>
          <w:sz w:val="22"/>
          <w:lang w:val="en-US"/>
        </w:rPr>
        <w:t xml:space="preserve"> regarding its Service Transformation Plan solutions</w:t>
      </w:r>
      <w:r w:rsidRPr="00E91FA0">
        <w:rPr>
          <w:rFonts w:asciiTheme="minorHAnsi" w:hAnsiTheme="minorHAnsi"/>
          <w:sz w:val="22"/>
          <w:lang w:val="en-US"/>
        </w:rPr>
        <w:t xml:space="preserve"> (including 1073 employees and</w:t>
      </w:r>
      <w:r>
        <w:rPr>
          <w:rFonts w:asciiTheme="minorHAnsi" w:hAnsiTheme="minorHAnsi"/>
          <w:sz w:val="22"/>
          <w:lang w:val="en-US"/>
        </w:rPr>
        <w:t xml:space="preserve"> 15,200 clients). </w:t>
      </w:r>
      <w:r w:rsidRPr="00E91FA0">
        <w:rPr>
          <w:rFonts w:asciiTheme="minorHAnsi" w:hAnsiTheme="minorHAnsi"/>
          <w:sz w:val="22"/>
          <w:lang w:val="en-US"/>
        </w:rPr>
        <w:t>To date, STP achievements include:</w:t>
      </w:r>
    </w:p>
    <w:p w14:paraId="54BB282B" w14:textId="77777777" w:rsidR="000B649B" w:rsidRPr="00E91FA0" w:rsidRDefault="000B649B" w:rsidP="000B649B">
      <w:pPr>
        <w:pStyle w:val="ListParagraph"/>
        <w:autoSpaceDE w:val="0"/>
        <w:autoSpaceDN w:val="0"/>
        <w:adjustRightInd w:val="0"/>
        <w:spacing w:line="240" w:lineRule="auto"/>
        <w:ind w:left="0"/>
        <w:rPr>
          <w:rFonts w:asciiTheme="minorHAnsi" w:hAnsiTheme="minorHAnsi"/>
          <w:sz w:val="22"/>
          <w:lang w:val="en-US"/>
        </w:rPr>
      </w:pPr>
    </w:p>
    <w:p w14:paraId="2B00C9CC" w14:textId="77777777" w:rsidR="000B649B" w:rsidRPr="002A73AA" w:rsidRDefault="000B649B" w:rsidP="00BC2039">
      <w:pPr>
        <w:pStyle w:val="ListParagraph"/>
        <w:numPr>
          <w:ilvl w:val="0"/>
          <w:numId w:val="15"/>
        </w:numPr>
        <w:autoSpaceDE w:val="0"/>
        <w:autoSpaceDN w:val="0"/>
        <w:adjustRightInd w:val="0"/>
        <w:spacing w:line="240" w:lineRule="auto"/>
        <w:rPr>
          <w:rFonts w:asciiTheme="minorHAnsi" w:hAnsiTheme="minorHAnsi"/>
          <w:sz w:val="22"/>
          <w:lang w:val="en-US"/>
        </w:rPr>
      </w:pPr>
      <w:r w:rsidRPr="002A73AA">
        <w:rPr>
          <w:rFonts w:asciiTheme="minorHAnsi" w:hAnsiTheme="minorHAnsi"/>
          <w:sz w:val="22"/>
          <w:lang w:val="en-US"/>
        </w:rPr>
        <w:t>Using generic email notifications to prompt clients to log in to their My Service Canada Account (MSCA) fo</w:t>
      </w:r>
      <w:r>
        <w:rPr>
          <w:rFonts w:asciiTheme="minorHAnsi" w:hAnsiTheme="minorHAnsi"/>
          <w:sz w:val="22"/>
          <w:lang w:val="en-US"/>
        </w:rPr>
        <w:t>r information on their EI claim</w:t>
      </w:r>
    </w:p>
    <w:p w14:paraId="584A6F39" w14:textId="77777777" w:rsidR="000B649B" w:rsidRPr="002A73AA" w:rsidRDefault="000B649B" w:rsidP="00BC2039">
      <w:pPr>
        <w:pStyle w:val="ListParagraph"/>
        <w:numPr>
          <w:ilvl w:val="0"/>
          <w:numId w:val="15"/>
        </w:numPr>
        <w:autoSpaceDE w:val="0"/>
        <w:autoSpaceDN w:val="0"/>
        <w:adjustRightInd w:val="0"/>
        <w:spacing w:line="240" w:lineRule="auto"/>
        <w:rPr>
          <w:rFonts w:asciiTheme="minorHAnsi" w:hAnsiTheme="minorHAnsi"/>
          <w:sz w:val="22"/>
          <w:lang w:val="en-US"/>
        </w:rPr>
      </w:pPr>
      <w:r w:rsidRPr="002A73AA">
        <w:rPr>
          <w:rFonts w:asciiTheme="minorHAnsi" w:hAnsiTheme="minorHAnsi"/>
          <w:sz w:val="22"/>
          <w:lang w:val="en-US"/>
        </w:rPr>
        <w:t xml:space="preserve">Allowing clients to update their direct deposit information with either </w:t>
      </w:r>
      <w:r>
        <w:rPr>
          <w:rFonts w:asciiTheme="minorHAnsi" w:hAnsiTheme="minorHAnsi"/>
          <w:sz w:val="22"/>
          <w:lang w:val="en-US"/>
        </w:rPr>
        <w:t>Employment and Social Development Canada</w:t>
      </w:r>
      <w:r w:rsidRPr="002A73AA">
        <w:rPr>
          <w:rFonts w:asciiTheme="minorHAnsi" w:hAnsiTheme="minorHAnsi"/>
          <w:sz w:val="22"/>
          <w:lang w:val="en-US"/>
        </w:rPr>
        <w:t xml:space="preserve"> </w:t>
      </w:r>
      <w:r>
        <w:rPr>
          <w:rFonts w:asciiTheme="minorHAnsi" w:hAnsiTheme="minorHAnsi"/>
          <w:sz w:val="22"/>
          <w:lang w:val="en-US"/>
        </w:rPr>
        <w:t xml:space="preserve">(ESDC) </w:t>
      </w:r>
      <w:r w:rsidRPr="002A73AA">
        <w:rPr>
          <w:rFonts w:asciiTheme="minorHAnsi" w:hAnsiTheme="minorHAnsi"/>
          <w:sz w:val="22"/>
          <w:lang w:val="en-US"/>
        </w:rPr>
        <w:t>or the Canada Revenue Agency</w:t>
      </w:r>
      <w:r>
        <w:rPr>
          <w:rFonts w:asciiTheme="minorHAnsi" w:hAnsiTheme="minorHAnsi"/>
          <w:sz w:val="22"/>
          <w:lang w:val="en-US"/>
        </w:rPr>
        <w:t>,</w:t>
      </w:r>
      <w:r w:rsidRPr="002A73AA">
        <w:rPr>
          <w:rFonts w:asciiTheme="minorHAnsi" w:hAnsiTheme="minorHAnsi"/>
          <w:sz w:val="22"/>
          <w:lang w:val="en-US"/>
        </w:rPr>
        <w:t xml:space="preserve"> and have it shared with th</w:t>
      </w:r>
      <w:r>
        <w:rPr>
          <w:rFonts w:asciiTheme="minorHAnsi" w:hAnsiTheme="minorHAnsi"/>
          <w:sz w:val="22"/>
          <w:lang w:val="en-US"/>
        </w:rPr>
        <w:t>e other in “near real-time”</w:t>
      </w:r>
    </w:p>
    <w:p w14:paraId="3A99CEED" w14:textId="77777777" w:rsidR="000B649B" w:rsidRPr="00E91FA0" w:rsidRDefault="000B649B" w:rsidP="00BC2039">
      <w:pPr>
        <w:pStyle w:val="ListParagraph"/>
        <w:numPr>
          <w:ilvl w:val="0"/>
          <w:numId w:val="15"/>
        </w:numPr>
        <w:autoSpaceDE w:val="0"/>
        <w:autoSpaceDN w:val="0"/>
        <w:adjustRightInd w:val="0"/>
        <w:spacing w:line="240" w:lineRule="auto"/>
        <w:rPr>
          <w:rFonts w:asciiTheme="minorHAnsi" w:hAnsiTheme="minorHAnsi"/>
          <w:sz w:val="22"/>
          <w:lang w:val="en-US"/>
        </w:rPr>
      </w:pPr>
      <w:r w:rsidRPr="00E91FA0">
        <w:rPr>
          <w:rFonts w:asciiTheme="minorHAnsi" w:hAnsiTheme="minorHAnsi"/>
          <w:sz w:val="22"/>
          <w:lang w:val="en-US"/>
        </w:rPr>
        <w:t xml:space="preserve">Automatically enrolling over 15,000 low-income seniors a month for the General Income Supplement (GIS) without </w:t>
      </w:r>
      <w:r>
        <w:rPr>
          <w:rFonts w:asciiTheme="minorHAnsi" w:hAnsiTheme="minorHAnsi"/>
          <w:sz w:val="22"/>
          <w:lang w:val="en-US"/>
        </w:rPr>
        <w:t xml:space="preserve">them </w:t>
      </w:r>
      <w:r w:rsidRPr="00E91FA0">
        <w:rPr>
          <w:rFonts w:asciiTheme="minorHAnsi" w:hAnsiTheme="minorHAnsi"/>
          <w:sz w:val="22"/>
          <w:lang w:val="en-US"/>
        </w:rPr>
        <w:t>ever having to complete an initial application.</w:t>
      </w:r>
    </w:p>
    <w:p w14:paraId="39A41F2F" w14:textId="77777777" w:rsidR="000B649B" w:rsidRDefault="000B649B" w:rsidP="000B649B">
      <w:pPr>
        <w:pStyle w:val="ListParagraph"/>
        <w:autoSpaceDE w:val="0"/>
        <w:autoSpaceDN w:val="0"/>
        <w:adjustRightInd w:val="0"/>
        <w:spacing w:line="240" w:lineRule="auto"/>
        <w:ind w:left="0"/>
        <w:rPr>
          <w:rFonts w:asciiTheme="minorHAnsi" w:hAnsiTheme="minorHAnsi" w:cstheme="minorHAnsi"/>
          <w:sz w:val="22"/>
          <w:lang w:val="en-US"/>
        </w:rPr>
      </w:pPr>
    </w:p>
    <w:p w14:paraId="684D13AE" w14:textId="77777777" w:rsidR="000B649B" w:rsidRDefault="000B649B" w:rsidP="000B649B">
      <w:pPr>
        <w:spacing w:after="0" w:line="240" w:lineRule="auto"/>
        <w:rPr>
          <w:rFonts w:asciiTheme="minorHAnsi" w:hAnsiTheme="minorHAnsi" w:cstheme="minorHAnsi"/>
          <w:sz w:val="22"/>
        </w:rPr>
      </w:pPr>
      <w:r w:rsidRPr="002707FB">
        <w:rPr>
          <w:rFonts w:asciiTheme="minorHAnsi" w:hAnsiTheme="minorHAnsi" w:cstheme="minorHAnsi"/>
          <w:sz w:val="22"/>
        </w:rPr>
        <w:t xml:space="preserve">Moving forward, there is still </w:t>
      </w:r>
      <w:r>
        <w:rPr>
          <w:rFonts w:asciiTheme="minorHAnsi" w:hAnsiTheme="minorHAnsi" w:cstheme="minorHAnsi"/>
          <w:sz w:val="22"/>
        </w:rPr>
        <w:t>work to be done.</w:t>
      </w:r>
      <w:r w:rsidRPr="00E91FA0">
        <w:rPr>
          <w:rFonts w:asciiTheme="minorHAnsi" w:hAnsiTheme="minorHAnsi" w:cs="Times New Roman"/>
          <w:sz w:val="22"/>
        </w:rPr>
        <w:t xml:space="preserve"> </w:t>
      </w:r>
      <w:r w:rsidRPr="002707FB">
        <w:rPr>
          <w:rFonts w:asciiTheme="minorHAnsi" w:hAnsiTheme="minorHAnsi" w:cstheme="minorHAnsi"/>
          <w:sz w:val="22"/>
        </w:rPr>
        <w:t xml:space="preserve">Clients still have increasing expectations that programs </w:t>
      </w:r>
      <w:r>
        <w:rPr>
          <w:rFonts w:asciiTheme="minorHAnsi" w:hAnsiTheme="minorHAnsi" w:cstheme="minorHAnsi"/>
          <w:sz w:val="22"/>
        </w:rPr>
        <w:t>will be</w:t>
      </w:r>
      <w:r w:rsidRPr="002707FB">
        <w:rPr>
          <w:rFonts w:asciiTheme="minorHAnsi" w:hAnsiTheme="minorHAnsi" w:cstheme="minorHAnsi"/>
          <w:sz w:val="22"/>
        </w:rPr>
        <w:t xml:space="preserve"> more responsive and truly reflective of their needs</w:t>
      </w:r>
      <w:r>
        <w:rPr>
          <w:rFonts w:asciiTheme="minorHAnsi" w:hAnsiTheme="minorHAnsi" w:cstheme="minorHAnsi"/>
          <w:sz w:val="22"/>
        </w:rPr>
        <w:t>,</w:t>
      </w:r>
      <w:r w:rsidRPr="002707FB">
        <w:rPr>
          <w:rFonts w:asciiTheme="minorHAnsi" w:hAnsiTheme="minorHAnsi" w:cstheme="minorHAnsi"/>
          <w:sz w:val="22"/>
        </w:rPr>
        <w:t xml:space="preserve"> and that citizens must be included i</w:t>
      </w:r>
      <w:r>
        <w:rPr>
          <w:rFonts w:asciiTheme="minorHAnsi" w:hAnsiTheme="minorHAnsi" w:cstheme="minorHAnsi"/>
          <w:sz w:val="22"/>
        </w:rPr>
        <w:t>n program design and delivery.</w:t>
      </w:r>
    </w:p>
    <w:p w14:paraId="6FF8F098" w14:textId="77777777" w:rsidR="000B649B" w:rsidRDefault="000B649B" w:rsidP="000B649B">
      <w:pPr>
        <w:spacing w:after="0" w:line="240" w:lineRule="auto"/>
        <w:rPr>
          <w:rFonts w:asciiTheme="minorHAnsi" w:hAnsiTheme="minorHAnsi" w:cstheme="minorHAnsi"/>
          <w:sz w:val="22"/>
        </w:rPr>
      </w:pPr>
    </w:p>
    <w:p w14:paraId="3C32F71F" w14:textId="77777777" w:rsidR="000B649B" w:rsidRPr="003F4EFB" w:rsidRDefault="000B649B" w:rsidP="000B649B">
      <w:pPr>
        <w:spacing w:after="0" w:line="240" w:lineRule="auto"/>
        <w:rPr>
          <w:rFonts w:asciiTheme="minorHAnsi" w:hAnsiTheme="minorHAnsi" w:cs="Times New Roman"/>
          <w:sz w:val="22"/>
        </w:rPr>
      </w:pPr>
      <w:r w:rsidRPr="003F4EFB">
        <w:rPr>
          <w:rFonts w:asciiTheme="minorHAnsi" w:hAnsiTheme="minorHAnsi" w:cstheme="minorHAnsi"/>
          <w:sz w:val="22"/>
        </w:rPr>
        <w:t xml:space="preserve">In an effort to </w:t>
      </w:r>
      <w:r w:rsidRPr="003F4EFB">
        <w:rPr>
          <w:rFonts w:asciiTheme="minorHAnsi" w:hAnsiTheme="minorHAnsi" w:cstheme="minorHAnsi"/>
          <w:color w:val="000000" w:themeColor="text1"/>
          <w:sz w:val="22"/>
        </w:rPr>
        <w:t xml:space="preserve">engage clients in the policy generation process, the </w:t>
      </w:r>
      <w:r w:rsidRPr="00EB6803">
        <w:rPr>
          <w:rFonts w:asciiTheme="minorHAnsi" w:hAnsiTheme="minorHAnsi" w:cs="Times New Roman"/>
          <w:color w:val="000000" w:themeColor="text1"/>
          <w:sz w:val="22"/>
        </w:rPr>
        <w:t>ESDC acceleration hub</w:t>
      </w:r>
      <w:r w:rsidRPr="003F4EFB">
        <w:rPr>
          <w:rFonts w:asciiTheme="minorHAnsi" w:hAnsiTheme="minorHAnsi" w:cs="Times New Roman"/>
          <w:color w:val="000000" w:themeColor="text1"/>
          <w:sz w:val="22"/>
        </w:rPr>
        <w:t xml:space="preserve"> </w:t>
      </w:r>
      <w:r w:rsidRPr="003F4EFB">
        <w:rPr>
          <w:rFonts w:asciiTheme="minorHAnsi" w:hAnsiTheme="minorHAnsi" w:cstheme="minorHAnsi"/>
          <w:color w:val="000000" w:themeColor="text1"/>
          <w:sz w:val="22"/>
        </w:rPr>
        <w:t xml:space="preserve">has begun exploring a client-centric (outside-in) approach to developing and refining policy for ESDC programs and services.  Specifically, the department is in the initial stages of developing a </w:t>
      </w:r>
      <w:r w:rsidRPr="00EB6803">
        <w:rPr>
          <w:rFonts w:asciiTheme="minorHAnsi" w:hAnsiTheme="minorHAnsi" w:cstheme="minorHAnsi"/>
          <w:sz w:val="22"/>
        </w:rPr>
        <w:t>Client Centric Policy (CCP)</w:t>
      </w:r>
      <w:r w:rsidRPr="00EB6803">
        <w:rPr>
          <w:rFonts w:asciiTheme="minorHAnsi" w:hAnsiTheme="minorHAnsi" w:cs="Times New Roman"/>
          <w:sz w:val="22"/>
        </w:rPr>
        <w:t xml:space="preserve"> solution</w:t>
      </w:r>
      <w:r w:rsidRPr="003F4EFB">
        <w:rPr>
          <w:rFonts w:asciiTheme="minorHAnsi" w:hAnsiTheme="minorHAnsi" w:cs="Times New Roman"/>
          <w:sz w:val="22"/>
        </w:rPr>
        <w:t xml:space="preserve">, which is exploring ways to better collect input from Canadians to inform policy development. </w:t>
      </w:r>
      <w:r w:rsidRPr="003F4EFB">
        <w:rPr>
          <w:rFonts w:asciiTheme="minorHAnsi" w:hAnsiTheme="minorHAnsi" w:cstheme="minorHAnsi"/>
          <w:sz w:val="22"/>
        </w:rPr>
        <w:t>This aligns to Canada’s Plan on Open Government, which commits to fostering enhanced citizen participation in policy-making through greater collaboration and co-creation.</w:t>
      </w:r>
    </w:p>
    <w:p w14:paraId="0A3F3C81" w14:textId="77777777" w:rsidR="000B649B" w:rsidRPr="003F4EFB" w:rsidRDefault="000B649B" w:rsidP="000B649B">
      <w:pPr>
        <w:pStyle w:val="Default"/>
        <w:rPr>
          <w:rFonts w:asciiTheme="minorHAnsi" w:hAnsiTheme="minorHAnsi" w:cstheme="minorHAnsi"/>
          <w:sz w:val="22"/>
          <w:szCs w:val="22"/>
        </w:rPr>
      </w:pPr>
    </w:p>
    <w:p w14:paraId="3700C4FB" w14:textId="77777777" w:rsidR="000B649B" w:rsidRPr="003F4EFB" w:rsidRDefault="000B649B" w:rsidP="000B649B">
      <w:pPr>
        <w:spacing w:after="0" w:line="240" w:lineRule="auto"/>
        <w:rPr>
          <w:rFonts w:asciiTheme="minorHAnsi" w:hAnsiTheme="minorHAnsi"/>
          <w:sz w:val="22"/>
        </w:rPr>
      </w:pPr>
      <w:r w:rsidRPr="003F4EFB">
        <w:rPr>
          <w:rFonts w:asciiTheme="minorHAnsi" w:hAnsiTheme="minorHAnsi"/>
          <w:sz w:val="22"/>
        </w:rPr>
        <w:t xml:space="preserve">The Canadian Government is also developing a pilot to enable clients from the Province of Alberta to leverage their </w:t>
      </w:r>
      <w:r w:rsidRPr="00EB6803">
        <w:rPr>
          <w:rFonts w:asciiTheme="minorHAnsi" w:hAnsiTheme="minorHAnsi"/>
          <w:sz w:val="22"/>
        </w:rPr>
        <w:t>provincial digital identity</w:t>
      </w:r>
      <w:r w:rsidRPr="003F4EFB">
        <w:rPr>
          <w:rFonts w:asciiTheme="minorHAnsi" w:hAnsiTheme="minorHAnsi"/>
          <w:sz w:val="22"/>
        </w:rPr>
        <w:t xml:space="preserve"> to streamline the federal registration process for their My Service Canada Account (MSCA). This pilot will be the first time that the federal government will use a Trusted Digital Identity from a province.</w:t>
      </w:r>
    </w:p>
    <w:p w14:paraId="339199CA" w14:textId="77777777" w:rsidR="000B649B" w:rsidRPr="003F4EFB" w:rsidRDefault="000B649B" w:rsidP="000B649B">
      <w:pPr>
        <w:pStyle w:val="Default"/>
        <w:rPr>
          <w:rFonts w:asciiTheme="minorHAnsi" w:hAnsiTheme="minorHAnsi"/>
          <w:sz w:val="22"/>
        </w:rPr>
      </w:pPr>
    </w:p>
    <w:p w14:paraId="73C5B498" w14:textId="77777777" w:rsidR="000B649B" w:rsidRDefault="000B649B" w:rsidP="000B649B">
      <w:pPr>
        <w:spacing w:after="0" w:line="240" w:lineRule="auto"/>
      </w:pPr>
      <w:r w:rsidRPr="003F4EFB">
        <w:rPr>
          <w:rFonts w:asciiTheme="minorHAnsi" w:hAnsiTheme="minorHAnsi" w:cs="Times New Roman"/>
          <w:sz w:val="22"/>
        </w:rPr>
        <w:t xml:space="preserve">As in Australia, legislative and regulatory barriers pose a significant and consistent challenge to the implementation of user-centred design in service delivery.  For example, using unique identifiers across programs and services can help the policy development process and could generate service efficiencies, however progress in this area is hindered by legislation and the concerns of privacy-conscious citizens. </w:t>
      </w:r>
      <w:r w:rsidRPr="003F4EFB">
        <w:rPr>
          <w:rFonts w:asciiTheme="minorHAnsi" w:hAnsiTheme="minorHAnsi"/>
          <w:sz w:val="22"/>
        </w:rPr>
        <w:t xml:space="preserve">To address this issue, the Government of Canada is working to identify options and recommendations on the potential </w:t>
      </w:r>
      <w:r w:rsidRPr="00EB6803">
        <w:rPr>
          <w:rFonts w:asciiTheme="minorHAnsi" w:hAnsiTheme="minorHAnsi"/>
          <w:sz w:val="22"/>
        </w:rPr>
        <w:t>use of a Single File Number</w:t>
      </w:r>
      <w:r w:rsidRPr="003F4EFB">
        <w:rPr>
          <w:rFonts w:asciiTheme="minorHAnsi" w:hAnsiTheme="minorHAnsi"/>
          <w:sz w:val="22"/>
        </w:rPr>
        <w:t xml:space="preserve"> to support internal program administration and coordination of service delivery across federal departments, as well as reviewing legislation with an eye to removing barriers.</w:t>
      </w:r>
    </w:p>
    <w:p w14:paraId="02AE1FBC" w14:textId="77777777" w:rsidR="000B649B" w:rsidRPr="002707FB" w:rsidRDefault="000B649B" w:rsidP="000B649B">
      <w:pPr>
        <w:pStyle w:val="Default"/>
        <w:rPr>
          <w:rFonts w:asciiTheme="minorHAnsi" w:hAnsiTheme="minorHAnsi" w:cstheme="minorHAnsi"/>
          <w:sz w:val="22"/>
          <w:szCs w:val="22"/>
        </w:rPr>
      </w:pPr>
    </w:p>
    <w:p w14:paraId="6D043427" w14:textId="77777777" w:rsidR="000B649B" w:rsidRDefault="000B649B" w:rsidP="000B649B">
      <w:pPr>
        <w:pStyle w:val="Default"/>
        <w:rPr>
          <w:rFonts w:ascii="Times New Roman" w:hAnsi="Times New Roman" w:cs="Times New Roman"/>
        </w:rPr>
      </w:pPr>
      <w:r w:rsidRPr="005D5A83">
        <w:rPr>
          <w:i/>
          <w:noProof/>
          <w:color w:val="1F497D" w:themeColor="text2"/>
          <w:lang w:val="en-US"/>
        </w:rPr>
        <mc:AlternateContent>
          <mc:Choice Requires="wps">
            <w:drawing>
              <wp:inline distT="0" distB="0" distL="0" distR="0" wp14:anchorId="25237092" wp14:editId="5BA267F4">
                <wp:extent cx="6088566" cy="3152078"/>
                <wp:effectExtent l="0" t="0" r="762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566" cy="3152078"/>
                        </a:xfrm>
                        <a:prstGeom prst="rect">
                          <a:avLst/>
                        </a:prstGeom>
                        <a:solidFill>
                          <a:schemeClr val="accent1">
                            <a:lumMod val="20000"/>
                            <a:lumOff val="80000"/>
                          </a:schemeClr>
                        </a:solidFill>
                        <a:ln w="9525">
                          <a:noFill/>
                          <a:miter lim="800000"/>
                          <a:headEnd/>
                          <a:tailEnd/>
                        </a:ln>
                      </wps:spPr>
                      <wps:txbx>
                        <w:txbxContent>
                          <w:p w14:paraId="17493C73"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6FA0C2AB"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559117C" w14:textId="77777777" w:rsidR="00633B37" w:rsidRPr="00DA72E1" w:rsidRDefault="00633B37" w:rsidP="000B649B">
                            <w:pPr>
                              <w:spacing w:after="0" w:line="240" w:lineRule="auto"/>
                              <w:jc w:val="right"/>
                              <w:rPr>
                                <w:rFonts w:ascii="Calibri" w:hAnsi="Calibri" w:cs="Calibri"/>
                                <w:b/>
                                <w:i/>
                                <w:color w:val="17365D" w:themeColor="text2" w:themeShade="BF"/>
                                <w:sz w:val="14"/>
                              </w:rPr>
                            </w:pPr>
                            <w:r w:rsidRPr="00E222F8">
                              <w:rPr>
                                <w:rFonts w:cs="Times New Roman"/>
                                <w:noProof/>
                                <w:color w:val="17365D" w:themeColor="text2" w:themeShade="BF"/>
                                <w:sz w:val="22"/>
                                <w:lang w:val="en-US"/>
                              </w:rPr>
                              <w:drawing>
                                <wp:inline distT="0" distB="0" distL="0" distR="0" wp14:anchorId="3D631B7A" wp14:editId="1E21FCC7">
                                  <wp:extent cx="446049" cy="250223"/>
                                  <wp:effectExtent l="0" t="0" r="0" b="0"/>
                                  <wp:docPr id="12" name="Picture 12"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75" cy="252762"/>
                                          </a:xfrm>
                                          <a:prstGeom prst="rect">
                                            <a:avLst/>
                                          </a:prstGeom>
                                          <a:noFill/>
                                          <a:ln>
                                            <a:noFill/>
                                          </a:ln>
                                        </pic:spPr>
                                      </pic:pic>
                                    </a:graphicData>
                                  </a:graphic>
                                </wp:inline>
                              </w:drawing>
                            </w:r>
                          </w:p>
                          <w:p w14:paraId="45008329" w14:textId="77777777" w:rsidR="00633B37" w:rsidRPr="00DA72E1" w:rsidRDefault="00633B37" w:rsidP="000B649B">
                            <w:pPr>
                              <w:spacing w:after="0" w:line="240" w:lineRule="auto"/>
                              <w:rPr>
                                <w:rFonts w:ascii="Calibri" w:hAnsi="Calibri" w:cs="Calibri"/>
                                <w:b/>
                                <w:color w:val="17365D" w:themeColor="text2" w:themeShade="BF"/>
                                <w:sz w:val="20"/>
                                <w:lang w:val="en-CA"/>
                              </w:rPr>
                            </w:pPr>
                            <w:r>
                              <w:rPr>
                                <w:rFonts w:ascii="Calibri" w:hAnsi="Calibri" w:cs="Calibri"/>
                                <w:b/>
                                <w:color w:val="17365D" w:themeColor="text2" w:themeShade="BF"/>
                                <w:sz w:val="20"/>
                                <w:lang w:val="en-CA"/>
                              </w:rPr>
                              <w:t>Examples of User-Centered D</w:t>
                            </w:r>
                            <w:r w:rsidRPr="00DA72E1">
                              <w:rPr>
                                <w:rFonts w:ascii="Calibri" w:hAnsi="Calibri" w:cs="Calibri"/>
                                <w:b/>
                                <w:color w:val="17365D" w:themeColor="text2" w:themeShade="BF"/>
                                <w:sz w:val="20"/>
                                <w:lang w:val="en-CA"/>
                              </w:rPr>
                              <w:t>esign for Policy</w:t>
                            </w:r>
                            <w:r>
                              <w:rPr>
                                <w:rFonts w:ascii="Calibri" w:hAnsi="Calibri" w:cs="Calibri"/>
                                <w:b/>
                                <w:color w:val="17365D" w:themeColor="text2" w:themeShade="BF"/>
                                <w:sz w:val="20"/>
                                <w:lang w:val="en-CA"/>
                              </w:rPr>
                              <w:t xml:space="preserve"> at the ESDC Innovation Lab</w:t>
                            </w:r>
                          </w:p>
                          <w:p w14:paraId="3FB48FD1" w14:textId="77777777" w:rsidR="00633B37" w:rsidRPr="00DA72E1" w:rsidRDefault="00633B37" w:rsidP="000B649B">
                            <w:pPr>
                              <w:widowControl w:val="0"/>
                              <w:autoSpaceDE w:val="0"/>
                              <w:autoSpaceDN w:val="0"/>
                              <w:adjustRightInd w:val="0"/>
                              <w:spacing w:after="0" w:line="240" w:lineRule="auto"/>
                              <w:contextualSpacing/>
                              <w:rPr>
                                <w:rFonts w:ascii="Calibri" w:hAnsi="Calibri" w:cs="Calibri"/>
                                <w:color w:val="17365D" w:themeColor="text2" w:themeShade="BF"/>
                                <w:sz w:val="14"/>
                                <w:szCs w:val="16"/>
                              </w:rPr>
                            </w:pPr>
                          </w:p>
                          <w:p w14:paraId="0CFE0930" w14:textId="77777777" w:rsidR="00633B37" w:rsidRPr="00A06B10" w:rsidRDefault="00633B37" w:rsidP="00BC2039">
                            <w:pPr>
                              <w:pStyle w:val="ListParagraph"/>
                              <w:widowControl w:val="0"/>
                              <w:numPr>
                                <w:ilvl w:val="0"/>
                                <w:numId w:val="11"/>
                              </w:numPr>
                              <w:autoSpaceDE w:val="0"/>
                              <w:autoSpaceDN w:val="0"/>
                              <w:adjustRightInd w:val="0"/>
                              <w:spacing w:line="240" w:lineRule="auto"/>
                              <w:ind w:left="284" w:hanging="284"/>
                              <w:contextualSpacing/>
                              <w:rPr>
                                <w:rFonts w:ascii="Calibri" w:hAnsi="Calibri" w:cs="Calibri"/>
                                <w:color w:val="17365D" w:themeColor="text2" w:themeShade="BF"/>
                                <w:sz w:val="22"/>
                              </w:rPr>
                            </w:pPr>
                            <w:r w:rsidRPr="00A06B10">
                              <w:rPr>
                                <w:rFonts w:ascii="Calibri" w:hAnsi="Calibri" w:cs="Calibri"/>
                                <w:color w:val="17365D" w:themeColor="text2" w:themeShade="BF"/>
                                <w:sz w:val="20"/>
                              </w:rPr>
                              <w:t xml:space="preserve">In 2017, the </w:t>
                            </w:r>
                            <w:r>
                              <w:rPr>
                                <w:rFonts w:ascii="Calibri" w:hAnsi="Calibri" w:cs="Calibri"/>
                                <w:color w:val="17365D" w:themeColor="text2" w:themeShade="BF"/>
                                <w:sz w:val="20"/>
                              </w:rPr>
                              <w:t>L</w:t>
                            </w:r>
                            <w:r w:rsidRPr="00A06B10">
                              <w:rPr>
                                <w:rFonts w:ascii="Calibri" w:hAnsi="Calibri" w:cs="Calibri"/>
                                <w:color w:val="17365D" w:themeColor="text2" w:themeShade="BF"/>
                                <w:sz w:val="20"/>
                              </w:rPr>
                              <w:t xml:space="preserve">ab undertook a full-scale design project </w:t>
                            </w:r>
                            <w:r>
                              <w:rPr>
                                <w:rFonts w:ascii="Calibri" w:hAnsi="Calibri" w:cs="Calibri"/>
                                <w:color w:val="17365D" w:themeColor="text2" w:themeShade="BF"/>
                                <w:sz w:val="20"/>
                              </w:rPr>
                              <w:t>to find ways to increase uptake for</w:t>
                            </w:r>
                            <w:r w:rsidRPr="00A06B10" w:rsidDel="00A14E00">
                              <w:rPr>
                                <w:rFonts w:ascii="Calibri" w:hAnsi="Calibri" w:cs="Calibri"/>
                                <w:color w:val="17365D" w:themeColor="text2" w:themeShade="BF"/>
                                <w:sz w:val="20"/>
                              </w:rPr>
                              <w:t xml:space="preserve"> </w:t>
                            </w:r>
                            <w:r w:rsidRPr="00A06B10">
                              <w:rPr>
                                <w:rFonts w:ascii="Calibri" w:hAnsi="Calibri" w:cs="Calibri"/>
                                <w:color w:val="17365D" w:themeColor="text2" w:themeShade="BF"/>
                                <w:sz w:val="20"/>
                              </w:rPr>
                              <w:t xml:space="preserve">the </w:t>
                            </w:r>
                            <w:r w:rsidRPr="00A06B10">
                              <w:rPr>
                                <w:rFonts w:ascii="Calibri" w:hAnsi="Calibri" w:cs="Calibri"/>
                                <w:b/>
                                <w:color w:val="17365D" w:themeColor="text2" w:themeShade="BF"/>
                                <w:sz w:val="20"/>
                              </w:rPr>
                              <w:t>Canada Learning Bond</w:t>
                            </w:r>
                            <w:r>
                              <w:rPr>
                                <w:rFonts w:ascii="Calibri" w:hAnsi="Calibri" w:cs="Calibri"/>
                                <w:b/>
                                <w:color w:val="17365D" w:themeColor="text2" w:themeShade="BF"/>
                                <w:sz w:val="20"/>
                              </w:rPr>
                              <w:t xml:space="preserve">, </w:t>
                            </w:r>
                            <w:r>
                              <w:rPr>
                                <w:rFonts w:ascii="Calibri" w:hAnsi="Calibri" w:cs="Calibri"/>
                                <w:color w:val="17365D" w:themeColor="text2" w:themeShade="BF"/>
                                <w:sz w:val="20"/>
                              </w:rPr>
                              <w:t>a supplemental education savings payment for low-income families,</w:t>
                            </w:r>
                            <w:r w:rsidRPr="00A06B10">
                              <w:rPr>
                                <w:rFonts w:ascii="Calibri" w:hAnsi="Calibri" w:cs="Calibri"/>
                                <w:b/>
                                <w:color w:val="17365D" w:themeColor="text2" w:themeShade="BF"/>
                                <w:sz w:val="20"/>
                              </w:rPr>
                              <w:t xml:space="preserve"> </w:t>
                            </w:r>
                            <w:r w:rsidRPr="00F1567D">
                              <w:rPr>
                                <w:rFonts w:ascii="Calibri" w:hAnsi="Calibri" w:cs="Calibri"/>
                                <w:color w:val="17365D" w:themeColor="text2" w:themeShade="BF"/>
                                <w:sz w:val="20"/>
                              </w:rPr>
                              <w:t>as well as</w:t>
                            </w:r>
                            <w:r w:rsidRPr="00A06B10">
                              <w:rPr>
                                <w:rFonts w:ascii="Calibri" w:hAnsi="Calibri" w:cs="Calibri"/>
                                <w:color w:val="17365D" w:themeColor="text2" w:themeShade="BF"/>
                                <w:sz w:val="20"/>
                              </w:rPr>
                              <w:t xml:space="preserve"> better understand perceptions of education and financial decision making among low income families. The </w:t>
                            </w:r>
                            <w:r>
                              <w:rPr>
                                <w:rFonts w:ascii="Calibri" w:hAnsi="Calibri" w:cs="Calibri"/>
                                <w:color w:val="17365D" w:themeColor="text2" w:themeShade="BF"/>
                                <w:sz w:val="20"/>
                              </w:rPr>
                              <w:t>l</w:t>
                            </w:r>
                            <w:r w:rsidRPr="00A06B10">
                              <w:rPr>
                                <w:rFonts w:ascii="Calibri" w:hAnsi="Calibri" w:cs="Calibri"/>
                                <w:color w:val="17365D" w:themeColor="text2" w:themeShade="BF"/>
                                <w:sz w:val="20"/>
                              </w:rPr>
                              <w:t>ab integrated tools and methods from human-centered design and systems thinking to engage with vulnerable populations to investigate aspirations for participation in post-secondary education.  This included a facilitated co-development with citizens, community partners, financial institutions, who were involved in the design process from the beginning, including systems mapping, ideation and prototyping.</w:t>
                            </w:r>
                          </w:p>
                          <w:p w14:paraId="08B33C20" w14:textId="77777777" w:rsidR="00633B37" w:rsidRPr="006F41E1" w:rsidRDefault="00633B37" w:rsidP="00BC2039">
                            <w:pPr>
                              <w:pStyle w:val="ListParagraph"/>
                              <w:widowControl w:val="0"/>
                              <w:numPr>
                                <w:ilvl w:val="0"/>
                                <w:numId w:val="11"/>
                              </w:numPr>
                              <w:autoSpaceDE w:val="0"/>
                              <w:autoSpaceDN w:val="0"/>
                              <w:adjustRightInd w:val="0"/>
                              <w:spacing w:after="240" w:line="240" w:lineRule="auto"/>
                              <w:ind w:left="284" w:hanging="284"/>
                              <w:contextualSpacing/>
                              <w:rPr>
                                <w:rFonts w:asciiTheme="minorHAnsi" w:hAnsiTheme="minorHAnsi"/>
                                <w:color w:val="1F497D" w:themeColor="text2"/>
                                <w:sz w:val="20"/>
                                <w:szCs w:val="20"/>
                              </w:rPr>
                            </w:pPr>
                            <w:r w:rsidRPr="007E423D">
                              <w:rPr>
                                <w:rFonts w:asciiTheme="minorHAnsi" w:hAnsiTheme="minorHAnsi" w:cs="Arial"/>
                                <w:color w:val="1F497D" w:themeColor="text2"/>
                                <w:sz w:val="20"/>
                                <w:szCs w:val="20"/>
                              </w:rPr>
                              <w:t xml:space="preserve">In 2017, the </w:t>
                            </w:r>
                            <w:r>
                              <w:rPr>
                                <w:rFonts w:asciiTheme="minorHAnsi" w:hAnsiTheme="minorHAnsi" w:cs="Arial"/>
                                <w:color w:val="1F497D" w:themeColor="text2"/>
                                <w:sz w:val="20"/>
                                <w:szCs w:val="20"/>
                              </w:rPr>
                              <w:t>L</w:t>
                            </w:r>
                            <w:r w:rsidRPr="00354A6E">
                              <w:rPr>
                                <w:rFonts w:asciiTheme="minorHAnsi" w:hAnsiTheme="minorHAnsi" w:cs="Arial"/>
                                <w:color w:val="1F497D" w:themeColor="text2"/>
                                <w:sz w:val="20"/>
                                <w:szCs w:val="20"/>
                              </w:rPr>
                              <w:t>ab worked closely with ESDC program colleagues and an interdepartmental project team to understand more deeply the experience of young Canadians and the issues and phenomena that underlie youth engagement</w:t>
                            </w:r>
                            <w:r w:rsidRPr="007E423D">
                              <w:rPr>
                                <w:rFonts w:asciiTheme="minorHAnsi" w:hAnsiTheme="minorHAnsi" w:cs="Arial"/>
                                <w:color w:val="1F497D" w:themeColor="text2"/>
                                <w:sz w:val="20"/>
                                <w:szCs w:val="20"/>
                              </w:rPr>
                              <w:t xml:space="preserve"> </w:t>
                            </w:r>
                            <w:r w:rsidRPr="00354A6E">
                              <w:rPr>
                                <w:rFonts w:asciiTheme="minorHAnsi" w:hAnsiTheme="minorHAnsi" w:cs="Arial"/>
                                <w:color w:val="1F497D" w:themeColor="text2"/>
                                <w:sz w:val="20"/>
                                <w:szCs w:val="20"/>
                              </w:rPr>
                              <w:t>in their communities, including volunteerism and service.</w:t>
                            </w:r>
                            <w:r>
                              <w:rPr>
                                <w:rFonts w:asciiTheme="minorHAnsi" w:hAnsiTheme="minorHAnsi" w:cs="Arial"/>
                                <w:color w:val="1F497D" w:themeColor="text2"/>
                                <w:sz w:val="20"/>
                                <w:szCs w:val="20"/>
                              </w:rPr>
                              <w:t xml:space="preserve"> </w:t>
                            </w:r>
                            <w:r w:rsidRPr="00354A6E">
                              <w:rPr>
                                <w:rFonts w:asciiTheme="minorHAnsi" w:hAnsiTheme="minorHAnsi" w:cs="Arial"/>
                                <w:color w:val="1F497D" w:themeColor="text2"/>
                                <w:sz w:val="20"/>
                                <w:szCs w:val="20"/>
                              </w:rPr>
                              <w:t>Field teams interviewed over 150 people, mostly youth between the ages of 16 and 30 years, and others from front-line organizations serving youth populations. Some interviews were in-depth discussions but most were done as street interviews with young people to gather their stories of how they engage in Canadian society, with some interviews held in parks and public places across the country.</w:t>
                            </w:r>
                            <w:r>
                              <w:rPr>
                                <w:rFonts w:asciiTheme="minorHAnsi" w:hAnsiTheme="minorHAnsi" w:cs="Arial"/>
                                <w:color w:val="1F497D" w:themeColor="text2"/>
                                <w:sz w:val="20"/>
                                <w:szCs w:val="20"/>
                              </w:rPr>
                              <w:br/>
                            </w:r>
                          </w:p>
                          <w:p w14:paraId="5F164840" w14:textId="77777777" w:rsidR="00633B37" w:rsidRPr="00165B8A" w:rsidRDefault="00633B37" w:rsidP="00BC2039">
                            <w:pPr>
                              <w:pStyle w:val="ListParagraph"/>
                              <w:numPr>
                                <w:ilvl w:val="0"/>
                                <w:numId w:val="11"/>
                              </w:numPr>
                              <w:pBdr>
                                <w:bottom w:val="single" w:sz="12" w:space="1" w:color="auto"/>
                              </w:pBdr>
                              <w:spacing w:line="240" w:lineRule="auto"/>
                              <w:jc w:val="right"/>
                              <w:rPr>
                                <w:rFonts w:ascii="Arial" w:hAnsi="Arial" w:cs="Arial"/>
                                <w:b/>
                                <w:i/>
                                <w:color w:val="17365D" w:themeColor="text2" w:themeShade="BF"/>
                                <w:sz w:val="2"/>
                              </w:rPr>
                            </w:pPr>
                          </w:p>
                          <w:p w14:paraId="74DEBB07" w14:textId="77777777" w:rsidR="00633B37" w:rsidRPr="00354A6E" w:rsidRDefault="00633B37" w:rsidP="000B649B">
                            <w:pPr>
                              <w:pStyle w:val="ListParagraph"/>
                              <w:widowControl w:val="0"/>
                              <w:autoSpaceDE w:val="0"/>
                              <w:autoSpaceDN w:val="0"/>
                              <w:adjustRightInd w:val="0"/>
                              <w:spacing w:line="240" w:lineRule="auto"/>
                              <w:ind w:left="284"/>
                              <w:contextualSpacing/>
                              <w:rPr>
                                <w:rFonts w:asciiTheme="minorHAnsi" w:hAnsiTheme="minorHAnsi"/>
                                <w:color w:val="1F497D" w:themeColor="text2"/>
                                <w:sz w:val="20"/>
                                <w:szCs w:val="20"/>
                              </w:rPr>
                            </w:pPr>
                          </w:p>
                          <w:p w14:paraId="1FB9FE72" w14:textId="77777777" w:rsidR="00633B37" w:rsidRDefault="00633B37" w:rsidP="000B649B"/>
                        </w:txbxContent>
                      </wps:txbx>
                      <wps:bodyPr rot="0" vert="horz" wrap="square" lIns="91440" tIns="45720" rIns="91440" bIns="45720" anchor="t" anchorCtr="0">
                        <a:noAutofit/>
                      </wps:bodyPr>
                    </wps:wsp>
                  </a:graphicData>
                </a:graphic>
              </wp:inline>
            </w:drawing>
          </mc:Choice>
          <mc:Fallback>
            <w:pict>
              <v:shape w14:anchorId="25237092" id="_x0000_s1034" type="#_x0000_t202" style="width:479.4pt;height:2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" fillcolor="#dbe5f1 [660]" stroked="f">
                <v:textbox>
                  <w:txbxContent>
                    <w:p w14:paraId="17493C73" w14:textId="77777777" w:rsidR="00633B37" w:rsidRPr="005D5A83" w:rsidRDefault="00633B37" w:rsidP="000B649B">
                      <w:pPr>
                        <w:pBdr>
                          <w:bottom w:val="single" w:sz="12" w:space="1" w:color="auto"/>
                        </w:pBdr>
                        <w:spacing w:after="0" w:line="240" w:lineRule="auto"/>
                        <w:jc w:val="right"/>
                        <w:rPr>
                          <w:rFonts w:ascii="Arial" w:hAnsi="Arial" w:cs="Arial"/>
                          <w:b/>
                          <w:i/>
                          <w:color w:val="17365D" w:themeColor="text2" w:themeShade="BF"/>
                          <w:sz w:val="2"/>
                        </w:rPr>
                      </w:pPr>
                    </w:p>
                    <w:p w14:paraId="6FA0C2AB" w14:textId="77777777" w:rsidR="00633B37" w:rsidRPr="005D5A83" w:rsidRDefault="00633B37" w:rsidP="000B649B">
                      <w:pPr>
                        <w:spacing w:after="0" w:line="240" w:lineRule="auto"/>
                        <w:jc w:val="right"/>
                        <w:rPr>
                          <w:rFonts w:ascii="Arial" w:hAnsi="Arial" w:cs="Arial"/>
                          <w:b/>
                          <w:i/>
                          <w:color w:val="17365D" w:themeColor="text2" w:themeShade="BF"/>
                          <w:sz w:val="6"/>
                        </w:rPr>
                      </w:pPr>
                    </w:p>
                    <w:p w14:paraId="0559117C" w14:textId="77777777" w:rsidR="00633B37" w:rsidRPr="00DA72E1" w:rsidRDefault="00633B37" w:rsidP="000B649B">
                      <w:pPr>
                        <w:spacing w:after="0" w:line="240" w:lineRule="auto"/>
                        <w:jc w:val="right"/>
                        <w:rPr>
                          <w:rFonts w:ascii="Calibri" w:hAnsi="Calibri" w:cs="Calibri"/>
                          <w:b/>
                          <w:i/>
                          <w:color w:val="17365D" w:themeColor="text2" w:themeShade="BF"/>
                          <w:sz w:val="14"/>
                        </w:rPr>
                      </w:pPr>
                      <w:r w:rsidRPr="00E222F8">
                        <w:rPr>
                          <w:rFonts w:cs="Times New Roman"/>
                          <w:noProof/>
                          <w:color w:val="17365D" w:themeColor="text2" w:themeShade="BF"/>
                          <w:sz w:val="22"/>
                          <w:lang w:eastAsia="en-AU"/>
                        </w:rPr>
                        <w:drawing>
                          <wp:inline distT="0" distB="0" distL="0" distR="0" wp14:anchorId="3D631B7A" wp14:editId="1E21FCC7">
                            <wp:extent cx="446049" cy="250223"/>
                            <wp:effectExtent l="0" t="0" r="0" b="0"/>
                            <wp:docPr id="12" name="Picture 12" descr="C:\Users\Laurie.goldmann\AppData\Local\Microsoft\Windows\INetCache\IE\K7OY9CJS\canada-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goldmann\AppData\Local\Microsoft\Windows\INetCache\IE\K7OY9CJS\canada-fla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75" cy="252762"/>
                                    </a:xfrm>
                                    <a:prstGeom prst="rect">
                                      <a:avLst/>
                                    </a:prstGeom>
                                    <a:noFill/>
                                    <a:ln>
                                      <a:noFill/>
                                    </a:ln>
                                  </pic:spPr>
                                </pic:pic>
                              </a:graphicData>
                            </a:graphic>
                          </wp:inline>
                        </w:drawing>
                      </w:r>
                    </w:p>
                    <w:p w14:paraId="45008329" w14:textId="77777777" w:rsidR="00633B37" w:rsidRPr="00DA72E1" w:rsidRDefault="00633B37" w:rsidP="000B649B">
                      <w:pPr>
                        <w:spacing w:after="0" w:line="240" w:lineRule="auto"/>
                        <w:rPr>
                          <w:rFonts w:ascii="Calibri" w:hAnsi="Calibri" w:cs="Calibri"/>
                          <w:b/>
                          <w:color w:val="17365D" w:themeColor="text2" w:themeShade="BF"/>
                          <w:sz w:val="20"/>
                          <w:lang w:val="en-CA"/>
                        </w:rPr>
                      </w:pPr>
                      <w:r>
                        <w:rPr>
                          <w:rFonts w:ascii="Calibri" w:hAnsi="Calibri" w:cs="Calibri"/>
                          <w:b/>
                          <w:color w:val="17365D" w:themeColor="text2" w:themeShade="BF"/>
                          <w:sz w:val="20"/>
                          <w:lang w:val="en-CA"/>
                        </w:rPr>
                        <w:t>Examples of User-Centered D</w:t>
                      </w:r>
                      <w:r w:rsidRPr="00DA72E1">
                        <w:rPr>
                          <w:rFonts w:ascii="Calibri" w:hAnsi="Calibri" w:cs="Calibri"/>
                          <w:b/>
                          <w:color w:val="17365D" w:themeColor="text2" w:themeShade="BF"/>
                          <w:sz w:val="20"/>
                          <w:lang w:val="en-CA"/>
                        </w:rPr>
                        <w:t>esign for Policy</w:t>
                      </w:r>
                      <w:r>
                        <w:rPr>
                          <w:rFonts w:ascii="Calibri" w:hAnsi="Calibri" w:cs="Calibri"/>
                          <w:b/>
                          <w:color w:val="17365D" w:themeColor="text2" w:themeShade="BF"/>
                          <w:sz w:val="20"/>
                          <w:lang w:val="en-CA"/>
                        </w:rPr>
                        <w:t xml:space="preserve"> at the ESDC Innovation Lab</w:t>
                      </w:r>
                    </w:p>
                    <w:p w14:paraId="3FB48FD1" w14:textId="77777777" w:rsidR="00633B37" w:rsidRPr="00DA72E1" w:rsidRDefault="00633B37" w:rsidP="000B649B">
                      <w:pPr>
                        <w:widowControl w:val="0"/>
                        <w:autoSpaceDE w:val="0"/>
                        <w:autoSpaceDN w:val="0"/>
                        <w:adjustRightInd w:val="0"/>
                        <w:spacing w:after="0" w:line="240" w:lineRule="auto"/>
                        <w:contextualSpacing/>
                        <w:rPr>
                          <w:rFonts w:ascii="Calibri" w:hAnsi="Calibri" w:cs="Calibri"/>
                          <w:color w:val="17365D" w:themeColor="text2" w:themeShade="BF"/>
                          <w:sz w:val="14"/>
                          <w:szCs w:val="16"/>
                        </w:rPr>
                      </w:pPr>
                    </w:p>
                    <w:p w14:paraId="0CFE0930" w14:textId="77777777" w:rsidR="00633B37" w:rsidRPr="00A06B10" w:rsidRDefault="00633B37" w:rsidP="00BC2039">
                      <w:pPr>
                        <w:pStyle w:val="ListParagraph"/>
                        <w:widowControl w:val="0"/>
                        <w:numPr>
                          <w:ilvl w:val="0"/>
                          <w:numId w:val="11"/>
                        </w:numPr>
                        <w:autoSpaceDE w:val="0"/>
                        <w:autoSpaceDN w:val="0"/>
                        <w:adjustRightInd w:val="0"/>
                        <w:spacing w:line="240" w:lineRule="auto"/>
                        <w:ind w:left="284" w:hanging="284"/>
                        <w:contextualSpacing/>
                        <w:rPr>
                          <w:rFonts w:ascii="Calibri" w:hAnsi="Calibri" w:cs="Calibri"/>
                          <w:color w:val="17365D" w:themeColor="text2" w:themeShade="BF"/>
                          <w:sz w:val="22"/>
                        </w:rPr>
                      </w:pPr>
                      <w:r w:rsidRPr="00A06B10">
                        <w:rPr>
                          <w:rFonts w:ascii="Calibri" w:hAnsi="Calibri" w:cs="Calibri"/>
                          <w:color w:val="17365D" w:themeColor="text2" w:themeShade="BF"/>
                          <w:sz w:val="20"/>
                        </w:rPr>
                        <w:t xml:space="preserve">In 2017, the </w:t>
                      </w:r>
                      <w:r>
                        <w:rPr>
                          <w:rFonts w:ascii="Calibri" w:hAnsi="Calibri" w:cs="Calibri"/>
                          <w:color w:val="17365D" w:themeColor="text2" w:themeShade="BF"/>
                          <w:sz w:val="20"/>
                        </w:rPr>
                        <w:t>L</w:t>
                      </w:r>
                      <w:r w:rsidRPr="00A06B10">
                        <w:rPr>
                          <w:rFonts w:ascii="Calibri" w:hAnsi="Calibri" w:cs="Calibri"/>
                          <w:color w:val="17365D" w:themeColor="text2" w:themeShade="BF"/>
                          <w:sz w:val="20"/>
                        </w:rPr>
                        <w:t xml:space="preserve">ab undertook a full-scale design project </w:t>
                      </w:r>
                      <w:r>
                        <w:rPr>
                          <w:rFonts w:ascii="Calibri" w:hAnsi="Calibri" w:cs="Calibri"/>
                          <w:color w:val="17365D" w:themeColor="text2" w:themeShade="BF"/>
                          <w:sz w:val="20"/>
                        </w:rPr>
                        <w:t>to find ways to increase uptake for</w:t>
                      </w:r>
                      <w:r w:rsidRPr="00A06B10" w:rsidDel="00A14E00">
                        <w:rPr>
                          <w:rFonts w:ascii="Calibri" w:hAnsi="Calibri" w:cs="Calibri"/>
                          <w:color w:val="17365D" w:themeColor="text2" w:themeShade="BF"/>
                          <w:sz w:val="20"/>
                        </w:rPr>
                        <w:t xml:space="preserve"> </w:t>
                      </w:r>
                      <w:r w:rsidRPr="00A06B10">
                        <w:rPr>
                          <w:rFonts w:ascii="Calibri" w:hAnsi="Calibri" w:cs="Calibri"/>
                          <w:color w:val="17365D" w:themeColor="text2" w:themeShade="BF"/>
                          <w:sz w:val="20"/>
                        </w:rPr>
                        <w:t xml:space="preserve">the </w:t>
                      </w:r>
                      <w:r w:rsidRPr="00A06B10">
                        <w:rPr>
                          <w:rFonts w:ascii="Calibri" w:hAnsi="Calibri" w:cs="Calibri"/>
                          <w:b/>
                          <w:color w:val="17365D" w:themeColor="text2" w:themeShade="BF"/>
                          <w:sz w:val="20"/>
                        </w:rPr>
                        <w:t>Canada Learning Bond</w:t>
                      </w:r>
                      <w:r>
                        <w:rPr>
                          <w:rFonts w:ascii="Calibri" w:hAnsi="Calibri" w:cs="Calibri"/>
                          <w:b/>
                          <w:color w:val="17365D" w:themeColor="text2" w:themeShade="BF"/>
                          <w:sz w:val="20"/>
                        </w:rPr>
                        <w:t xml:space="preserve">, </w:t>
                      </w:r>
                      <w:r>
                        <w:rPr>
                          <w:rFonts w:ascii="Calibri" w:hAnsi="Calibri" w:cs="Calibri"/>
                          <w:color w:val="17365D" w:themeColor="text2" w:themeShade="BF"/>
                          <w:sz w:val="20"/>
                        </w:rPr>
                        <w:t>a supplemental education savings payment for low-income families,</w:t>
                      </w:r>
                      <w:r w:rsidRPr="00A06B10">
                        <w:rPr>
                          <w:rFonts w:ascii="Calibri" w:hAnsi="Calibri" w:cs="Calibri"/>
                          <w:b/>
                          <w:color w:val="17365D" w:themeColor="text2" w:themeShade="BF"/>
                          <w:sz w:val="20"/>
                        </w:rPr>
                        <w:t xml:space="preserve"> </w:t>
                      </w:r>
                      <w:r w:rsidRPr="00F1567D">
                        <w:rPr>
                          <w:rFonts w:ascii="Calibri" w:hAnsi="Calibri" w:cs="Calibri"/>
                          <w:color w:val="17365D" w:themeColor="text2" w:themeShade="BF"/>
                          <w:sz w:val="20"/>
                        </w:rPr>
                        <w:t>as well as</w:t>
                      </w:r>
                      <w:r w:rsidRPr="00A06B10">
                        <w:rPr>
                          <w:rFonts w:ascii="Calibri" w:hAnsi="Calibri" w:cs="Calibri"/>
                          <w:color w:val="17365D" w:themeColor="text2" w:themeShade="BF"/>
                          <w:sz w:val="20"/>
                        </w:rPr>
                        <w:t xml:space="preserve"> better understand perceptions of education and financial decision making among low income families. The </w:t>
                      </w:r>
                      <w:r>
                        <w:rPr>
                          <w:rFonts w:ascii="Calibri" w:hAnsi="Calibri" w:cs="Calibri"/>
                          <w:color w:val="17365D" w:themeColor="text2" w:themeShade="BF"/>
                          <w:sz w:val="20"/>
                        </w:rPr>
                        <w:t>l</w:t>
                      </w:r>
                      <w:r w:rsidRPr="00A06B10">
                        <w:rPr>
                          <w:rFonts w:ascii="Calibri" w:hAnsi="Calibri" w:cs="Calibri"/>
                          <w:color w:val="17365D" w:themeColor="text2" w:themeShade="BF"/>
                          <w:sz w:val="20"/>
                        </w:rPr>
                        <w:t>ab integrated tools and methods from human-centered design and systems thinking to engage with vulnerable populations to investigate aspirations for participation in post-secondary education.  This included a facilitated co-development with citizens, community partners, financial institutions, who were involved in the design process from the beginning, including systems mapping, ideation and prototyping.</w:t>
                      </w:r>
                    </w:p>
                    <w:p w14:paraId="08B33C20" w14:textId="77777777" w:rsidR="00633B37" w:rsidRPr="006F41E1" w:rsidRDefault="00633B37" w:rsidP="00BC2039">
                      <w:pPr>
                        <w:pStyle w:val="ListParagraph"/>
                        <w:widowControl w:val="0"/>
                        <w:numPr>
                          <w:ilvl w:val="0"/>
                          <w:numId w:val="11"/>
                        </w:numPr>
                        <w:autoSpaceDE w:val="0"/>
                        <w:autoSpaceDN w:val="0"/>
                        <w:adjustRightInd w:val="0"/>
                        <w:spacing w:after="240" w:line="240" w:lineRule="auto"/>
                        <w:ind w:left="284" w:hanging="284"/>
                        <w:contextualSpacing/>
                        <w:rPr>
                          <w:rFonts w:asciiTheme="minorHAnsi" w:hAnsiTheme="minorHAnsi"/>
                          <w:color w:val="1F497D" w:themeColor="text2"/>
                          <w:sz w:val="20"/>
                          <w:szCs w:val="20"/>
                        </w:rPr>
                      </w:pPr>
                      <w:r w:rsidRPr="007E423D">
                        <w:rPr>
                          <w:rFonts w:asciiTheme="minorHAnsi" w:hAnsiTheme="minorHAnsi" w:cs="Arial"/>
                          <w:color w:val="1F497D" w:themeColor="text2"/>
                          <w:sz w:val="20"/>
                          <w:szCs w:val="20"/>
                        </w:rPr>
                        <w:t xml:space="preserve">In 2017, the </w:t>
                      </w:r>
                      <w:r>
                        <w:rPr>
                          <w:rFonts w:asciiTheme="minorHAnsi" w:hAnsiTheme="minorHAnsi" w:cs="Arial"/>
                          <w:color w:val="1F497D" w:themeColor="text2"/>
                          <w:sz w:val="20"/>
                          <w:szCs w:val="20"/>
                        </w:rPr>
                        <w:t>L</w:t>
                      </w:r>
                      <w:r w:rsidRPr="00354A6E">
                        <w:rPr>
                          <w:rFonts w:asciiTheme="minorHAnsi" w:hAnsiTheme="minorHAnsi" w:cs="Arial"/>
                          <w:color w:val="1F497D" w:themeColor="text2"/>
                          <w:sz w:val="20"/>
                          <w:szCs w:val="20"/>
                        </w:rPr>
                        <w:t>ab worked closely with ESDC program colleagues and an interdepartmental project team to understand more deeply the experience of young Canadians and the issues and phenomena that underlie youth engagement</w:t>
                      </w:r>
                      <w:r w:rsidRPr="007E423D">
                        <w:rPr>
                          <w:rFonts w:asciiTheme="minorHAnsi" w:hAnsiTheme="minorHAnsi" w:cs="Arial"/>
                          <w:color w:val="1F497D" w:themeColor="text2"/>
                          <w:sz w:val="20"/>
                          <w:szCs w:val="20"/>
                        </w:rPr>
                        <w:t xml:space="preserve"> </w:t>
                      </w:r>
                      <w:r w:rsidRPr="00354A6E">
                        <w:rPr>
                          <w:rFonts w:asciiTheme="minorHAnsi" w:hAnsiTheme="minorHAnsi" w:cs="Arial"/>
                          <w:color w:val="1F497D" w:themeColor="text2"/>
                          <w:sz w:val="20"/>
                          <w:szCs w:val="20"/>
                        </w:rPr>
                        <w:t>in their communities, including volunteerism and service.</w:t>
                      </w:r>
                      <w:r>
                        <w:rPr>
                          <w:rFonts w:asciiTheme="minorHAnsi" w:hAnsiTheme="minorHAnsi" w:cs="Arial"/>
                          <w:color w:val="1F497D" w:themeColor="text2"/>
                          <w:sz w:val="20"/>
                          <w:szCs w:val="20"/>
                        </w:rPr>
                        <w:t xml:space="preserve"> </w:t>
                      </w:r>
                      <w:r w:rsidRPr="00354A6E">
                        <w:rPr>
                          <w:rFonts w:asciiTheme="minorHAnsi" w:hAnsiTheme="minorHAnsi" w:cs="Arial"/>
                          <w:color w:val="1F497D" w:themeColor="text2"/>
                          <w:sz w:val="20"/>
                          <w:szCs w:val="20"/>
                        </w:rPr>
                        <w:t>Field teams interviewed over 150 people, mostly youth between the ages of 16 and 30 years, and others from front-line organizations serving youth populations. Some interviews were in-depth discussions but most were done as street interviews with young people to gather their stories of how they engage in Canadian society, with some interviews held in parks and public places across the country.</w:t>
                      </w:r>
                      <w:r>
                        <w:rPr>
                          <w:rFonts w:asciiTheme="minorHAnsi" w:hAnsiTheme="minorHAnsi" w:cs="Arial"/>
                          <w:color w:val="1F497D" w:themeColor="text2"/>
                          <w:sz w:val="20"/>
                          <w:szCs w:val="20"/>
                        </w:rPr>
                        <w:br/>
                      </w:r>
                    </w:p>
                    <w:p w14:paraId="5F164840" w14:textId="77777777" w:rsidR="00633B37" w:rsidRPr="00165B8A" w:rsidRDefault="00633B37" w:rsidP="00BC2039">
                      <w:pPr>
                        <w:pStyle w:val="ListParagraph"/>
                        <w:numPr>
                          <w:ilvl w:val="0"/>
                          <w:numId w:val="11"/>
                        </w:numPr>
                        <w:pBdr>
                          <w:bottom w:val="single" w:sz="12" w:space="1" w:color="auto"/>
                        </w:pBdr>
                        <w:spacing w:line="240" w:lineRule="auto"/>
                        <w:jc w:val="right"/>
                        <w:rPr>
                          <w:rFonts w:ascii="Arial" w:hAnsi="Arial" w:cs="Arial"/>
                          <w:b/>
                          <w:i/>
                          <w:color w:val="17365D" w:themeColor="text2" w:themeShade="BF"/>
                          <w:sz w:val="2"/>
                        </w:rPr>
                      </w:pPr>
                    </w:p>
                    <w:p w14:paraId="74DEBB07" w14:textId="77777777" w:rsidR="00633B37" w:rsidRPr="00354A6E" w:rsidRDefault="00633B37" w:rsidP="000B649B">
                      <w:pPr>
                        <w:pStyle w:val="ListParagraph"/>
                        <w:widowControl w:val="0"/>
                        <w:autoSpaceDE w:val="0"/>
                        <w:autoSpaceDN w:val="0"/>
                        <w:adjustRightInd w:val="0"/>
                        <w:spacing w:line="240" w:lineRule="auto"/>
                        <w:ind w:left="284"/>
                        <w:contextualSpacing/>
                        <w:rPr>
                          <w:rFonts w:asciiTheme="minorHAnsi" w:hAnsiTheme="minorHAnsi"/>
                          <w:color w:val="1F497D" w:themeColor="text2"/>
                          <w:sz w:val="20"/>
                          <w:szCs w:val="20"/>
                        </w:rPr>
                      </w:pPr>
                    </w:p>
                    <w:p w14:paraId="1FB9FE72" w14:textId="77777777" w:rsidR="00633B37" w:rsidRDefault="00633B37" w:rsidP="000B649B"/>
                  </w:txbxContent>
                </v:textbox>
                <w10:anchorlock/>
              </v:shape>
            </w:pict>
          </mc:Fallback>
        </mc:AlternateContent>
      </w:r>
    </w:p>
    <w:p w14:paraId="5551B999" w14:textId="77777777" w:rsidR="000B649B" w:rsidRDefault="000B649B" w:rsidP="000B649B">
      <w:pPr>
        <w:pStyle w:val="Default"/>
        <w:rPr>
          <w:rFonts w:ascii="Times New Roman" w:hAnsi="Times New Roman" w:cs="Times New Roman"/>
        </w:rPr>
      </w:pPr>
    </w:p>
    <w:p w14:paraId="3B4A160C" w14:textId="77777777" w:rsidR="000B649B" w:rsidRDefault="000B649B" w:rsidP="000B649B">
      <w:pPr>
        <w:pStyle w:val="Default"/>
        <w:rPr>
          <w:b/>
          <w:i/>
        </w:rPr>
      </w:pPr>
      <w:r w:rsidRPr="006559CF">
        <w:rPr>
          <w:rFonts w:ascii="Times New Roman" w:hAnsi="Times New Roman" w:cs="Times New Roman"/>
          <w:noProof/>
          <w:lang w:val="en-US"/>
        </w:rPr>
        <mc:AlternateContent>
          <mc:Choice Requires="wps">
            <w:drawing>
              <wp:inline distT="0" distB="0" distL="0" distR="0" wp14:anchorId="007AF075" wp14:editId="076772CD">
                <wp:extent cx="6115050" cy="3181814"/>
                <wp:effectExtent l="0" t="0" r="1905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181814"/>
                        </a:xfrm>
                        <a:prstGeom prst="rect">
                          <a:avLst/>
                        </a:prstGeom>
                        <a:solidFill>
                          <a:schemeClr val="accent1">
                            <a:lumMod val="20000"/>
                            <a:lumOff val="80000"/>
                          </a:schemeClr>
                        </a:solidFill>
                        <a:ln w="12700">
                          <a:solidFill>
                            <a:schemeClr val="tx2"/>
                          </a:solidFill>
                          <a:miter lim="800000"/>
                          <a:headEnd/>
                          <a:tailEnd/>
                        </a:ln>
                      </wps:spPr>
                      <wps:txbx>
                        <w:txbxContent>
                          <w:p w14:paraId="18EB0F86" w14:textId="77777777" w:rsidR="00633B37" w:rsidRPr="000C0E79" w:rsidRDefault="00633B37" w:rsidP="000B649B">
                            <w:pPr>
                              <w:spacing w:after="120" w:line="240" w:lineRule="auto"/>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0CBF481F"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As governments continue to explore new approaches to engaging citizens and move towards co-design, it will be important to ensure that under-represented and vulnerable populations feel that their interests and needs are taken into account. In particular, if governments increasingly deploy digital solutions to enable engagement at scale, inclusivity considerations will be especially important for cohorts with low digital literacy or infrastructure access. </w:t>
                            </w:r>
                          </w:p>
                          <w:p w14:paraId="213E88D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714165D"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Governments will also need to build and maintain </w:t>
                            </w:r>
                            <w:r>
                              <w:rPr>
                                <w:rFonts w:asciiTheme="minorHAnsi" w:hAnsiTheme="minorHAnsi" w:cstheme="minorHAnsi"/>
                                <w:color w:val="1F497D" w:themeColor="text2"/>
                                <w:sz w:val="22"/>
                              </w:rPr>
                              <w:t>trust in their capacity to act as</w:t>
                            </w:r>
                            <w:r w:rsidRPr="000C0E79">
                              <w:rPr>
                                <w:rFonts w:asciiTheme="minorHAnsi" w:hAnsiTheme="minorHAnsi" w:cstheme="minorHAnsi"/>
                                <w:color w:val="1F497D" w:themeColor="text2"/>
                                <w:sz w:val="22"/>
                              </w:rPr>
                              <w:t xml:space="preserve"> custodians of citizen data, if they are to meet citizen expectations communicated during engagement processes of seamless digital service delivery on the one hand (including inter-agency data sharing), but robust privacy protections on the other.</w:t>
                            </w:r>
                          </w:p>
                          <w:p w14:paraId="58AAD67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2CF23D44"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Efforts to increase transparency through Open Government initiatives, and to make citizen engagement a more routine part of upstream policy-making processes (as distinct from program or service design), will encounter friction with legal rules, attitudes, and conventions around the confidentiality of deliberative decision-making processes in Westminster systems. Senior policy-makers will have to lead their services to navigate these sensitivities over the coming years.</w:t>
                            </w:r>
                          </w:p>
                        </w:txbxContent>
                      </wps:txbx>
                      <wps:bodyPr rot="0" vert="horz" wrap="square" lIns="91440" tIns="45720" rIns="91440" bIns="45720" anchor="t" anchorCtr="0">
                        <a:noAutofit/>
                      </wps:bodyPr>
                    </wps:wsp>
                  </a:graphicData>
                </a:graphic>
              </wp:inline>
            </w:drawing>
          </mc:Choice>
          <mc:Fallback>
            <w:pict>
              <v:shape w14:anchorId="007AF075" id="_x0000_s1035" type="#_x0000_t202" style="width:481.5pt;height:2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" fillcolor="#dbe5f1 [660]" strokecolor="#1f497d [3215]" strokeweight="1pt">
                <v:textbox>
                  <w:txbxContent>
                    <w:p w14:paraId="18EB0F86" w14:textId="77777777" w:rsidR="00633B37" w:rsidRPr="000C0E79" w:rsidRDefault="00633B37" w:rsidP="000B649B">
                      <w:pPr>
                        <w:spacing w:after="120" w:line="240" w:lineRule="auto"/>
                        <w:rPr>
                          <w:rFonts w:asciiTheme="minorHAnsi" w:hAnsiTheme="minorHAnsi" w:cstheme="minorHAnsi"/>
                          <w:b/>
                          <w:i/>
                          <w:color w:val="1F497D" w:themeColor="text2"/>
                          <w:sz w:val="22"/>
                        </w:rPr>
                      </w:pPr>
                      <w:r w:rsidRPr="000C0E79">
                        <w:rPr>
                          <w:rFonts w:asciiTheme="minorHAnsi" w:hAnsiTheme="minorHAnsi" w:cstheme="minorHAnsi"/>
                          <w:b/>
                          <w:i/>
                          <w:color w:val="1F497D" w:themeColor="text2"/>
                          <w:sz w:val="22"/>
                        </w:rPr>
                        <w:t>Looking forward</w:t>
                      </w:r>
                    </w:p>
                    <w:p w14:paraId="0CBF481F"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As governments continue to explore new approaches to engaging citizens and move towards co-design, it will be important to ensure that under-represented and vulnerable populations feel that their interests and needs are taken into account. In particular, if governments increasingly deploy digital solutions to enable engagement at scale, inclusivity considerations will be especially important for cohorts with low digital literacy or infrastructure access. </w:t>
                      </w:r>
                    </w:p>
                    <w:p w14:paraId="213E88D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7714165D"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 xml:space="preserve">Governments will also need to build and maintain </w:t>
                      </w:r>
                      <w:r>
                        <w:rPr>
                          <w:rFonts w:asciiTheme="minorHAnsi" w:hAnsiTheme="minorHAnsi" w:cstheme="minorHAnsi"/>
                          <w:color w:val="1F497D" w:themeColor="text2"/>
                          <w:sz w:val="22"/>
                        </w:rPr>
                        <w:t>trust in their capacity to act as</w:t>
                      </w:r>
                      <w:r w:rsidRPr="000C0E79">
                        <w:rPr>
                          <w:rFonts w:asciiTheme="minorHAnsi" w:hAnsiTheme="minorHAnsi" w:cstheme="minorHAnsi"/>
                          <w:color w:val="1F497D" w:themeColor="text2"/>
                          <w:sz w:val="22"/>
                        </w:rPr>
                        <w:t xml:space="preserve"> custodians of citizen data, if they are to meet citizen expectations communicated during engagement processes of seamless digital service delivery on the one hand (including inter-agency data sharing), but robust privacy protections on the other.</w:t>
                      </w:r>
                    </w:p>
                    <w:p w14:paraId="58AAD675" w14:textId="77777777" w:rsidR="00633B37" w:rsidRPr="000C0E79" w:rsidRDefault="00633B37" w:rsidP="000B649B">
                      <w:pPr>
                        <w:spacing w:line="240" w:lineRule="auto"/>
                        <w:contextualSpacing/>
                        <w:rPr>
                          <w:rFonts w:asciiTheme="minorHAnsi" w:hAnsiTheme="minorHAnsi" w:cstheme="minorHAnsi"/>
                          <w:color w:val="1F497D" w:themeColor="text2"/>
                          <w:sz w:val="22"/>
                        </w:rPr>
                      </w:pPr>
                    </w:p>
                    <w:p w14:paraId="2CF23D44" w14:textId="77777777" w:rsidR="00633B37" w:rsidRPr="000C0E79" w:rsidRDefault="00633B37" w:rsidP="000B649B">
                      <w:pPr>
                        <w:spacing w:line="240" w:lineRule="auto"/>
                        <w:contextualSpacing/>
                        <w:rPr>
                          <w:rFonts w:asciiTheme="minorHAnsi" w:hAnsiTheme="minorHAnsi" w:cstheme="minorHAnsi"/>
                          <w:color w:val="1F497D" w:themeColor="text2"/>
                          <w:sz w:val="22"/>
                        </w:rPr>
                      </w:pPr>
                      <w:r w:rsidRPr="000C0E79">
                        <w:rPr>
                          <w:rFonts w:asciiTheme="minorHAnsi" w:hAnsiTheme="minorHAnsi" w:cstheme="minorHAnsi"/>
                          <w:color w:val="1F497D" w:themeColor="text2"/>
                          <w:sz w:val="22"/>
                        </w:rPr>
                        <w:t>Efforts to increase transparency through Open Government initiatives, and to make citizen engagement a more routine part of upstream policy-making processes (as distinct from program or service design), will encounter friction with legal rules, attitudes, and conventions around the confidentiality of deliberative decision-making processes in Westminster systems. Senior policy-makers will have to lead their services to navigate these sensitivities over the coming years.</w:t>
                      </w:r>
                    </w:p>
                  </w:txbxContent>
                </v:textbox>
                <w10:anchorlock/>
              </v:shape>
            </w:pict>
          </mc:Fallback>
        </mc:AlternateContent>
      </w:r>
    </w:p>
    <w:p w14:paraId="243CA0AE" w14:textId="77777777" w:rsidR="000B649B" w:rsidRDefault="000B649B" w:rsidP="000B649B">
      <w:pPr>
        <w:spacing w:after="120" w:line="240" w:lineRule="auto"/>
        <w:rPr>
          <w:b/>
          <w:i/>
        </w:rPr>
      </w:pPr>
    </w:p>
    <w:p w14:paraId="44ECF047" w14:textId="77777777" w:rsidR="000B649B" w:rsidRPr="005D5A83" w:rsidRDefault="000B649B" w:rsidP="000B649B">
      <w:pPr>
        <w:pStyle w:val="Heading1"/>
      </w:pPr>
      <w:r w:rsidRPr="005D5A83">
        <w:t>Questions for discussion</w:t>
      </w:r>
    </w:p>
    <w:p w14:paraId="0AAA8F12" w14:textId="503D05B9" w:rsidR="000B649B" w:rsidRDefault="00695880" w:rsidP="00BC2039">
      <w:pPr>
        <w:numPr>
          <w:ilvl w:val="0"/>
          <w:numId w:val="13"/>
        </w:numPr>
        <w:spacing w:after="0" w:line="240" w:lineRule="auto"/>
        <w:rPr>
          <w:rFonts w:asciiTheme="minorHAnsi" w:hAnsiTheme="minorHAnsi" w:cstheme="minorHAnsi"/>
          <w:sz w:val="22"/>
        </w:rPr>
      </w:pPr>
      <w:r>
        <w:rPr>
          <w:rFonts w:asciiTheme="minorHAnsi" w:hAnsiTheme="minorHAnsi" w:cstheme="minorHAnsi"/>
          <w:sz w:val="22"/>
        </w:rPr>
        <w:t>Are</w:t>
      </w:r>
      <w:r w:rsidR="000B649B" w:rsidRPr="00335DED">
        <w:rPr>
          <w:rFonts w:asciiTheme="minorHAnsi" w:hAnsiTheme="minorHAnsi" w:cstheme="minorHAnsi"/>
          <w:sz w:val="22"/>
        </w:rPr>
        <w:t xml:space="preserve"> the</w:t>
      </w:r>
      <w:r>
        <w:rPr>
          <w:rFonts w:asciiTheme="minorHAnsi" w:hAnsiTheme="minorHAnsi" w:cstheme="minorHAnsi"/>
          <w:sz w:val="22"/>
        </w:rPr>
        <w:t>re</w:t>
      </w:r>
      <w:r w:rsidR="000B649B" w:rsidRPr="00335DED">
        <w:rPr>
          <w:rFonts w:asciiTheme="minorHAnsi" w:hAnsiTheme="minorHAnsi" w:cstheme="minorHAnsi"/>
          <w:sz w:val="22"/>
        </w:rPr>
        <w:t xml:space="preserve"> trade-offs between </w:t>
      </w:r>
      <w:r w:rsidR="000B649B">
        <w:rPr>
          <w:rFonts w:asciiTheme="minorHAnsi" w:hAnsiTheme="minorHAnsi" w:cstheme="minorHAnsi"/>
          <w:sz w:val="22"/>
        </w:rPr>
        <w:t>“</w:t>
      </w:r>
      <w:r w:rsidR="000B649B" w:rsidRPr="00335DED">
        <w:rPr>
          <w:rFonts w:asciiTheme="minorHAnsi" w:hAnsiTheme="minorHAnsi" w:cstheme="minorHAnsi"/>
          <w:sz w:val="22"/>
        </w:rPr>
        <w:t>traditional</w:t>
      </w:r>
      <w:r w:rsidR="000B649B">
        <w:rPr>
          <w:rFonts w:asciiTheme="minorHAnsi" w:hAnsiTheme="minorHAnsi" w:cstheme="minorHAnsi"/>
          <w:sz w:val="22"/>
        </w:rPr>
        <w:t>”</w:t>
      </w:r>
      <w:r w:rsidR="000B649B" w:rsidRPr="00335DED">
        <w:rPr>
          <w:rFonts w:asciiTheme="minorHAnsi" w:hAnsiTheme="minorHAnsi" w:cstheme="minorHAnsi"/>
          <w:sz w:val="22"/>
        </w:rPr>
        <w:t xml:space="preserve"> and </w:t>
      </w:r>
      <w:r w:rsidR="000B649B">
        <w:rPr>
          <w:rFonts w:asciiTheme="minorHAnsi" w:hAnsiTheme="minorHAnsi" w:cstheme="minorHAnsi"/>
          <w:sz w:val="22"/>
        </w:rPr>
        <w:t>“</w:t>
      </w:r>
      <w:r w:rsidR="000B649B" w:rsidRPr="00335DED">
        <w:rPr>
          <w:rFonts w:asciiTheme="minorHAnsi" w:hAnsiTheme="minorHAnsi" w:cstheme="minorHAnsi"/>
          <w:sz w:val="22"/>
        </w:rPr>
        <w:t>inclusive</w:t>
      </w:r>
      <w:r w:rsidR="000B649B">
        <w:rPr>
          <w:rFonts w:asciiTheme="minorHAnsi" w:hAnsiTheme="minorHAnsi" w:cstheme="minorHAnsi"/>
          <w:sz w:val="22"/>
        </w:rPr>
        <w:t>”</w:t>
      </w:r>
      <w:r w:rsidR="000B649B" w:rsidRPr="00335DED">
        <w:rPr>
          <w:rFonts w:asciiTheme="minorHAnsi" w:hAnsiTheme="minorHAnsi" w:cstheme="minorHAnsi"/>
          <w:sz w:val="22"/>
        </w:rPr>
        <w:t xml:space="preserve"> growth strategies?</w:t>
      </w:r>
    </w:p>
    <w:p w14:paraId="4C3F56FE" w14:textId="77777777" w:rsidR="000B649B" w:rsidRPr="00335DED" w:rsidRDefault="000B649B" w:rsidP="000B649B">
      <w:pPr>
        <w:spacing w:after="0" w:line="240" w:lineRule="auto"/>
        <w:ind w:left="1080"/>
        <w:rPr>
          <w:rFonts w:asciiTheme="minorHAnsi" w:hAnsiTheme="minorHAnsi" w:cstheme="minorHAnsi"/>
          <w:sz w:val="22"/>
        </w:rPr>
      </w:pPr>
    </w:p>
    <w:p w14:paraId="7BF35E89" w14:textId="77777777" w:rsidR="0035510C" w:rsidRDefault="000B649B" w:rsidP="0035510C">
      <w:pPr>
        <w:numPr>
          <w:ilvl w:val="0"/>
          <w:numId w:val="13"/>
        </w:numPr>
        <w:spacing w:after="0" w:line="240" w:lineRule="auto"/>
        <w:rPr>
          <w:rFonts w:asciiTheme="minorHAnsi" w:hAnsiTheme="minorHAnsi" w:cstheme="minorHAnsi"/>
          <w:sz w:val="22"/>
        </w:rPr>
      </w:pPr>
      <w:r w:rsidRPr="00335DED">
        <w:rPr>
          <w:rFonts w:asciiTheme="minorHAnsi" w:hAnsiTheme="minorHAnsi" w:cstheme="minorHAnsi"/>
          <w:sz w:val="22"/>
        </w:rPr>
        <w:t xml:space="preserve">What types of strategies and programs are needed to support individuals and regions to successfully adapt to </w:t>
      </w:r>
      <w:r>
        <w:rPr>
          <w:rFonts w:asciiTheme="minorHAnsi" w:hAnsiTheme="minorHAnsi" w:cstheme="minorHAnsi"/>
          <w:sz w:val="22"/>
        </w:rPr>
        <w:t xml:space="preserve">structural adjustment </w:t>
      </w:r>
      <w:r w:rsidRPr="00335DED">
        <w:rPr>
          <w:rFonts w:asciiTheme="minorHAnsi" w:hAnsiTheme="minorHAnsi" w:cstheme="minorHAnsi"/>
          <w:sz w:val="22"/>
        </w:rPr>
        <w:t>over short to medium</w:t>
      </w:r>
      <w:r>
        <w:rPr>
          <w:rFonts w:asciiTheme="minorHAnsi" w:hAnsiTheme="minorHAnsi" w:cstheme="minorHAnsi"/>
          <w:sz w:val="22"/>
        </w:rPr>
        <w:t>-</w:t>
      </w:r>
      <w:r w:rsidRPr="00335DED">
        <w:rPr>
          <w:rFonts w:asciiTheme="minorHAnsi" w:hAnsiTheme="minorHAnsi" w:cstheme="minorHAnsi"/>
          <w:sz w:val="22"/>
        </w:rPr>
        <w:t>term periods?</w:t>
      </w:r>
    </w:p>
    <w:p w14:paraId="0DD43E97" w14:textId="77777777" w:rsidR="0035510C" w:rsidRDefault="0035510C" w:rsidP="0035510C">
      <w:pPr>
        <w:pStyle w:val="ListParagraph"/>
        <w:rPr>
          <w:rFonts w:asciiTheme="minorHAnsi" w:hAnsiTheme="minorHAnsi" w:cstheme="minorHAnsi"/>
          <w:sz w:val="22"/>
        </w:rPr>
      </w:pPr>
    </w:p>
    <w:p w14:paraId="0634A335" w14:textId="50116AB7" w:rsidR="000B649B" w:rsidRPr="0035510C" w:rsidRDefault="000B649B" w:rsidP="0035510C">
      <w:pPr>
        <w:numPr>
          <w:ilvl w:val="0"/>
          <w:numId w:val="13"/>
        </w:numPr>
        <w:spacing w:after="0" w:line="240" w:lineRule="auto"/>
        <w:rPr>
          <w:rFonts w:asciiTheme="minorHAnsi" w:hAnsiTheme="minorHAnsi" w:cstheme="minorHAnsi"/>
          <w:sz w:val="22"/>
        </w:rPr>
      </w:pPr>
      <w:r w:rsidRPr="0035510C">
        <w:rPr>
          <w:rFonts w:asciiTheme="minorHAnsi" w:hAnsiTheme="minorHAnsi" w:cstheme="minorHAnsi"/>
          <w:sz w:val="22"/>
        </w:rPr>
        <w:t xml:space="preserve">How can we foster stronger partnerships with and between educational institutions and employers, to encourage employers to invest in the ongoing skill development of their workforce, and to help ensure </w:t>
      </w:r>
      <w:r w:rsidR="00695880">
        <w:rPr>
          <w:rFonts w:asciiTheme="minorHAnsi" w:hAnsiTheme="minorHAnsi" w:cstheme="minorHAnsi"/>
          <w:sz w:val="22"/>
        </w:rPr>
        <w:t>workers</w:t>
      </w:r>
      <w:r w:rsidRPr="0035510C">
        <w:rPr>
          <w:rFonts w:asciiTheme="minorHAnsi" w:hAnsiTheme="minorHAnsi" w:cstheme="minorHAnsi"/>
          <w:sz w:val="22"/>
        </w:rPr>
        <w:t xml:space="preserve"> have the right skills to succeed in the evolving labour market over the long run?</w:t>
      </w:r>
    </w:p>
    <w:p w14:paraId="2C65E001" w14:textId="77777777" w:rsidR="000B649B" w:rsidRDefault="000B649B" w:rsidP="000B649B">
      <w:pPr>
        <w:spacing w:after="0" w:line="240" w:lineRule="auto"/>
        <w:ind w:left="1080"/>
        <w:rPr>
          <w:rFonts w:asciiTheme="minorHAnsi" w:hAnsiTheme="minorHAnsi" w:cstheme="minorHAnsi"/>
          <w:sz w:val="22"/>
        </w:rPr>
      </w:pPr>
    </w:p>
    <w:p w14:paraId="5B4F3F3C" w14:textId="41C7C691" w:rsidR="000B649B" w:rsidRDefault="000B649B" w:rsidP="00BC2039">
      <w:pPr>
        <w:numPr>
          <w:ilvl w:val="0"/>
          <w:numId w:val="13"/>
        </w:numPr>
        <w:spacing w:after="0" w:line="240" w:lineRule="auto"/>
        <w:rPr>
          <w:rFonts w:asciiTheme="minorHAnsi" w:hAnsiTheme="minorHAnsi" w:cstheme="minorHAnsi"/>
          <w:sz w:val="22"/>
        </w:rPr>
      </w:pPr>
      <w:r>
        <w:rPr>
          <w:rFonts w:asciiTheme="minorHAnsi" w:hAnsiTheme="minorHAnsi" w:cstheme="minorHAnsi"/>
          <w:sz w:val="22"/>
        </w:rPr>
        <w:t>How can government</w:t>
      </w:r>
      <w:r w:rsidR="00695880">
        <w:rPr>
          <w:rFonts w:asciiTheme="minorHAnsi" w:hAnsiTheme="minorHAnsi" w:cstheme="minorHAnsi"/>
          <w:sz w:val="22"/>
        </w:rPr>
        <w:t>s</w:t>
      </w:r>
      <w:r>
        <w:rPr>
          <w:rFonts w:asciiTheme="minorHAnsi" w:hAnsiTheme="minorHAnsi" w:cstheme="minorHAnsi"/>
          <w:sz w:val="22"/>
        </w:rPr>
        <w:t xml:space="preserve"> e</w:t>
      </w:r>
      <w:r w:rsidRPr="00335DED">
        <w:rPr>
          <w:rFonts w:asciiTheme="minorHAnsi" w:hAnsiTheme="minorHAnsi" w:cstheme="minorHAnsi"/>
          <w:sz w:val="22"/>
        </w:rPr>
        <w:t>nsur</w:t>
      </w:r>
      <w:r>
        <w:rPr>
          <w:rFonts w:asciiTheme="minorHAnsi" w:hAnsiTheme="minorHAnsi" w:cstheme="minorHAnsi"/>
          <w:sz w:val="22"/>
        </w:rPr>
        <w:t xml:space="preserve">e that there is </w:t>
      </w:r>
      <w:r w:rsidRPr="00335DED">
        <w:rPr>
          <w:rFonts w:asciiTheme="minorHAnsi" w:hAnsiTheme="minorHAnsi" w:cstheme="minorHAnsi"/>
          <w:sz w:val="22"/>
        </w:rPr>
        <w:t>a level playing field</w:t>
      </w:r>
      <w:r>
        <w:rPr>
          <w:rFonts w:asciiTheme="minorHAnsi" w:hAnsiTheme="minorHAnsi" w:cstheme="minorHAnsi"/>
          <w:sz w:val="22"/>
        </w:rPr>
        <w:t xml:space="preserve"> t</w:t>
      </w:r>
      <w:r w:rsidR="00695880">
        <w:rPr>
          <w:rFonts w:asciiTheme="minorHAnsi" w:hAnsiTheme="minorHAnsi" w:cstheme="minorHAnsi"/>
          <w:sz w:val="22"/>
        </w:rPr>
        <w:t>hat</w:t>
      </w:r>
      <w:r>
        <w:rPr>
          <w:rFonts w:asciiTheme="minorHAnsi" w:hAnsiTheme="minorHAnsi" w:cstheme="minorHAnsi"/>
          <w:sz w:val="22"/>
        </w:rPr>
        <w:t xml:space="preserve"> allow</w:t>
      </w:r>
      <w:r w:rsidR="00695880">
        <w:rPr>
          <w:rFonts w:asciiTheme="minorHAnsi" w:hAnsiTheme="minorHAnsi" w:cstheme="minorHAnsi"/>
          <w:sz w:val="22"/>
        </w:rPr>
        <w:t>s</w:t>
      </w:r>
      <w:r w:rsidRPr="00335DED">
        <w:rPr>
          <w:rFonts w:asciiTheme="minorHAnsi" w:hAnsiTheme="minorHAnsi" w:cstheme="minorHAnsi"/>
          <w:sz w:val="22"/>
        </w:rPr>
        <w:t xml:space="preserve"> for competition</w:t>
      </w:r>
      <w:r>
        <w:rPr>
          <w:rFonts w:asciiTheme="minorHAnsi" w:hAnsiTheme="minorHAnsi" w:cstheme="minorHAnsi"/>
          <w:sz w:val="22"/>
        </w:rPr>
        <w:t>, and provide</w:t>
      </w:r>
      <w:r w:rsidR="00695880">
        <w:rPr>
          <w:rFonts w:asciiTheme="minorHAnsi" w:hAnsiTheme="minorHAnsi" w:cstheme="minorHAnsi"/>
          <w:sz w:val="22"/>
        </w:rPr>
        <w:t>s</w:t>
      </w:r>
      <w:r>
        <w:rPr>
          <w:rFonts w:asciiTheme="minorHAnsi" w:hAnsiTheme="minorHAnsi" w:cstheme="minorHAnsi"/>
          <w:sz w:val="22"/>
        </w:rPr>
        <w:t xml:space="preserve"> adequate regulatory protections</w:t>
      </w:r>
      <w:r w:rsidRPr="00335DED">
        <w:rPr>
          <w:rFonts w:asciiTheme="minorHAnsi" w:hAnsiTheme="minorHAnsi" w:cstheme="minorHAnsi"/>
          <w:sz w:val="22"/>
        </w:rPr>
        <w:t>?</w:t>
      </w:r>
    </w:p>
    <w:p w14:paraId="0A39B578" w14:textId="77777777" w:rsidR="000B649B" w:rsidRDefault="000B649B" w:rsidP="000B649B">
      <w:pPr>
        <w:pStyle w:val="ListParagraph"/>
        <w:rPr>
          <w:rFonts w:asciiTheme="minorHAnsi" w:hAnsiTheme="minorHAnsi" w:cstheme="minorHAnsi"/>
          <w:sz w:val="22"/>
        </w:rPr>
      </w:pPr>
    </w:p>
    <w:p w14:paraId="62F379CF" w14:textId="77777777" w:rsidR="000B649B" w:rsidRPr="00893947" w:rsidRDefault="000B649B" w:rsidP="00BC2039">
      <w:pPr>
        <w:numPr>
          <w:ilvl w:val="0"/>
          <w:numId w:val="13"/>
        </w:numPr>
        <w:spacing w:after="0" w:line="240" w:lineRule="auto"/>
        <w:rPr>
          <w:rFonts w:asciiTheme="minorHAnsi" w:hAnsiTheme="minorHAnsi" w:cstheme="minorHAnsi"/>
          <w:sz w:val="22"/>
        </w:rPr>
      </w:pPr>
      <w:r w:rsidRPr="00893947">
        <w:rPr>
          <w:rFonts w:asciiTheme="minorHAnsi" w:hAnsiTheme="minorHAnsi" w:cstheme="minorHAnsi"/>
          <w:sz w:val="22"/>
        </w:rPr>
        <w:t>How can governments ensure that the policies and programs they develop take into account the realities faced by under-represented and vulnerable populations</w:t>
      </w:r>
      <w:r>
        <w:rPr>
          <w:rFonts w:asciiTheme="minorHAnsi" w:hAnsiTheme="minorHAnsi" w:cstheme="minorHAnsi"/>
          <w:sz w:val="22"/>
        </w:rPr>
        <w:t>, and make the most of citizen views and expertise</w:t>
      </w:r>
      <w:r w:rsidRPr="00893947">
        <w:rPr>
          <w:rFonts w:asciiTheme="minorHAnsi" w:hAnsiTheme="minorHAnsi" w:cstheme="minorHAnsi"/>
          <w:sz w:val="22"/>
        </w:rPr>
        <w:t>?</w:t>
      </w:r>
    </w:p>
    <w:p w14:paraId="3194E366" w14:textId="77777777" w:rsidR="000B649B" w:rsidRDefault="000B649B" w:rsidP="000B649B"/>
    <w:p w14:paraId="37E49ACB" w14:textId="77777777" w:rsidR="000B649B" w:rsidRPr="00A8770B" w:rsidRDefault="000B649B" w:rsidP="000B649B">
      <w:pPr>
        <w:pStyle w:val="ListParagraph"/>
        <w:rPr>
          <w:b/>
          <w:i/>
          <w:color w:val="17365D" w:themeColor="text2" w:themeShade="BF"/>
        </w:rPr>
      </w:pPr>
    </w:p>
    <w:p w14:paraId="5813364F" w14:textId="77777777" w:rsidR="000B649B" w:rsidRDefault="000B649B" w:rsidP="000B649B">
      <w:pPr>
        <w:rPr>
          <w:rFonts w:cs="Times New Roman"/>
          <w:b/>
          <w:i/>
          <w:color w:val="17365D" w:themeColor="text2" w:themeShade="BF"/>
        </w:rPr>
      </w:pPr>
      <w:r>
        <w:rPr>
          <w:rFonts w:cs="Times New Roman"/>
          <w:b/>
          <w:i/>
          <w:color w:val="17365D" w:themeColor="text2" w:themeShade="BF"/>
        </w:rPr>
        <w:br w:type="page"/>
      </w:r>
    </w:p>
    <w:p w14:paraId="7608C40D" w14:textId="77777777" w:rsidR="00636FEA" w:rsidRDefault="00636FEA" w:rsidP="00636FEA">
      <w:pPr>
        <w:pStyle w:val="Heading1"/>
      </w:pPr>
      <w:r w:rsidRPr="005D5A83">
        <w:t>Reading Material</w:t>
      </w:r>
    </w:p>
    <w:p w14:paraId="49560CB3" w14:textId="77777777" w:rsidR="00636FEA" w:rsidRPr="00A156BB" w:rsidRDefault="00636FEA" w:rsidP="00636FEA">
      <w:pPr>
        <w:pStyle w:val="Heading2"/>
      </w:pPr>
      <w:r>
        <w:t>Australia</w:t>
      </w:r>
    </w:p>
    <w:p w14:paraId="0532111D" w14:textId="77777777" w:rsidR="00636FEA" w:rsidRDefault="00636FEA" w:rsidP="00636FEA">
      <w:pPr>
        <w:spacing w:after="100" w:line="240" w:lineRule="auto"/>
        <w:ind w:left="284" w:hanging="284"/>
        <w:contextualSpacing/>
        <w:rPr>
          <w:rFonts w:ascii="Calibri" w:hAnsi="Calibri" w:cs="Calibri"/>
          <w:sz w:val="22"/>
        </w:rPr>
      </w:pPr>
      <w:r w:rsidRPr="007D3AD7">
        <w:rPr>
          <w:rFonts w:ascii="Calibri" w:hAnsi="Calibri" w:cs="Calibri"/>
          <w:sz w:val="22"/>
        </w:rPr>
        <w:t xml:space="preserve">AlphaBeta, </w:t>
      </w:r>
      <w:hyperlink r:id="rId28" w:history="1">
        <w:r w:rsidRPr="007D3AD7">
          <w:rPr>
            <w:rStyle w:val="Hyperlink"/>
            <w:rFonts w:ascii="Calibri" w:hAnsi="Calibri" w:cs="Calibri"/>
            <w:i/>
            <w:sz w:val="22"/>
          </w:rPr>
          <w:t>Adapt to survive: Mapping task change and job loss in the Australian workforce</w:t>
        </w:r>
      </w:hyperlink>
      <w:r>
        <w:rPr>
          <w:rFonts w:ascii="Calibri" w:hAnsi="Calibri" w:cs="Calibri"/>
          <w:sz w:val="22"/>
        </w:rPr>
        <w:t>, October 2018</w:t>
      </w:r>
    </w:p>
    <w:p w14:paraId="6CC73018" w14:textId="77777777" w:rsidR="00636FEA"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AlphaBeta, </w:t>
      </w:r>
      <w:hyperlink r:id="rId29" w:history="1">
        <w:r w:rsidRPr="00E804CC">
          <w:rPr>
            <w:rStyle w:val="Hyperlink"/>
            <w:rFonts w:ascii="Calibri" w:hAnsi="Calibri" w:cs="Calibri"/>
            <w:i/>
            <w:sz w:val="22"/>
          </w:rPr>
          <w:t>Digital Innovation: Australia’s $315bn Opportunity</w:t>
        </w:r>
      </w:hyperlink>
      <w:r>
        <w:rPr>
          <w:rFonts w:ascii="Calibri" w:hAnsi="Calibri" w:cs="Calibri"/>
          <w:sz w:val="22"/>
        </w:rPr>
        <w:t>, September 2018</w:t>
      </w:r>
    </w:p>
    <w:p w14:paraId="308CE927" w14:textId="77777777" w:rsidR="00636FEA"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Australian Government, </w:t>
      </w:r>
      <w:hyperlink r:id="rId30" w:history="1">
        <w:r w:rsidRPr="007C1CD0">
          <w:rPr>
            <w:rStyle w:val="Hyperlink"/>
            <w:rFonts w:ascii="Calibri" w:hAnsi="Calibri" w:cs="Calibri"/>
            <w:sz w:val="22"/>
          </w:rPr>
          <w:t>Second Open Government National Action Plan 2018-20</w:t>
        </w:r>
      </w:hyperlink>
      <w:r>
        <w:rPr>
          <w:rFonts w:ascii="Calibri" w:hAnsi="Calibri" w:cs="Calibri"/>
          <w:sz w:val="22"/>
        </w:rPr>
        <w:t>, September 2018</w:t>
      </w:r>
    </w:p>
    <w:p w14:paraId="28D94E51" w14:textId="77777777" w:rsidR="00636FEA"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Business Council of Australia, </w:t>
      </w:r>
      <w:hyperlink r:id="rId31" w:history="1">
        <w:r w:rsidRPr="00E804CC">
          <w:rPr>
            <w:rStyle w:val="Hyperlink"/>
            <w:rFonts w:ascii="Calibri" w:hAnsi="Calibri" w:cs="Calibri"/>
            <w:i/>
            <w:sz w:val="22"/>
          </w:rPr>
          <w:t xml:space="preserve">Future-Proof: </w:t>
        </w:r>
        <w:hyperlink r:id="rId32" w:history="1">
          <w:r w:rsidRPr="00E804CC">
            <w:rPr>
              <w:rStyle w:val="Hyperlink"/>
              <w:rFonts w:ascii="Calibri" w:hAnsi="Calibri" w:cs="Calibri"/>
              <w:i/>
              <w:sz w:val="22"/>
              <w:lang w:val="en"/>
            </w:rPr>
            <w:t>Australia’s future post-secondary education and skills system</w:t>
          </w:r>
        </w:hyperlink>
      </w:hyperlink>
      <w:r>
        <w:rPr>
          <w:rFonts w:ascii="Calibri" w:hAnsi="Calibri" w:cs="Calibri"/>
          <w:sz w:val="22"/>
        </w:rPr>
        <w:t xml:space="preserve">, October 2017 (and </w:t>
      </w:r>
      <w:hyperlink r:id="rId33" w:history="1">
        <w:r w:rsidRPr="00E804CC">
          <w:rPr>
            <w:rStyle w:val="Hyperlink"/>
            <w:rFonts w:ascii="Calibri" w:hAnsi="Calibri" w:cs="Calibri"/>
            <w:sz w:val="22"/>
          </w:rPr>
          <w:t>public submissions</w:t>
        </w:r>
      </w:hyperlink>
      <w:r>
        <w:rPr>
          <w:rFonts w:ascii="Calibri" w:hAnsi="Calibri" w:cs="Calibri"/>
          <w:sz w:val="22"/>
        </w:rPr>
        <w:t>)</w:t>
      </w:r>
    </w:p>
    <w:p w14:paraId="339E4867" w14:textId="77777777" w:rsidR="00636FEA" w:rsidRPr="007C1CD0"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Digital Transformation Agency, </w:t>
      </w:r>
      <w:hyperlink r:id="rId34" w:history="1">
        <w:r w:rsidRPr="007C1CD0">
          <w:rPr>
            <w:rStyle w:val="Hyperlink"/>
            <w:rFonts w:ascii="Calibri" w:hAnsi="Calibri" w:cs="Calibri"/>
            <w:sz w:val="22"/>
          </w:rPr>
          <w:t>Digital Services Standard</w:t>
        </w:r>
      </w:hyperlink>
      <w:r>
        <w:rPr>
          <w:rFonts w:ascii="Calibri" w:hAnsi="Calibri" w:cs="Calibri"/>
          <w:sz w:val="22"/>
        </w:rPr>
        <w:t xml:space="preserve"> (accessed December 2018)</w:t>
      </w:r>
    </w:p>
    <w:p w14:paraId="5A4C5C20" w14:textId="77777777" w:rsidR="00636FEA" w:rsidRPr="007D3AD7" w:rsidRDefault="00693D4E" w:rsidP="00636FEA">
      <w:pPr>
        <w:spacing w:after="100" w:line="240" w:lineRule="auto"/>
        <w:ind w:left="284" w:hanging="284"/>
        <w:contextualSpacing/>
        <w:rPr>
          <w:rFonts w:ascii="Calibri" w:hAnsi="Calibri" w:cs="Calibri"/>
          <w:sz w:val="22"/>
        </w:rPr>
      </w:pPr>
      <w:hyperlink r:id="rId35" w:history="1">
        <w:r w:rsidR="00636FEA" w:rsidRPr="007D3AD7">
          <w:rPr>
            <w:rStyle w:val="Hyperlink"/>
            <w:rFonts w:ascii="Calibri" w:hAnsi="Calibri" w:cs="Calibri"/>
            <w:sz w:val="22"/>
          </w:rPr>
          <w:t>Edelman Trust Barometer, Australian Results</w:t>
        </w:r>
      </w:hyperlink>
      <w:r w:rsidR="00636FEA" w:rsidRPr="007D3AD7">
        <w:rPr>
          <w:rFonts w:ascii="Calibri" w:hAnsi="Calibri" w:cs="Calibri"/>
          <w:sz w:val="22"/>
        </w:rPr>
        <w:t>, F</w:t>
      </w:r>
      <w:r w:rsidR="00636FEA">
        <w:rPr>
          <w:rFonts w:ascii="Calibri" w:hAnsi="Calibri" w:cs="Calibri"/>
          <w:sz w:val="22"/>
        </w:rPr>
        <w:t>ebruary 2018</w:t>
      </w:r>
    </w:p>
    <w:p w14:paraId="3E77271E" w14:textId="77777777" w:rsidR="00636FEA" w:rsidRDefault="00636FEA" w:rsidP="00636FEA">
      <w:pPr>
        <w:spacing w:after="100" w:line="240" w:lineRule="auto"/>
        <w:ind w:left="284" w:hanging="284"/>
        <w:contextualSpacing/>
        <w:rPr>
          <w:rFonts w:ascii="Calibri" w:hAnsi="Calibri" w:cs="Calibri"/>
          <w:sz w:val="22"/>
        </w:rPr>
      </w:pPr>
      <w:r w:rsidRPr="00EF5322">
        <w:rPr>
          <w:rFonts w:ascii="Calibri" w:hAnsi="Calibri" w:cs="Calibri"/>
          <w:sz w:val="22"/>
        </w:rPr>
        <w:t xml:space="preserve">Evans M, Halupka M, Stoker G, </w:t>
      </w:r>
      <w:hyperlink r:id="rId36" w:history="1">
        <w:r w:rsidRPr="00EF5322">
          <w:rPr>
            <w:rStyle w:val="Hyperlink"/>
            <w:rFonts w:ascii="Calibri" w:hAnsi="Calibri" w:cs="Calibri"/>
            <w:i/>
            <w:sz w:val="22"/>
          </w:rPr>
          <w:t>How Australians Imagine Their Democracy: The “Power of Us”</w:t>
        </w:r>
      </w:hyperlink>
      <w:r w:rsidRPr="00EF5322">
        <w:rPr>
          <w:rFonts w:ascii="Calibri" w:hAnsi="Calibri" w:cs="Calibri"/>
          <w:sz w:val="22"/>
        </w:rPr>
        <w:t>, Institute for Governance and Policy Analysis, Canberra, 2017</w:t>
      </w:r>
    </w:p>
    <w:p w14:paraId="7C248E86" w14:textId="77777777" w:rsidR="00636FEA" w:rsidRPr="007D3AD7"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Foundation for Young Australians, </w:t>
      </w:r>
      <w:hyperlink r:id="rId37" w:history="1">
        <w:r w:rsidRPr="00E804CC">
          <w:rPr>
            <w:rStyle w:val="Hyperlink"/>
            <w:rFonts w:ascii="Calibri" w:hAnsi="Calibri" w:cs="Calibri"/>
            <w:i/>
            <w:sz w:val="22"/>
          </w:rPr>
          <w:t xml:space="preserve">New Work Order </w:t>
        </w:r>
        <w:r w:rsidRPr="00E804CC">
          <w:rPr>
            <w:rStyle w:val="Hyperlink"/>
            <w:rFonts w:ascii="Calibri" w:hAnsi="Calibri" w:cs="Calibri"/>
            <w:sz w:val="22"/>
          </w:rPr>
          <w:t>research series</w:t>
        </w:r>
      </w:hyperlink>
      <w:r>
        <w:rPr>
          <w:rFonts w:ascii="Calibri" w:hAnsi="Calibri" w:cs="Calibri"/>
          <w:sz w:val="22"/>
        </w:rPr>
        <w:t>, 2015–2018 (five instalments)</w:t>
      </w:r>
    </w:p>
    <w:p w14:paraId="217CA8B6" w14:textId="77777777" w:rsidR="00636FEA" w:rsidRPr="00167B8B" w:rsidRDefault="00636FEA" w:rsidP="00636FEA">
      <w:pPr>
        <w:spacing w:after="100" w:line="240" w:lineRule="auto"/>
        <w:ind w:left="284" w:hanging="284"/>
        <w:contextualSpacing/>
        <w:rPr>
          <w:rFonts w:asciiTheme="minorHAnsi" w:hAnsiTheme="minorHAnsi" w:cstheme="minorHAnsi"/>
          <w:sz w:val="22"/>
        </w:rPr>
      </w:pPr>
      <w:r>
        <w:rPr>
          <w:rFonts w:asciiTheme="minorHAnsi" w:hAnsiTheme="minorHAnsi" w:cstheme="minorHAnsi"/>
          <w:sz w:val="22"/>
        </w:rPr>
        <w:t xml:space="preserve">Grattan Institute, </w:t>
      </w:r>
      <w:hyperlink r:id="rId38" w:history="1">
        <w:r w:rsidRPr="00167B8B">
          <w:rPr>
            <w:rStyle w:val="Hyperlink"/>
            <w:rFonts w:asciiTheme="minorHAnsi" w:hAnsiTheme="minorHAnsi" w:cstheme="minorHAnsi"/>
            <w:i/>
            <w:sz w:val="22"/>
          </w:rPr>
          <w:t>A Crisis of Trust: The Rise of Protest Politics in Australia</w:t>
        </w:r>
      </w:hyperlink>
      <w:r>
        <w:rPr>
          <w:rFonts w:asciiTheme="minorHAnsi" w:hAnsiTheme="minorHAnsi" w:cstheme="minorHAnsi"/>
          <w:sz w:val="22"/>
        </w:rPr>
        <w:t>, March 2018</w:t>
      </w:r>
    </w:p>
    <w:p w14:paraId="466115AC" w14:textId="77777777" w:rsidR="00636FEA" w:rsidRPr="00167B8B" w:rsidRDefault="00636FEA" w:rsidP="00636FEA">
      <w:pPr>
        <w:spacing w:after="100" w:line="240" w:lineRule="auto"/>
        <w:ind w:left="284" w:hanging="284"/>
        <w:contextualSpacing/>
        <w:rPr>
          <w:rFonts w:asciiTheme="minorHAnsi" w:hAnsiTheme="minorHAnsi" w:cstheme="minorHAnsi"/>
          <w:sz w:val="22"/>
        </w:rPr>
      </w:pPr>
      <w:r w:rsidRPr="00167B8B">
        <w:rPr>
          <w:rFonts w:ascii="Calibri" w:hAnsi="Calibri" w:cs="Calibri"/>
          <w:sz w:val="22"/>
          <w:lang w:val="en"/>
        </w:rPr>
        <w:t xml:space="preserve">Grattan Institute, </w:t>
      </w:r>
      <w:hyperlink r:id="rId39" w:history="1">
        <w:r w:rsidRPr="00167B8B">
          <w:rPr>
            <w:rStyle w:val="Hyperlink"/>
            <w:rFonts w:ascii="Calibri" w:hAnsi="Calibri" w:cs="Calibri"/>
            <w:i/>
            <w:sz w:val="22"/>
            <w:lang w:val="en"/>
          </w:rPr>
          <w:t>Competition in Australia: Too little of a good thing?</w:t>
        </w:r>
      </w:hyperlink>
      <w:r w:rsidRPr="00167B8B">
        <w:rPr>
          <w:rFonts w:ascii="Calibri" w:hAnsi="Calibri" w:cs="Calibri"/>
          <w:sz w:val="22"/>
          <w:lang w:val="en"/>
        </w:rPr>
        <w:t xml:space="preserve"> December 2017</w:t>
      </w:r>
    </w:p>
    <w:p w14:paraId="1589533C" w14:textId="77777777" w:rsidR="00636FEA" w:rsidRDefault="00636FEA" w:rsidP="00636FEA">
      <w:pPr>
        <w:spacing w:after="100" w:line="240" w:lineRule="auto"/>
        <w:ind w:left="284" w:hanging="284"/>
        <w:contextualSpacing/>
        <w:rPr>
          <w:rFonts w:asciiTheme="minorHAnsi" w:hAnsiTheme="minorHAnsi" w:cstheme="minorHAnsi"/>
          <w:sz w:val="22"/>
        </w:rPr>
      </w:pPr>
      <w:r w:rsidRPr="003659E9">
        <w:rPr>
          <w:rFonts w:asciiTheme="minorHAnsi" w:hAnsiTheme="minorHAnsi" w:cstheme="minorHAnsi"/>
          <w:sz w:val="22"/>
        </w:rPr>
        <w:t xml:space="preserve">Grattan Institute, </w:t>
      </w:r>
      <w:hyperlink r:id="rId40" w:history="1">
        <w:r w:rsidRPr="003659E9">
          <w:rPr>
            <w:rStyle w:val="Hyperlink"/>
            <w:rFonts w:asciiTheme="minorHAnsi" w:hAnsiTheme="minorHAnsi" w:cstheme="minorHAnsi"/>
            <w:i/>
            <w:sz w:val="22"/>
          </w:rPr>
          <w:t>Who’s In the Room: Access and Influence in Australian Politics</w:t>
        </w:r>
      </w:hyperlink>
      <w:r w:rsidRPr="003659E9">
        <w:rPr>
          <w:rFonts w:asciiTheme="minorHAnsi" w:hAnsiTheme="minorHAnsi" w:cstheme="minorHAnsi"/>
          <w:sz w:val="22"/>
        </w:rPr>
        <w:t>, September 2018</w:t>
      </w:r>
    </w:p>
    <w:p w14:paraId="504ADFEA" w14:textId="77777777" w:rsidR="00636FEA" w:rsidRDefault="00636FEA" w:rsidP="00636FEA">
      <w:pPr>
        <w:spacing w:after="100" w:line="240" w:lineRule="auto"/>
        <w:ind w:left="284" w:hanging="284"/>
        <w:contextualSpacing/>
        <w:rPr>
          <w:rFonts w:ascii="Calibri" w:hAnsi="Calibri" w:cs="Calibri"/>
          <w:sz w:val="22"/>
        </w:rPr>
      </w:pPr>
      <w:r>
        <w:rPr>
          <w:rFonts w:ascii="Calibri" w:hAnsi="Calibri" w:cs="Calibri"/>
          <w:sz w:val="22"/>
        </w:rPr>
        <w:t xml:space="preserve">Innovation and Science Australia, </w:t>
      </w:r>
      <w:hyperlink r:id="rId41" w:history="1">
        <w:r w:rsidRPr="00167B8B">
          <w:rPr>
            <w:rStyle w:val="Hyperlink"/>
            <w:rFonts w:ascii="Calibri" w:hAnsi="Calibri" w:cs="Calibri"/>
            <w:i/>
            <w:sz w:val="22"/>
          </w:rPr>
          <w:t>Australia 2030: Prosperity through Innovation</w:t>
        </w:r>
      </w:hyperlink>
      <w:r>
        <w:rPr>
          <w:rFonts w:ascii="Calibri" w:hAnsi="Calibri" w:cs="Calibri"/>
          <w:sz w:val="22"/>
        </w:rPr>
        <w:t xml:space="preserve">, November 2017 (and </w:t>
      </w:r>
      <w:hyperlink r:id="rId42" w:history="1">
        <w:r w:rsidRPr="00167B8B">
          <w:rPr>
            <w:rStyle w:val="Hyperlink"/>
            <w:rFonts w:ascii="Calibri" w:hAnsi="Calibri" w:cs="Calibri"/>
            <w:sz w:val="22"/>
          </w:rPr>
          <w:t>Government Response</w:t>
        </w:r>
      </w:hyperlink>
      <w:r>
        <w:rPr>
          <w:rFonts w:ascii="Calibri" w:hAnsi="Calibri" w:cs="Calibri"/>
          <w:sz w:val="22"/>
        </w:rPr>
        <w:t>)</w:t>
      </w:r>
    </w:p>
    <w:p w14:paraId="637CF9E9" w14:textId="77777777" w:rsidR="00636FEA" w:rsidRPr="00167B8B" w:rsidRDefault="00636FEA" w:rsidP="00636FEA">
      <w:pPr>
        <w:spacing w:after="100" w:line="240" w:lineRule="auto"/>
        <w:ind w:left="284" w:hanging="284"/>
        <w:contextualSpacing/>
        <w:rPr>
          <w:rFonts w:ascii="Calibri" w:hAnsi="Calibri" w:cs="Calibri"/>
          <w:sz w:val="22"/>
        </w:rPr>
      </w:pPr>
      <w:r w:rsidRPr="00167B8B">
        <w:rPr>
          <w:rFonts w:asciiTheme="minorHAnsi" w:hAnsiTheme="minorHAnsi" w:cstheme="minorHAnsi"/>
          <w:sz w:val="22"/>
        </w:rPr>
        <w:t>Museum</w:t>
      </w:r>
      <w:r>
        <w:rPr>
          <w:rFonts w:ascii="Calibri" w:hAnsi="Calibri" w:cs="Calibri"/>
          <w:sz w:val="22"/>
        </w:rPr>
        <w:t xml:space="preserve"> of Australian Democracy, </w:t>
      </w:r>
      <w:hyperlink r:id="rId43" w:history="1">
        <w:r w:rsidRPr="00167B8B">
          <w:rPr>
            <w:rStyle w:val="Hyperlink"/>
            <w:rFonts w:ascii="Calibri" w:hAnsi="Calibri" w:cs="Calibri"/>
            <w:sz w:val="22"/>
          </w:rPr>
          <w:t>Who do you trust to run the country?</w:t>
        </w:r>
      </w:hyperlink>
      <w:r w:rsidRPr="00167B8B">
        <w:rPr>
          <w:rFonts w:ascii="Calibri" w:hAnsi="Calibri" w:cs="Calibri"/>
          <w:sz w:val="22"/>
        </w:rPr>
        <w:t xml:space="preserve"> August 2018</w:t>
      </w:r>
    </w:p>
    <w:p w14:paraId="4C8C3AAF" w14:textId="77777777" w:rsidR="00636FEA" w:rsidRPr="003659E9" w:rsidRDefault="00636FEA" w:rsidP="00636FEA">
      <w:pPr>
        <w:spacing w:after="100" w:line="240" w:lineRule="auto"/>
        <w:ind w:left="284" w:hanging="284"/>
        <w:contextualSpacing/>
        <w:rPr>
          <w:rFonts w:asciiTheme="minorHAnsi" w:hAnsiTheme="minorHAnsi" w:cstheme="minorHAnsi"/>
          <w:sz w:val="22"/>
        </w:rPr>
      </w:pPr>
      <w:r w:rsidRPr="003659E9">
        <w:rPr>
          <w:rFonts w:asciiTheme="minorHAnsi" w:hAnsiTheme="minorHAnsi" w:cstheme="minorHAnsi"/>
          <w:sz w:val="22"/>
        </w:rPr>
        <w:t xml:space="preserve">Productivity Commission, </w:t>
      </w:r>
      <w:hyperlink r:id="rId44" w:history="1">
        <w:r w:rsidRPr="00915332">
          <w:rPr>
            <w:rStyle w:val="Hyperlink"/>
            <w:rFonts w:asciiTheme="minorHAnsi" w:hAnsiTheme="minorHAnsi" w:cstheme="minorHAnsi"/>
            <w:i/>
            <w:sz w:val="22"/>
          </w:rPr>
          <w:t xml:space="preserve">Digital Disruption: </w:t>
        </w:r>
        <w:r w:rsidRPr="00915332">
          <w:rPr>
            <w:rStyle w:val="Hyperlink"/>
            <w:rFonts w:asciiTheme="minorHAnsi" w:hAnsiTheme="minorHAnsi" w:cstheme="minorHAnsi"/>
            <w:i/>
            <w:sz w:val="22"/>
            <w:lang w:val="en"/>
          </w:rPr>
          <w:t>What do governments need to do?</w:t>
        </w:r>
      </w:hyperlink>
      <w:r w:rsidRPr="003659E9">
        <w:rPr>
          <w:rFonts w:asciiTheme="minorHAnsi" w:hAnsiTheme="minorHAnsi" w:cstheme="minorHAnsi"/>
          <w:sz w:val="22"/>
          <w:lang w:val="en"/>
        </w:rPr>
        <w:t xml:space="preserve"> June 2016</w:t>
      </w:r>
    </w:p>
    <w:p w14:paraId="3AB419A6" w14:textId="77777777" w:rsidR="00636FEA" w:rsidRPr="003659E9" w:rsidRDefault="00636FEA" w:rsidP="00636FEA">
      <w:pPr>
        <w:spacing w:after="100" w:line="240" w:lineRule="auto"/>
        <w:ind w:left="284" w:hanging="284"/>
        <w:contextualSpacing/>
        <w:rPr>
          <w:rFonts w:asciiTheme="minorHAnsi" w:hAnsiTheme="minorHAnsi" w:cstheme="minorHAnsi"/>
          <w:sz w:val="22"/>
        </w:rPr>
      </w:pPr>
      <w:r>
        <w:rPr>
          <w:rFonts w:asciiTheme="minorHAnsi" w:hAnsiTheme="minorHAnsi" w:cstheme="minorHAnsi"/>
          <w:sz w:val="22"/>
        </w:rPr>
        <w:t xml:space="preserve">Productivity Commission, </w:t>
      </w:r>
      <w:hyperlink r:id="rId45" w:history="1">
        <w:r w:rsidRPr="00915332">
          <w:rPr>
            <w:rStyle w:val="Hyperlink"/>
            <w:rFonts w:asciiTheme="minorHAnsi" w:hAnsiTheme="minorHAnsi" w:cstheme="minorHAnsi"/>
            <w:i/>
            <w:sz w:val="22"/>
          </w:rPr>
          <w:t>Productivity Commission Inquiry into Data Availability and Use</w:t>
        </w:r>
      </w:hyperlink>
      <w:r w:rsidRPr="003659E9">
        <w:rPr>
          <w:rFonts w:asciiTheme="minorHAnsi" w:hAnsiTheme="minorHAnsi" w:cstheme="minorHAnsi"/>
          <w:sz w:val="22"/>
        </w:rPr>
        <w:t>, Inquiry Report No. 82, March 2017</w:t>
      </w:r>
      <w:r>
        <w:rPr>
          <w:rFonts w:asciiTheme="minorHAnsi" w:hAnsiTheme="minorHAnsi" w:cstheme="minorHAnsi"/>
          <w:sz w:val="22"/>
        </w:rPr>
        <w:t xml:space="preserve"> (and </w:t>
      </w:r>
      <w:hyperlink r:id="rId46" w:history="1">
        <w:r w:rsidRPr="007C1CD0">
          <w:rPr>
            <w:rStyle w:val="Hyperlink"/>
            <w:rFonts w:asciiTheme="minorHAnsi" w:hAnsiTheme="minorHAnsi" w:cstheme="minorHAnsi"/>
            <w:sz w:val="22"/>
          </w:rPr>
          <w:t>Government Response</w:t>
        </w:r>
      </w:hyperlink>
      <w:r>
        <w:rPr>
          <w:rFonts w:asciiTheme="minorHAnsi" w:hAnsiTheme="minorHAnsi" w:cstheme="minorHAnsi"/>
          <w:sz w:val="22"/>
        </w:rPr>
        <w:t>)</w:t>
      </w:r>
    </w:p>
    <w:p w14:paraId="2A48D97C" w14:textId="77777777" w:rsidR="00636FEA" w:rsidRPr="003659E9" w:rsidRDefault="00636FEA" w:rsidP="00636FEA">
      <w:pPr>
        <w:spacing w:after="100" w:line="240" w:lineRule="auto"/>
        <w:ind w:left="284" w:hanging="284"/>
        <w:contextualSpacing/>
        <w:rPr>
          <w:rFonts w:asciiTheme="minorHAnsi" w:hAnsiTheme="minorHAnsi" w:cstheme="minorHAnsi"/>
          <w:sz w:val="22"/>
        </w:rPr>
      </w:pPr>
      <w:r w:rsidRPr="003659E9">
        <w:rPr>
          <w:rFonts w:asciiTheme="minorHAnsi" w:hAnsiTheme="minorHAnsi" w:cstheme="minorHAnsi"/>
          <w:sz w:val="22"/>
        </w:rPr>
        <w:t xml:space="preserve">Productivity Commission, </w:t>
      </w:r>
      <w:hyperlink r:id="rId47" w:history="1">
        <w:r w:rsidRPr="003659E9">
          <w:rPr>
            <w:rStyle w:val="Hyperlink"/>
            <w:rFonts w:asciiTheme="minorHAnsi" w:hAnsiTheme="minorHAnsi" w:cstheme="minorHAnsi"/>
            <w:i/>
            <w:sz w:val="22"/>
          </w:rPr>
          <w:t>Rising inequality? A stocktake of the evidence</w:t>
        </w:r>
      </w:hyperlink>
      <w:r w:rsidRPr="003659E9">
        <w:rPr>
          <w:rFonts w:asciiTheme="minorHAnsi" w:hAnsiTheme="minorHAnsi" w:cstheme="minorHAnsi"/>
          <w:i/>
          <w:sz w:val="22"/>
        </w:rPr>
        <w:t xml:space="preserve">, </w:t>
      </w:r>
      <w:r w:rsidRPr="003659E9">
        <w:rPr>
          <w:rFonts w:asciiTheme="minorHAnsi" w:hAnsiTheme="minorHAnsi" w:cstheme="minorHAnsi"/>
          <w:sz w:val="22"/>
        </w:rPr>
        <w:t>August</w:t>
      </w:r>
      <w:r w:rsidRPr="003659E9">
        <w:rPr>
          <w:rFonts w:asciiTheme="minorHAnsi" w:hAnsiTheme="minorHAnsi" w:cstheme="minorHAnsi"/>
          <w:i/>
          <w:sz w:val="22"/>
        </w:rPr>
        <w:t xml:space="preserve"> </w:t>
      </w:r>
      <w:r w:rsidRPr="003659E9">
        <w:rPr>
          <w:rFonts w:asciiTheme="minorHAnsi" w:hAnsiTheme="minorHAnsi" w:cstheme="minorHAnsi"/>
          <w:sz w:val="22"/>
        </w:rPr>
        <w:t>2018</w:t>
      </w:r>
    </w:p>
    <w:p w14:paraId="47CC3E44" w14:textId="77777777" w:rsidR="00636FEA" w:rsidRPr="00EF5322" w:rsidRDefault="00693D4E" w:rsidP="00636FEA">
      <w:pPr>
        <w:spacing w:after="100" w:line="240" w:lineRule="auto"/>
        <w:ind w:left="284" w:hanging="284"/>
        <w:contextualSpacing/>
        <w:rPr>
          <w:rFonts w:ascii="Calibri" w:hAnsi="Calibri" w:cs="Calibri"/>
          <w:sz w:val="22"/>
        </w:rPr>
      </w:pPr>
      <w:hyperlink r:id="rId48" w:history="1">
        <w:r w:rsidR="00636FEA" w:rsidRPr="007C1CD0">
          <w:rPr>
            <w:rStyle w:val="Hyperlink"/>
            <w:rFonts w:ascii="Calibri" w:hAnsi="Calibri" w:cs="Calibri"/>
            <w:sz w:val="22"/>
          </w:rPr>
          <w:t>Public submissions</w:t>
        </w:r>
      </w:hyperlink>
      <w:r w:rsidR="00636FEA">
        <w:rPr>
          <w:rFonts w:ascii="Calibri" w:hAnsi="Calibri" w:cs="Calibri"/>
          <w:sz w:val="22"/>
        </w:rPr>
        <w:t xml:space="preserve"> on the development of a national digital economy strategy, September–November 2017</w:t>
      </w:r>
    </w:p>
    <w:p w14:paraId="017D96D7" w14:textId="77777777" w:rsidR="00636FEA" w:rsidRDefault="00693D4E" w:rsidP="00636FEA">
      <w:pPr>
        <w:spacing w:after="100" w:line="240" w:lineRule="auto"/>
        <w:ind w:left="284" w:hanging="284"/>
        <w:contextualSpacing/>
        <w:rPr>
          <w:rFonts w:ascii="Calibri" w:hAnsi="Calibri" w:cs="Calibri"/>
          <w:sz w:val="22"/>
        </w:rPr>
      </w:pPr>
      <w:hyperlink r:id="rId49" w:history="1">
        <w:r w:rsidR="00636FEA" w:rsidRPr="00167B8B">
          <w:rPr>
            <w:rStyle w:val="Hyperlink"/>
            <w:rFonts w:ascii="Calibri" w:hAnsi="Calibri" w:cs="Calibri"/>
            <w:i/>
            <w:sz w:val="22"/>
          </w:rPr>
          <w:t xml:space="preserve">Small Business Digital Taskforce </w:t>
        </w:r>
        <w:r w:rsidR="00636FEA">
          <w:rPr>
            <w:rStyle w:val="Hyperlink"/>
            <w:rFonts w:ascii="Calibri" w:hAnsi="Calibri" w:cs="Calibri"/>
            <w:i/>
            <w:sz w:val="22"/>
          </w:rPr>
          <w:t>R</w:t>
        </w:r>
        <w:r w:rsidR="00636FEA" w:rsidRPr="00167B8B">
          <w:rPr>
            <w:rStyle w:val="Hyperlink"/>
            <w:rFonts w:ascii="Calibri" w:hAnsi="Calibri" w:cs="Calibri"/>
            <w:i/>
            <w:sz w:val="22"/>
          </w:rPr>
          <w:t>eport to Government</w:t>
        </w:r>
      </w:hyperlink>
      <w:r w:rsidR="00636FEA">
        <w:rPr>
          <w:rFonts w:ascii="Calibri" w:hAnsi="Calibri" w:cs="Calibri"/>
          <w:sz w:val="22"/>
        </w:rPr>
        <w:t>, March 2018</w:t>
      </w:r>
    </w:p>
    <w:p w14:paraId="4A106B4E" w14:textId="77777777" w:rsidR="00636FEA" w:rsidRDefault="00636FEA" w:rsidP="00636FEA">
      <w:pPr>
        <w:spacing w:after="100" w:line="240" w:lineRule="auto"/>
        <w:ind w:left="284" w:hanging="284"/>
        <w:contextualSpacing/>
        <w:rPr>
          <w:rFonts w:ascii="Calibri" w:hAnsi="Calibri" w:cs="Calibri"/>
          <w:sz w:val="22"/>
        </w:rPr>
      </w:pPr>
      <w:r w:rsidRPr="007D3AD7">
        <w:rPr>
          <w:rFonts w:ascii="Calibri" w:hAnsi="Calibri" w:cs="Calibri"/>
          <w:sz w:val="22"/>
        </w:rPr>
        <w:t xml:space="preserve">ThinkPlace, </w:t>
      </w:r>
      <w:hyperlink r:id="rId50" w:history="1">
        <w:r w:rsidRPr="007D3AD7">
          <w:rPr>
            <w:rStyle w:val="Hyperlink"/>
            <w:rFonts w:ascii="Calibri" w:hAnsi="Calibri" w:cs="Calibri"/>
            <w:sz w:val="22"/>
          </w:rPr>
          <w:t>Department of Jobs and Small Business – Future of Employment Services User-Centred Design Final Report</w:t>
        </w:r>
      </w:hyperlink>
      <w:r w:rsidRPr="007D3AD7">
        <w:rPr>
          <w:rFonts w:ascii="Calibri" w:hAnsi="Calibri" w:cs="Calibri"/>
          <w:sz w:val="22"/>
        </w:rPr>
        <w:t>, June 2018</w:t>
      </w:r>
    </w:p>
    <w:p w14:paraId="72F167D3" w14:textId="77777777" w:rsidR="00636FEA" w:rsidRPr="007D3AD7" w:rsidRDefault="00636FEA" w:rsidP="00636FEA">
      <w:pPr>
        <w:spacing w:after="100" w:line="240" w:lineRule="auto"/>
        <w:ind w:left="284" w:hanging="284"/>
        <w:contextualSpacing/>
        <w:rPr>
          <w:rFonts w:ascii="Calibri" w:hAnsi="Calibri" w:cs="Calibri"/>
          <w:sz w:val="22"/>
        </w:rPr>
      </w:pPr>
    </w:p>
    <w:p w14:paraId="322902D0" w14:textId="77777777" w:rsidR="00636FEA" w:rsidRPr="0026393D" w:rsidRDefault="00636FEA" w:rsidP="00636FEA">
      <w:pPr>
        <w:pStyle w:val="Heading2"/>
        <w:rPr>
          <w:sz w:val="22"/>
        </w:rPr>
      </w:pPr>
      <w:r>
        <w:t>Canada</w:t>
      </w:r>
    </w:p>
    <w:p w14:paraId="6A5DB476" w14:textId="77777777" w:rsidR="00636FEA" w:rsidRPr="00146134" w:rsidRDefault="00693D4E" w:rsidP="00636FEA">
      <w:pPr>
        <w:spacing w:after="100" w:line="240" w:lineRule="auto"/>
        <w:ind w:left="284" w:hanging="284"/>
        <w:contextualSpacing/>
        <w:rPr>
          <w:rFonts w:asciiTheme="minorHAnsi" w:hAnsiTheme="minorHAnsi" w:cstheme="minorHAnsi"/>
          <w:sz w:val="22"/>
        </w:rPr>
      </w:pPr>
      <w:hyperlink r:id="rId51" w:history="1">
        <w:r w:rsidR="00636FEA" w:rsidRPr="00146134">
          <w:rPr>
            <w:rStyle w:val="Hyperlink"/>
            <w:rFonts w:asciiTheme="minorHAnsi" w:hAnsiTheme="minorHAnsi" w:cstheme="minorHAnsi"/>
            <w:sz w:val="22"/>
          </w:rPr>
          <w:t>Edelman Trust Barometer, Canadian Results</w:t>
        </w:r>
      </w:hyperlink>
      <w:r w:rsidR="00636FEA" w:rsidRPr="00146134">
        <w:rPr>
          <w:rFonts w:asciiTheme="minorHAnsi" w:hAnsiTheme="minorHAnsi" w:cstheme="minorHAnsi"/>
          <w:sz w:val="22"/>
        </w:rPr>
        <w:t>, Feb 2018</w:t>
      </w:r>
    </w:p>
    <w:p w14:paraId="27E0F6F9" w14:textId="77777777" w:rsidR="00636FEA" w:rsidRDefault="00636FEA" w:rsidP="00636FEA">
      <w:pPr>
        <w:spacing w:after="100" w:line="240" w:lineRule="auto"/>
        <w:ind w:left="284" w:hanging="284"/>
        <w:contextualSpacing/>
        <w:rPr>
          <w:rFonts w:asciiTheme="minorHAnsi" w:hAnsiTheme="minorHAnsi" w:cstheme="minorHAnsi"/>
          <w:sz w:val="22"/>
        </w:rPr>
      </w:pPr>
      <w:r w:rsidRPr="00146134">
        <w:rPr>
          <w:rFonts w:asciiTheme="minorHAnsi" w:hAnsiTheme="minorHAnsi" w:cstheme="minorHAnsi"/>
          <w:sz w:val="22"/>
        </w:rPr>
        <w:t>Ekos Politics, “</w:t>
      </w:r>
      <w:hyperlink r:id="rId52" w:history="1">
        <w:r w:rsidRPr="00146134">
          <w:rPr>
            <w:rStyle w:val="Hyperlink"/>
            <w:rFonts w:asciiTheme="minorHAnsi" w:hAnsiTheme="minorHAnsi" w:cstheme="minorHAnsi"/>
            <w:sz w:val="22"/>
          </w:rPr>
          <w:t>Rethinking Citizen Engagement</w:t>
        </w:r>
      </w:hyperlink>
      <w:r w:rsidRPr="00146134">
        <w:rPr>
          <w:rFonts w:asciiTheme="minorHAnsi" w:hAnsiTheme="minorHAnsi" w:cstheme="minorHAnsi"/>
          <w:sz w:val="22"/>
        </w:rPr>
        <w:t>,” 2017</w:t>
      </w:r>
    </w:p>
    <w:p w14:paraId="5C4465B3" w14:textId="77777777" w:rsidR="00740D91" w:rsidRPr="00740D91" w:rsidRDefault="00740D91" w:rsidP="00740D91">
      <w:pPr>
        <w:spacing w:after="100" w:line="240" w:lineRule="auto"/>
        <w:ind w:left="284" w:hanging="284"/>
        <w:contextualSpacing/>
        <w:rPr>
          <w:rFonts w:ascii="Calibri" w:eastAsia="Calibri" w:hAnsi="Calibri" w:cs="Calibri"/>
          <w:sz w:val="22"/>
        </w:rPr>
      </w:pPr>
      <w:r w:rsidRPr="00740D91">
        <w:rPr>
          <w:rFonts w:ascii="Calibri" w:eastAsia="Calibri" w:hAnsi="Calibri" w:cs="Calibri"/>
          <w:sz w:val="22"/>
        </w:rPr>
        <w:t>Employment and Social Development Canada</w:t>
      </w:r>
      <w:r w:rsidRPr="00740D91">
        <w:rPr>
          <w:rFonts w:ascii="Calibri" w:eastAsia="Calibri" w:hAnsi="Calibri" w:cs="Calibri"/>
          <w:color w:val="0000FF"/>
          <w:sz w:val="22"/>
          <w:u w:val="single"/>
        </w:rPr>
        <w:t xml:space="preserve">, </w:t>
      </w:r>
      <w:hyperlink r:id="rId53" w:history="1">
        <w:r w:rsidRPr="00740D91">
          <w:rPr>
            <w:rFonts w:ascii="Calibri" w:eastAsia="Calibri" w:hAnsi="Calibri" w:cs="Calibri"/>
            <w:i/>
            <w:color w:val="0000FF"/>
            <w:sz w:val="22"/>
            <w:u w:val="single"/>
          </w:rPr>
          <w:t>Opportunity for All – Canada’s First Poverty Reduction Strategy</w:t>
        </w:r>
      </w:hyperlink>
      <w:r w:rsidRPr="00740D91">
        <w:rPr>
          <w:rFonts w:ascii="Calibri" w:eastAsia="Calibri" w:hAnsi="Calibri" w:cs="Calibri"/>
          <w:sz w:val="22"/>
        </w:rPr>
        <w:t>, 2018</w:t>
      </w:r>
    </w:p>
    <w:p w14:paraId="46FE70D3" w14:textId="77777777" w:rsidR="00740D91" w:rsidRPr="00740D91" w:rsidRDefault="00740D91" w:rsidP="00740D91">
      <w:pPr>
        <w:spacing w:after="100" w:line="240" w:lineRule="auto"/>
        <w:ind w:left="284" w:hanging="284"/>
        <w:contextualSpacing/>
        <w:rPr>
          <w:rFonts w:ascii="Calibri" w:eastAsia="Calibri" w:hAnsi="Calibri" w:cs="Calibri"/>
          <w:i/>
          <w:sz w:val="22"/>
        </w:rPr>
      </w:pPr>
      <w:r w:rsidRPr="00740D91">
        <w:rPr>
          <w:rFonts w:ascii="Calibri" w:eastAsia="Calibri" w:hAnsi="Calibri" w:cs="Calibri"/>
          <w:sz w:val="22"/>
        </w:rPr>
        <w:t>Government of Canada,</w:t>
      </w:r>
      <w:r w:rsidRPr="00740D91">
        <w:rPr>
          <w:rFonts w:ascii="Calibri" w:eastAsia="Calibri" w:hAnsi="Calibri" w:cs="Calibri"/>
          <w:i/>
          <w:sz w:val="22"/>
        </w:rPr>
        <w:t xml:space="preserve"> </w:t>
      </w:r>
      <w:hyperlink r:id="rId54" w:history="1">
        <w:r w:rsidRPr="00740D91">
          <w:rPr>
            <w:rFonts w:ascii="Calibri" w:eastAsia="Calibri" w:hAnsi="Calibri" w:cs="Calibri"/>
            <w:i/>
            <w:color w:val="0000FF"/>
            <w:sz w:val="22"/>
            <w:u w:val="single"/>
          </w:rPr>
          <w:t>Advisory Council on Economic Growth - Reports</w:t>
        </w:r>
      </w:hyperlink>
      <w:r w:rsidRPr="00740D91">
        <w:rPr>
          <w:rFonts w:ascii="Calibri" w:eastAsia="Calibri" w:hAnsi="Calibri" w:cs="Calibri"/>
          <w:i/>
          <w:sz w:val="22"/>
        </w:rPr>
        <w:t>, 2016 and 2017</w:t>
      </w:r>
    </w:p>
    <w:p w14:paraId="2A3B1E9A" w14:textId="77777777" w:rsidR="00740D91" w:rsidRPr="00740D91" w:rsidRDefault="00740D91" w:rsidP="00740D91">
      <w:pPr>
        <w:spacing w:after="100" w:line="240" w:lineRule="auto"/>
        <w:contextualSpacing/>
        <w:rPr>
          <w:rFonts w:ascii="Calibri" w:eastAsia="Calibri" w:hAnsi="Calibri" w:cs="Calibri"/>
          <w:i/>
          <w:sz w:val="22"/>
        </w:rPr>
      </w:pPr>
      <w:r w:rsidRPr="00740D91">
        <w:rPr>
          <w:rFonts w:ascii="Calibri" w:eastAsia="Calibri" w:hAnsi="Calibri" w:cs="Calibri"/>
          <w:sz w:val="22"/>
        </w:rPr>
        <w:t xml:space="preserve">Government of Canada, </w:t>
      </w:r>
      <w:hyperlink r:id="rId55" w:history="1">
        <w:r w:rsidRPr="00740D91">
          <w:rPr>
            <w:rFonts w:ascii="Calibri" w:eastAsia="Calibri" w:hAnsi="Calibri" w:cs="Calibri"/>
            <w:i/>
            <w:color w:val="0000FF"/>
            <w:sz w:val="22"/>
            <w:u w:val="single"/>
          </w:rPr>
          <w:t>Economic Strategy Tables</w:t>
        </w:r>
      </w:hyperlink>
      <w:r w:rsidRPr="00740D91">
        <w:rPr>
          <w:rFonts w:ascii="Calibri" w:eastAsia="Calibri" w:hAnsi="Calibri" w:cs="Calibri"/>
          <w:i/>
          <w:sz w:val="22"/>
        </w:rPr>
        <w:t>, 2018</w:t>
      </w:r>
    </w:p>
    <w:p w14:paraId="628E3B1A" w14:textId="3911CC84" w:rsidR="00740D91" w:rsidRPr="00146134" w:rsidRDefault="00740D91" w:rsidP="00740D91">
      <w:pPr>
        <w:spacing w:after="100" w:line="240" w:lineRule="auto"/>
        <w:ind w:left="284" w:hanging="284"/>
        <w:contextualSpacing/>
        <w:rPr>
          <w:rFonts w:asciiTheme="minorHAnsi" w:hAnsiTheme="minorHAnsi" w:cstheme="minorHAnsi"/>
          <w:sz w:val="22"/>
        </w:rPr>
      </w:pPr>
      <w:r w:rsidRPr="00740D91">
        <w:rPr>
          <w:rFonts w:ascii="Calibri" w:eastAsia="Calibri" w:hAnsi="Calibri" w:cs="Calibri"/>
          <w:sz w:val="22"/>
        </w:rPr>
        <w:t xml:space="preserve">Government of Canada, </w:t>
      </w:r>
      <w:hyperlink r:id="rId56" w:history="1">
        <w:r w:rsidRPr="00740D91">
          <w:rPr>
            <w:rFonts w:ascii="Calibri" w:eastAsia="Calibri" w:hAnsi="Calibri" w:cs="Calibri"/>
            <w:i/>
            <w:color w:val="0000FF"/>
            <w:sz w:val="22"/>
            <w:u w:val="single"/>
          </w:rPr>
          <w:t>Mandate Letter Tracker: Delivering results for Canadians</w:t>
        </w:r>
      </w:hyperlink>
    </w:p>
    <w:p w14:paraId="7C6F7BB4" w14:textId="77777777" w:rsidR="00636FEA" w:rsidRPr="00E72397" w:rsidRDefault="00636FEA" w:rsidP="00636FEA">
      <w:pPr>
        <w:spacing w:after="100" w:line="240" w:lineRule="auto"/>
        <w:ind w:left="284" w:hanging="284"/>
        <w:contextualSpacing/>
        <w:rPr>
          <w:rFonts w:asciiTheme="minorHAnsi" w:hAnsiTheme="minorHAnsi" w:cstheme="minorHAnsi"/>
          <w:sz w:val="22"/>
        </w:rPr>
      </w:pPr>
      <w:r w:rsidRPr="00E72397">
        <w:rPr>
          <w:rFonts w:asciiTheme="minorHAnsi" w:hAnsiTheme="minorHAnsi" w:cstheme="minorHAnsi"/>
          <w:sz w:val="22"/>
        </w:rPr>
        <w:t>Johal S &amp; Yalnizyan A, “</w:t>
      </w:r>
      <w:hyperlink r:id="rId57" w:history="1">
        <w:r w:rsidRPr="00E72397">
          <w:rPr>
            <w:rStyle w:val="Hyperlink"/>
            <w:rFonts w:asciiTheme="minorHAnsi" w:hAnsiTheme="minorHAnsi" w:cstheme="minorHAnsi"/>
            <w:sz w:val="22"/>
          </w:rPr>
          <w:t>Race to the Top – Developing an Inclusive Growth Agenda for Canada</w:t>
        </w:r>
      </w:hyperlink>
      <w:r w:rsidRPr="00E85CE7">
        <w:rPr>
          <w:rFonts w:asciiTheme="minorHAnsi" w:hAnsiTheme="minorHAnsi" w:cstheme="minorHAnsi"/>
          <w:i/>
          <w:sz w:val="22"/>
        </w:rPr>
        <w:t>”</w:t>
      </w:r>
      <w:r w:rsidRPr="00E72397">
        <w:rPr>
          <w:rFonts w:asciiTheme="minorHAnsi" w:hAnsiTheme="minorHAnsi" w:cstheme="minorHAnsi"/>
          <w:sz w:val="22"/>
        </w:rPr>
        <w:t>. Mowat Research #164, April 2018. Mowat Centre – Ontario’s Voice on Public Policy</w:t>
      </w:r>
    </w:p>
    <w:p w14:paraId="2F852F11" w14:textId="77777777" w:rsidR="00636FEA" w:rsidRPr="00146134" w:rsidRDefault="00636FEA" w:rsidP="00636FEA">
      <w:pPr>
        <w:spacing w:after="100" w:line="240" w:lineRule="auto"/>
        <w:ind w:left="284" w:hanging="284"/>
        <w:contextualSpacing/>
        <w:rPr>
          <w:rFonts w:asciiTheme="minorHAnsi" w:hAnsiTheme="minorHAnsi" w:cstheme="minorHAnsi"/>
          <w:sz w:val="22"/>
        </w:rPr>
      </w:pPr>
      <w:r w:rsidRPr="00146134">
        <w:rPr>
          <w:rFonts w:asciiTheme="minorHAnsi" w:hAnsiTheme="minorHAnsi" w:cstheme="minorHAnsi"/>
          <w:sz w:val="22"/>
        </w:rPr>
        <w:t xml:space="preserve">OECD, </w:t>
      </w:r>
      <w:hyperlink r:id="rId58" w:history="1">
        <w:r w:rsidRPr="00146134">
          <w:rPr>
            <w:rStyle w:val="Hyperlink"/>
            <w:rFonts w:asciiTheme="minorHAnsi" w:hAnsiTheme="minorHAnsi" w:cstheme="minorHAnsi"/>
            <w:i/>
            <w:sz w:val="22"/>
          </w:rPr>
          <w:t>Policies for Stronger and More Inclusive Growth in Canada</w:t>
        </w:r>
      </w:hyperlink>
      <w:r w:rsidRPr="00146134">
        <w:rPr>
          <w:rFonts w:asciiTheme="minorHAnsi" w:hAnsiTheme="minorHAnsi" w:cstheme="minorHAnsi"/>
          <w:sz w:val="22"/>
        </w:rPr>
        <w:t>, Better Policies, OECD Publishing, Paris, 2017</w:t>
      </w:r>
    </w:p>
    <w:p w14:paraId="236B62C3" w14:textId="77777777" w:rsidR="00636FEA" w:rsidRPr="007D3AD7" w:rsidRDefault="00636FEA" w:rsidP="00636FEA">
      <w:pPr>
        <w:spacing w:after="100" w:line="240" w:lineRule="auto"/>
        <w:ind w:left="-284"/>
        <w:rPr>
          <w:rFonts w:ascii="Calibri" w:hAnsi="Calibri" w:cs="Calibri"/>
          <w:sz w:val="22"/>
        </w:rPr>
      </w:pPr>
    </w:p>
    <w:p w14:paraId="69B8A688" w14:textId="77777777" w:rsidR="00636FEA" w:rsidRPr="00146134" w:rsidRDefault="00636FEA" w:rsidP="00636FEA">
      <w:pPr>
        <w:pStyle w:val="Heading2"/>
        <w:rPr>
          <w:lang w:val="fr-CA"/>
        </w:rPr>
      </w:pPr>
      <w:r w:rsidRPr="00146134">
        <w:rPr>
          <w:lang w:val="fr-CA"/>
        </w:rPr>
        <w:t>International</w:t>
      </w:r>
    </w:p>
    <w:p w14:paraId="6BD9AB7C" w14:textId="77777777" w:rsidR="00636FEA" w:rsidRPr="007C1CD0" w:rsidRDefault="00636FEA" w:rsidP="00636FEA">
      <w:pPr>
        <w:spacing w:after="100" w:line="240" w:lineRule="auto"/>
        <w:ind w:left="284" w:hanging="284"/>
        <w:contextualSpacing/>
        <w:rPr>
          <w:rFonts w:ascii="Calibri" w:hAnsi="Calibri" w:cs="Calibri"/>
          <w:sz w:val="22"/>
        </w:rPr>
      </w:pPr>
      <w:r w:rsidRPr="00146134">
        <w:rPr>
          <w:rFonts w:ascii="Calibri" w:hAnsi="Calibri" w:cs="Calibri"/>
          <w:sz w:val="22"/>
          <w:lang w:val="fr-CA"/>
        </w:rPr>
        <w:t xml:space="preserve">Algan Y et al. </w:t>
      </w:r>
      <w:r w:rsidRPr="007C1CD0">
        <w:rPr>
          <w:rFonts w:ascii="Calibri" w:hAnsi="Calibri" w:cs="Calibri"/>
          <w:sz w:val="22"/>
        </w:rPr>
        <w:t>“</w:t>
      </w:r>
      <w:hyperlink r:id="rId59" w:history="1">
        <w:r w:rsidRPr="007C1CD0">
          <w:rPr>
            <w:rStyle w:val="Hyperlink"/>
            <w:rFonts w:ascii="Calibri" w:hAnsi="Calibri" w:cs="Calibri"/>
            <w:sz w:val="22"/>
          </w:rPr>
          <w:t>The European Trust Crisis and the Rise of Populism</w:t>
        </w:r>
      </w:hyperlink>
      <w:r w:rsidRPr="007C1CD0">
        <w:rPr>
          <w:rFonts w:ascii="Calibri" w:hAnsi="Calibri" w:cs="Calibri"/>
          <w:sz w:val="22"/>
        </w:rPr>
        <w:t>,” Brookings Papers on Economic Activity (BPEA) Conference Drafts, September 7–8, 2017</w:t>
      </w:r>
    </w:p>
    <w:p w14:paraId="1894AC76" w14:textId="77777777" w:rsidR="00636FEA" w:rsidRDefault="00636FEA" w:rsidP="00636FEA">
      <w:pPr>
        <w:spacing w:after="100" w:line="240" w:lineRule="auto"/>
        <w:ind w:left="284" w:hanging="284"/>
        <w:contextualSpacing/>
        <w:rPr>
          <w:rFonts w:ascii="Calibri" w:hAnsi="Calibri" w:cs="Calibri"/>
          <w:color w:val="000000"/>
          <w:sz w:val="22"/>
        </w:rPr>
      </w:pPr>
      <w:r>
        <w:rPr>
          <w:rFonts w:ascii="Calibri" w:hAnsi="Calibri" w:cs="Calibri"/>
          <w:color w:val="000000"/>
          <w:sz w:val="22"/>
        </w:rPr>
        <w:t xml:space="preserve">Brookings Institution, </w:t>
      </w:r>
      <w:hyperlink r:id="rId60" w:history="1">
        <w:r w:rsidRPr="007C1CD0">
          <w:rPr>
            <w:rStyle w:val="Hyperlink"/>
            <w:rFonts w:ascii="Calibri" w:hAnsi="Calibri" w:cs="Calibri"/>
            <w:sz w:val="22"/>
          </w:rPr>
          <w:t>Committing to inclusive growth: Lessons from metro areas from the Inclusive Economic Lab</w:t>
        </w:r>
      </w:hyperlink>
      <w:r>
        <w:rPr>
          <w:rFonts w:ascii="Calibri" w:hAnsi="Calibri" w:cs="Calibri"/>
          <w:color w:val="000000"/>
          <w:sz w:val="22"/>
        </w:rPr>
        <w:t>, September 2018</w:t>
      </w:r>
    </w:p>
    <w:p w14:paraId="1AA8DA73" w14:textId="77777777" w:rsidR="00636FEA" w:rsidRPr="00A45EB2" w:rsidRDefault="00636FEA" w:rsidP="00636FEA">
      <w:pPr>
        <w:spacing w:after="100" w:line="240" w:lineRule="auto"/>
        <w:ind w:left="284" w:hanging="284"/>
        <w:contextualSpacing/>
        <w:rPr>
          <w:rFonts w:ascii="Calibri" w:hAnsi="Calibri" w:cs="Calibri"/>
          <w:color w:val="000000"/>
          <w:sz w:val="22"/>
        </w:rPr>
      </w:pPr>
      <w:r>
        <w:rPr>
          <w:rFonts w:ascii="Calibri" w:hAnsi="Calibri" w:cs="Calibri"/>
          <w:color w:val="000000"/>
          <w:sz w:val="22"/>
        </w:rPr>
        <w:t xml:space="preserve">Brookings Institution, </w:t>
      </w:r>
      <w:hyperlink r:id="rId61" w:history="1">
        <w:r w:rsidRPr="00A45EB2">
          <w:rPr>
            <w:rStyle w:val="Hyperlink"/>
            <w:rFonts w:ascii="Calibri" w:eastAsia="Calibri" w:hAnsi="Calibri" w:cs="Calibri"/>
            <w:sz w:val="22"/>
          </w:rPr>
          <w:t>Opportunity for growth : how reducing barriers to economic inclusion can benefit workers, forms, and local economies</w:t>
        </w:r>
      </w:hyperlink>
      <w:r w:rsidRPr="00A45EB2">
        <w:rPr>
          <w:rFonts w:ascii="Calibri" w:hAnsi="Calibri" w:cs="Calibri"/>
          <w:color w:val="000000"/>
          <w:sz w:val="22"/>
        </w:rPr>
        <w:t xml:space="preserve">, </w:t>
      </w:r>
      <w:r>
        <w:rPr>
          <w:rFonts w:ascii="Calibri" w:hAnsi="Calibri" w:cs="Calibri"/>
          <w:color w:val="000000"/>
          <w:sz w:val="22"/>
        </w:rPr>
        <w:t>September 2017</w:t>
      </w:r>
    </w:p>
    <w:p w14:paraId="5AD12E5D" w14:textId="77777777" w:rsidR="00636FEA" w:rsidRPr="007C1CD0" w:rsidRDefault="00693D4E" w:rsidP="00636FEA">
      <w:pPr>
        <w:spacing w:after="100" w:line="240" w:lineRule="auto"/>
        <w:ind w:left="284" w:hanging="284"/>
        <w:contextualSpacing/>
        <w:rPr>
          <w:rFonts w:ascii="Calibri" w:hAnsi="Calibri" w:cs="Calibri"/>
          <w:sz w:val="22"/>
        </w:rPr>
      </w:pPr>
      <w:hyperlink r:id="rId62" w:history="1">
        <w:r w:rsidR="00636FEA" w:rsidRPr="007C1CD0">
          <w:rPr>
            <w:rStyle w:val="Hyperlink"/>
            <w:rFonts w:ascii="Calibri" w:hAnsi="Calibri" w:cs="Calibri"/>
            <w:sz w:val="22"/>
          </w:rPr>
          <w:t>Edelman Trust Barometer, Global Results</w:t>
        </w:r>
      </w:hyperlink>
      <w:r w:rsidR="00636FEA" w:rsidRPr="007C1CD0">
        <w:rPr>
          <w:rFonts w:ascii="Calibri" w:hAnsi="Calibri" w:cs="Calibri"/>
          <w:sz w:val="22"/>
        </w:rPr>
        <w:t>, Feb 2018</w:t>
      </w:r>
    </w:p>
    <w:p w14:paraId="25EC95A8" w14:textId="77777777" w:rsidR="00636FEA" w:rsidRDefault="00636FEA" w:rsidP="00636FEA">
      <w:pPr>
        <w:spacing w:after="100" w:line="240" w:lineRule="auto"/>
        <w:ind w:left="284" w:hanging="284"/>
        <w:contextualSpacing/>
        <w:rPr>
          <w:rFonts w:ascii="Calibri" w:hAnsi="Calibri" w:cs="Calibri"/>
          <w:color w:val="000000"/>
          <w:sz w:val="22"/>
        </w:rPr>
      </w:pPr>
      <w:r w:rsidRPr="007C1CD0">
        <w:rPr>
          <w:rFonts w:ascii="Calibri" w:hAnsi="Calibri" w:cs="Calibri"/>
          <w:color w:val="000000"/>
          <w:sz w:val="22"/>
        </w:rPr>
        <w:t xml:space="preserve">Executive Office of the President of the United States, </w:t>
      </w:r>
      <w:hyperlink r:id="rId63" w:history="1">
        <w:r w:rsidRPr="007C1CD0">
          <w:rPr>
            <w:rStyle w:val="Hyperlink"/>
            <w:rFonts w:ascii="Calibri" w:hAnsi="Calibri" w:cs="Calibri"/>
            <w:sz w:val="22"/>
          </w:rPr>
          <w:t>Artificial Intelligence, Automation, and the Economy</w:t>
        </w:r>
      </w:hyperlink>
      <w:r w:rsidRPr="007C1CD0">
        <w:rPr>
          <w:rFonts w:ascii="Calibri" w:hAnsi="Calibri" w:cs="Calibri"/>
          <w:color w:val="000000"/>
          <w:sz w:val="22"/>
        </w:rPr>
        <w:t>, December 2016</w:t>
      </w:r>
    </w:p>
    <w:p w14:paraId="003608C7" w14:textId="77777777" w:rsidR="00636FEA" w:rsidRPr="008F10F0" w:rsidRDefault="00636FEA" w:rsidP="00636FEA">
      <w:pPr>
        <w:spacing w:after="100" w:line="240" w:lineRule="auto"/>
        <w:ind w:left="284" w:hanging="284"/>
        <w:contextualSpacing/>
        <w:rPr>
          <w:rFonts w:ascii="Calibri" w:hAnsi="Calibri" w:cs="Calibri"/>
          <w:sz w:val="22"/>
        </w:rPr>
      </w:pPr>
      <w:r>
        <w:rPr>
          <w:rFonts w:ascii="Calibri" w:hAnsi="Calibri" w:cs="Calibri"/>
          <w:sz w:val="22"/>
        </w:rPr>
        <w:t>G20, “</w:t>
      </w:r>
      <w:hyperlink r:id="rId64" w:history="1">
        <w:r w:rsidRPr="008F10F0">
          <w:rPr>
            <w:rStyle w:val="Hyperlink"/>
            <w:rFonts w:ascii="Calibri" w:hAnsi="Calibri" w:cs="Calibri"/>
            <w:sz w:val="22"/>
          </w:rPr>
          <w:t>G20 Insights – Resilience and inclusive growth</w:t>
        </w:r>
      </w:hyperlink>
      <w:r w:rsidRPr="008F10F0">
        <w:rPr>
          <w:rFonts w:ascii="Calibri" w:hAnsi="Calibri" w:cs="Calibri"/>
          <w:sz w:val="22"/>
        </w:rPr>
        <w:t>,</w:t>
      </w:r>
      <w:r>
        <w:rPr>
          <w:rFonts w:ascii="Calibri" w:hAnsi="Calibri" w:cs="Calibri"/>
          <w:sz w:val="22"/>
        </w:rPr>
        <w:t>”</w:t>
      </w:r>
      <w:r w:rsidRPr="008F10F0">
        <w:rPr>
          <w:rFonts w:ascii="Calibri" w:hAnsi="Calibri" w:cs="Calibri"/>
          <w:sz w:val="22"/>
        </w:rPr>
        <w:t xml:space="preserve"> May 2017</w:t>
      </w:r>
    </w:p>
    <w:p w14:paraId="33FB7D5B" w14:textId="77777777" w:rsidR="00636FEA" w:rsidRDefault="00636FEA" w:rsidP="00636FEA">
      <w:pPr>
        <w:spacing w:after="100" w:line="240" w:lineRule="auto"/>
        <w:ind w:left="284" w:hanging="284"/>
        <w:contextualSpacing/>
        <w:rPr>
          <w:rFonts w:ascii="Calibri" w:hAnsi="Calibri" w:cs="Calibri"/>
          <w:sz w:val="22"/>
        </w:rPr>
      </w:pPr>
      <w:r>
        <w:rPr>
          <w:rFonts w:ascii="Calibri" w:hAnsi="Calibri" w:cs="Calibri"/>
          <w:sz w:val="22"/>
        </w:rPr>
        <w:t>G20,</w:t>
      </w:r>
      <w:r w:rsidRPr="007C1CD0">
        <w:rPr>
          <w:rFonts w:ascii="Calibri" w:hAnsi="Calibri" w:cs="Calibri"/>
          <w:sz w:val="22"/>
        </w:rPr>
        <w:t xml:space="preserve"> </w:t>
      </w:r>
      <w:hyperlink r:id="rId65" w:history="1">
        <w:r w:rsidRPr="007C1CD0">
          <w:rPr>
            <w:rStyle w:val="Hyperlink"/>
            <w:rFonts w:ascii="Calibri" w:hAnsi="Calibri" w:cs="Calibri"/>
            <w:i/>
            <w:sz w:val="22"/>
          </w:rPr>
          <w:t>Fostering Inclusive Growth</w:t>
        </w:r>
      </w:hyperlink>
      <w:r w:rsidRPr="007C1CD0">
        <w:rPr>
          <w:rFonts w:ascii="Calibri" w:hAnsi="Calibri" w:cs="Calibri"/>
          <w:sz w:val="22"/>
        </w:rPr>
        <w:t>, July 2017</w:t>
      </w:r>
    </w:p>
    <w:p w14:paraId="5204D557" w14:textId="77777777" w:rsidR="00636FEA" w:rsidRPr="00A45EB2" w:rsidRDefault="00636FEA" w:rsidP="00636FEA">
      <w:pPr>
        <w:spacing w:after="100" w:line="240" w:lineRule="auto"/>
        <w:ind w:left="284" w:hanging="284"/>
        <w:contextualSpacing/>
        <w:rPr>
          <w:rFonts w:ascii="Calibri" w:hAnsi="Calibri" w:cs="Calibri"/>
          <w:color w:val="000000"/>
          <w:sz w:val="22"/>
        </w:rPr>
      </w:pPr>
      <w:r>
        <w:rPr>
          <w:rFonts w:ascii="Calibri" w:hAnsi="Calibri" w:cs="Calibri"/>
          <w:color w:val="000000"/>
          <w:sz w:val="22"/>
        </w:rPr>
        <w:t>IMF, “</w:t>
      </w:r>
      <w:hyperlink r:id="rId66" w:history="1">
        <w:r w:rsidRPr="00A45EB2">
          <w:rPr>
            <w:rStyle w:val="Hyperlink"/>
            <w:rFonts w:ascii="Calibri" w:hAnsi="Calibri" w:cs="Calibri"/>
            <w:sz w:val="22"/>
          </w:rPr>
          <w:t>Growth or Inclusion? With the right policies, countries can pursue both objectives</w:t>
        </w:r>
      </w:hyperlink>
      <w:r>
        <w:rPr>
          <w:rFonts w:ascii="Calibri" w:hAnsi="Calibri" w:cs="Calibri"/>
          <w:color w:val="000000"/>
          <w:sz w:val="22"/>
        </w:rPr>
        <w:t xml:space="preserve">,” </w:t>
      </w:r>
      <w:r>
        <w:rPr>
          <w:rFonts w:ascii="Calibri" w:hAnsi="Calibri" w:cs="Calibri"/>
          <w:i/>
          <w:color w:val="000000"/>
          <w:sz w:val="22"/>
        </w:rPr>
        <w:t>Finance and Development</w:t>
      </w:r>
      <w:r>
        <w:rPr>
          <w:rFonts w:ascii="Calibri" w:hAnsi="Calibri" w:cs="Calibri"/>
          <w:color w:val="000000"/>
          <w:sz w:val="22"/>
        </w:rPr>
        <w:t>, 55(2), June 2018</w:t>
      </w:r>
    </w:p>
    <w:p w14:paraId="1E794532" w14:textId="77777777" w:rsidR="00636FEA" w:rsidRPr="007C1CD0" w:rsidRDefault="00636FEA" w:rsidP="00636FEA">
      <w:pPr>
        <w:spacing w:after="100" w:line="240" w:lineRule="auto"/>
        <w:ind w:left="284" w:hanging="284"/>
        <w:contextualSpacing/>
        <w:rPr>
          <w:rFonts w:ascii="Calibri" w:hAnsi="Calibri" w:cs="Calibri"/>
          <w:color w:val="000000"/>
          <w:sz w:val="22"/>
        </w:rPr>
      </w:pPr>
      <w:r>
        <w:rPr>
          <w:rFonts w:ascii="Calibri" w:hAnsi="Calibri" w:cs="Calibri"/>
          <w:sz w:val="22"/>
        </w:rPr>
        <w:t xml:space="preserve">NESTA, </w:t>
      </w:r>
      <w:hyperlink r:id="rId67" w:history="1">
        <w:r w:rsidRPr="008F10F0">
          <w:rPr>
            <w:rStyle w:val="Hyperlink"/>
            <w:rFonts w:ascii="Calibri" w:hAnsi="Calibri" w:cs="Calibri"/>
            <w:i/>
            <w:sz w:val="22"/>
          </w:rPr>
          <w:t>How inclusive is innovation polic</w:t>
        </w:r>
        <w:r>
          <w:rPr>
            <w:rStyle w:val="Hyperlink"/>
            <w:rFonts w:ascii="Calibri" w:hAnsi="Calibri" w:cs="Calibri"/>
            <w:i/>
            <w:sz w:val="22"/>
          </w:rPr>
          <w:t>y?</w:t>
        </w:r>
      </w:hyperlink>
      <w:r w:rsidRPr="007C1CD0">
        <w:rPr>
          <w:rFonts w:ascii="Calibri" w:hAnsi="Calibri" w:cs="Calibri"/>
          <w:sz w:val="22"/>
        </w:rPr>
        <w:t xml:space="preserve">, </w:t>
      </w:r>
      <w:r>
        <w:rPr>
          <w:rFonts w:ascii="Calibri" w:hAnsi="Calibri" w:cs="Calibri"/>
          <w:sz w:val="22"/>
        </w:rPr>
        <w:t>November 2018</w:t>
      </w:r>
    </w:p>
    <w:p w14:paraId="2D6059CB" w14:textId="77777777" w:rsidR="00636FEA" w:rsidRPr="007C1CD0"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 xml:space="preserve">OECD Centre for Opportunity and Equality, </w:t>
      </w:r>
      <w:hyperlink r:id="rId68" w:history="1">
        <w:r w:rsidRPr="007C1CD0">
          <w:rPr>
            <w:rStyle w:val="Hyperlink"/>
            <w:rFonts w:ascii="Calibri" w:hAnsi="Calibri" w:cs="Calibri"/>
            <w:i/>
            <w:sz w:val="22"/>
          </w:rPr>
          <w:t>Understanding the Socio-economic Divide in Europe</w:t>
        </w:r>
      </w:hyperlink>
      <w:r w:rsidRPr="007C1CD0">
        <w:rPr>
          <w:rFonts w:ascii="Calibri" w:hAnsi="Calibri" w:cs="Calibri"/>
          <w:sz w:val="22"/>
        </w:rPr>
        <w:t>, Jan 2017</w:t>
      </w:r>
    </w:p>
    <w:p w14:paraId="64619749" w14:textId="77777777" w:rsidR="00636FEA" w:rsidRPr="007C1CD0" w:rsidRDefault="00636FEA" w:rsidP="00636FEA">
      <w:pPr>
        <w:spacing w:after="100" w:line="240" w:lineRule="auto"/>
        <w:ind w:left="284" w:hanging="284"/>
        <w:contextualSpacing/>
        <w:rPr>
          <w:rFonts w:ascii="Calibri" w:hAnsi="Calibri" w:cs="Calibri"/>
          <w:color w:val="000000"/>
          <w:sz w:val="22"/>
          <w:u w:val="single"/>
        </w:rPr>
      </w:pPr>
      <w:r w:rsidRPr="00A45EB2">
        <w:rPr>
          <w:rFonts w:ascii="Calibri" w:hAnsi="Calibri" w:cs="Calibri"/>
          <w:color w:val="000000"/>
          <w:sz w:val="22"/>
        </w:rPr>
        <w:t xml:space="preserve">OECD, </w:t>
      </w:r>
      <w:hyperlink r:id="rId69" w:history="1">
        <w:r>
          <w:rPr>
            <w:rStyle w:val="Hyperlink"/>
            <w:rFonts w:ascii="Calibri" w:hAnsi="Calibri" w:cs="Calibri"/>
            <w:sz w:val="22"/>
          </w:rPr>
          <w:t>F</w:t>
        </w:r>
        <w:r w:rsidRPr="007C1CD0">
          <w:rPr>
            <w:rStyle w:val="Hyperlink"/>
            <w:rFonts w:ascii="Calibri" w:hAnsi="Calibri" w:cs="Calibri"/>
            <w:sz w:val="22"/>
          </w:rPr>
          <w:t xml:space="preserve">ramework for </w:t>
        </w:r>
        <w:r>
          <w:rPr>
            <w:rStyle w:val="Hyperlink"/>
            <w:rFonts w:ascii="Calibri" w:hAnsi="Calibri" w:cs="Calibri"/>
            <w:sz w:val="22"/>
          </w:rPr>
          <w:t>P</w:t>
        </w:r>
        <w:r w:rsidRPr="007C1CD0">
          <w:rPr>
            <w:rStyle w:val="Hyperlink"/>
            <w:rFonts w:ascii="Calibri" w:hAnsi="Calibri" w:cs="Calibri"/>
            <w:sz w:val="22"/>
          </w:rPr>
          <w:t xml:space="preserve">olicy </w:t>
        </w:r>
        <w:r>
          <w:rPr>
            <w:rStyle w:val="Hyperlink"/>
            <w:rFonts w:ascii="Calibri" w:hAnsi="Calibri" w:cs="Calibri"/>
            <w:sz w:val="22"/>
          </w:rPr>
          <w:t>A</w:t>
        </w:r>
        <w:r w:rsidRPr="007C1CD0">
          <w:rPr>
            <w:rStyle w:val="Hyperlink"/>
            <w:rFonts w:ascii="Calibri" w:hAnsi="Calibri" w:cs="Calibri"/>
            <w:sz w:val="22"/>
          </w:rPr>
          <w:t xml:space="preserve">ction on </w:t>
        </w:r>
        <w:r>
          <w:rPr>
            <w:rStyle w:val="Hyperlink"/>
            <w:rFonts w:ascii="Calibri" w:hAnsi="Calibri" w:cs="Calibri"/>
            <w:sz w:val="22"/>
          </w:rPr>
          <w:t>I</w:t>
        </w:r>
        <w:r w:rsidRPr="007C1CD0">
          <w:rPr>
            <w:rStyle w:val="Hyperlink"/>
            <w:rFonts w:ascii="Calibri" w:hAnsi="Calibri" w:cs="Calibri"/>
            <w:sz w:val="22"/>
          </w:rPr>
          <w:t xml:space="preserve">nclusive </w:t>
        </w:r>
        <w:r>
          <w:rPr>
            <w:rStyle w:val="Hyperlink"/>
            <w:rFonts w:ascii="Calibri" w:hAnsi="Calibri" w:cs="Calibri"/>
            <w:sz w:val="22"/>
          </w:rPr>
          <w:t>G</w:t>
        </w:r>
        <w:r w:rsidRPr="007C1CD0">
          <w:rPr>
            <w:rStyle w:val="Hyperlink"/>
            <w:rFonts w:ascii="Calibri" w:hAnsi="Calibri" w:cs="Calibri"/>
            <w:sz w:val="22"/>
          </w:rPr>
          <w:t>rowth</w:t>
        </w:r>
      </w:hyperlink>
      <w:r>
        <w:rPr>
          <w:rFonts w:ascii="Calibri" w:hAnsi="Calibri" w:cs="Calibri"/>
          <w:color w:val="000000"/>
          <w:sz w:val="22"/>
        </w:rPr>
        <w:t>, May 2018</w:t>
      </w:r>
    </w:p>
    <w:p w14:paraId="0EF5C3DC" w14:textId="77777777" w:rsidR="00636FEA"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OECD, “</w:t>
      </w:r>
      <w:hyperlink r:id="rId70" w:history="1">
        <w:r w:rsidRPr="007C1CD0">
          <w:rPr>
            <w:rStyle w:val="Hyperlink"/>
            <w:rFonts w:ascii="Calibri" w:hAnsi="Calibri" w:cs="Calibri"/>
            <w:sz w:val="22"/>
          </w:rPr>
          <w:t>Future of Work and Skills</w:t>
        </w:r>
      </w:hyperlink>
      <w:r w:rsidRPr="007C1CD0">
        <w:rPr>
          <w:rFonts w:ascii="Calibri" w:hAnsi="Calibri" w:cs="Calibri"/>
          <w:sz w:val="22"/>
        </w:rPr>
        <w:t>,” Paper Presented at the 2nd Meeting of the G20 Employment Working Group, 15–17 February 2017</w:t>
      </w:r>
    </w:p>
    <w:p w14:paraId="05677776" w14:textId="77777777" w:rsidR="00636FEA" w:rsidRPr="007C1CD0" w:rsidRDefault="00636FEA" w:rsidP="00636FEA">
      <w:pPr>
        <w:spacing w:after="100" w:line="240" w:lineRule="auto"/>
        <w:ind w:left="284" w:hanging="284"/>
        <w:contextualSpacing/>
        <w:rPr>
          <w:rFonts w:ascii="Calibri" w:hAnsi="Calibri" w:cs="Calibri"/>
          <w:color w:val="000000"/>
          <w:sz w:val="22"/>
        </w:rPr>
      </w:pPr>
      <w:r w:rsidRPr="007C1CD0">
        <w:rPr>
          <w:rFonts w:ascii="Calibri" w:hAnsi="Calibri" w:cs="Calibri"/>
          <w:color w:val="000000"/>
          <w:sz w:val="22"/>
        </w:rPr>
        <w:t xml:space="preserve">OECD, </w:t>
      </w:r>
      <w:hyperlink r:id="rId71" w:history="1">
        <w:r w:rsidRPr="007C1CD0">
          <w:rPr>
            <w:rStyle w:val="Hyperlink"/>
            <w:rFonts w:ascii="Calibri" w:hAnsi="Calibri" w:cs="Calibri"/>
            <w:i/>
            <w:iCs/>
            <w:sz w:val="22"/>
          </w:rPr>
          <w:t>The Productivity-Inclusiveness Nexus</w:t>
        </w:r>
      </w:hyperlink>
      <w:r w:rsidRPr="007C1CD0">
        <w:rPr>
          <w:rFonts w:ascii="Calibri" w:hAnsi="Calibri" w:cs="Calibri"/>
          <w:color w:val="000000"/>
          <w:sz w:val="22"/>
        </w:rPr>
        <w:t>, OECD Publishing, Paris, 2018</w:t>
      </w:r>
    </w:p>
    <w:p w14:paraId="6D5EA79B" w14:textId="77777777" w:rsidR="00636FEA" w:rsidRPr="007C1CD0"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 xml:space="preserve">OECD, </w:t>
      </w:r>
      <w:hyperlink r:id="rId72" w:history="1">
        <w:r w:rsidRPr="007C1CD0">
          <w:rPr>
            <w:rStyle w:val="Hyperlink"/>
            <w:rFonts w:ascii="Calibri" w:hAnsi="Calibri" w:cs="Calibri"/>
            <w:i/>
            <w:sz w:val="22"/>
          </w:rPr>
          <w:t>Trust and Public Policy: How Better Governance Can Help Rebuild Public Trust</w:t>
        </w:r>
      </w:hyperlink>
      <w:r w:rsidRPr="007C1CD0">
        <w:rPr>
          <w:rFonts w:ascii="Calibri" w:hAnsi="Calibri" w:cs="Calibri"/>
          <w:sz w:val="22"/>
        </w:rPr>
        <w:t>, March 2017</w:t>
      </w:r>
    </w:p>
    <w:p w14:paraId="6350D8EC" w14:textId="77777777" w:rsidR="00636FEA" w:rsidRDefault="00636FEA" w:rsidP="00636FEA">
      <w:pPr>
        <w:spacing w:after="100" w:line="240" w:lineRule="auto"/>
        <w:ind w:left="284" w:hanging="284"/>
        <w:contextualSpacing/>
        <w:rPr>
          <w:rFonts w:ascii="Calibri" w:hAnsi="Calibri" w:cs="Calibri"/>
          <w:color w:val="000000"/>
          <w:sz w:val="22"/>
        </w:rPr>
      </w:pPr>
      <w:r w:rsidRPr="00A45EB2">
        <w:rPr>
          <w:rFonts w:ascii="Calibri" w:hAnsi="Calibri" w:cs="Calibri"/>
          <w:color w:val="000000"/>
          <w:sz w:val="22"/>
        </w:rPr>
        <w:t xml:space="preserve">Pathways </w:t>
      </w:r>
      <w:r>
        <w:rPr>
          <w:rFonts w:ascii="Calibri" w:hAnsi="Calibri" w:cs="Calibri"/>
          <w:color w:val="000000"/>
          <w:sz w:val="22"/>
        </w:rPr>
        <w:t xml:space="preserve">for Prosperity </w:t>
      </w:r>
      <w:r w:rsidRPr="00A45EB2">
        <w:rPr>
          <w:rFonts w:ascii="Calibri" w:hAnsi="Calibri" w:cs="Calibri"/>
          <w:color w:val="000000"/>
          <w:sz w:val="22"/>
        </w:rPr>
        <w:t xml:space="preserve">Commission (UK), </w:t>
      </w:r>
      <w:hyperlink r:id="rId73" w:history="1">
        <w:r>
          <w:rPr>
            <w:rStyle w:val="Hyperlink"/>
            <w:rFonts w:ascii="Calibri" w:hAnsi="Calibri" w:cs="Calibri"/>
            <w:sz w:val="22"/>
          </w:rPr>
          <w:t>Pathways for Prosper</w:t>
        </w:r>
        <w:r w:rsidRPr="007C1CD0">
          <w:rPr>
            <w:rStyle w:val="Hyperlink"/>
            <w:rFonts w:ascii="Calibri" w:hAnsi="Calibri" w:cs="Calibri"/>
            <w:sz w:val="22"/>
          </w:rPr>
          <w:t xml:space="preserve">ity </w:t>
        </w:r>
        <w:r>
          <w:rPr>
            <w:rStyle w:val="Hyperlink"/>
            <w:rFonts w:ascii="Calibri" w:hAnsi="Calibri" w:cs="Calibri"/>
            <w:sz w:val="22"/>
          </w:rPr>
          <w:t>–</w:t>
        </w:r>
        <w:r w:rsidRPr="007C1CD0">
          <w:rPr>
            <w:rStyle w:val="Hyperlink"/>
            <w:rFonts w:ascii="Calibri" w:hAnsi="Calibri" w:cs="Calibri"/>
            <w:sz w:val="22"/>
          </w:rPr>
          <w:t xml:space="preserve"> Charting Pathways </w:t>
        </w:r>
        <w:r>
          <w:rPr>
            <w:rStyle w:val="Hyperlink"/>
            <w:rFonts w:ascii="Calibri" w:hAnsi="Calibri" w:cs="Calibri"/>
            <w:sz w:val="22"/>
          </w:rPr>
          <w:t>for inclusive Growth: From Para</w:t>
        </w:r>
        <w:r w:rsidRPr="007C1CD0">
          <w:rPr>
            <w:rStyle w:val="Hyperlink"/>
            <w:rFonts w:ascii="Calibri" w:hAnsi="Calibri" w:cs="Calibri"/>
            <w:sz w:val="22"/>
          </w:rPr>
          <w:t>lysis to Preparation</w:t>
        </w:r>
      </w:hyperlink>
      <w:r>
        <w:rPr>
          <w:rFonts w:ascii="Calibri" w:hAnsi="Calibri" w:cs="Calibri"/>
          <w:color w:val="000000"/>
          <w:sz w:val="22"/>
        </w:rPr>
        <w:t>, 2018</w:t>
      </w:r>
    </w:p>
    <w:p w14:paraId="2F9EBA11" w14:textId="77777777" w:rsidR="00636FEA" w:rsidRPr="00146134"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Pew Research Centre, “</w:t>
      </w:r>
      <w:hyperlink r:id="rId74" w:history="1">
        <w:r w:rsidRPr="007C1CD0">
          <w:rPr>
            <w:rStyle w:val="Hyperlink"/>
            <w:rFonts w:ascii="Calibri" w:hAnsi="Calibri" w:cs="Calibri"/>
            <w:sz w:val="22"/>
          </w:rPr>
          <w:t>In Advanced and Emerging Economies Alike, Worries About Job Automation</w:t>
        </w:r>
      </w:hyperlink>
      <w:r w:rsidRPr="007C1CD0">
        <w:rPr>
          <w:rFonts w:ascii="Calibri" w:hAnsi="Calibri" w:cs="Calibri"/>
          <w:sz w:val="22"/>
        </w:rPr>
        <w:t>,” Sept 2018</w:t>
      </w:r>
    </w:p>
    <w:p w14:paraId="7754D9F7" w14:textId="77777777" w:rsidR="00636FEA" w:rsidRPr="007C1CD0"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Sharan Burrow, “</w:t>
      </w:r>
      <w:hyperlink r:id="rId75" w:history="1">
        <w:r w:rsidRPr="007C1CD0">
          <w:rPr>
            <w:rStyle w:val="Hyperlink"/>
            <w:rFonts w:ascii="Calibri" w:hAnsi="Calibri" w:cs="Calibri"/>
            <w:sz w:val="22"/>
          </w:rPr>
          <w:t>A recipe for trust</w:t>
        </w:r>
      </w:hyperlink>
      <w:r w:rsidRPr="007C1CD0">
        <w:rPr>
          <w:rFonts w:ascii="Calibri" w:hAnsi="Calibri" w:cs="Calibri"/>
          <w:sz w:val="22"/>
        </w:rPr>
        <w:t>,” OECD Forum</w:t>
      </w:r>
      <w:r>
        <w:rPr>
          <w:rFonts w:ascii="Calibri" w:hAnsi="Calibri" w:cs="Calibri"/>
          <w:sz w:val="22"/>
        </w:rPr>
        <w:t>,</w:t>
      </w:r>
      <w:r w:rsidRPr="007C1CD0">
        <w:rPr>
          <w:rFonts w:ascii="Calibri" w:hAnsi="Calibri" w:cs="Calibri"/>
          <w:sz w:val="22"/>
        </w:rPr>
        <w:t xml:space="preserve"> 2013</w:t>
      </w:r>
    </w:p>
    <w:p w14:paraId="0D3AD6FD" w14:textId="77777777" w:rsidR="00636FEA" w:rsidRPr="007C1CD0"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 xml:space="preserve">Stiglitz J, Fitoussi J-P, Durand M (eds), </w:t>
      </w:r>
      <w:hyperlink r:id="rId76" w:history="1">
        <w:r w:rsidRPr="007C1CD0">
          <w:rPr>
            <w:rStyle w:val="Hyperlink"/>
            <w:rFonts w:ascii="Calibri" w:hAnsi="Calibri" w:cs="Calibri"/>
            <w:i/>
            <w:sz w:val="22"/>
          </w:rPr>
          <w:t>For Good Measure: Advancing Research on Well-being Metrics Beyond GDP</w:t>
        </w:r>
      </w:hyperlink>
      <w:r w:rsidRPr="007C1CD0">
        <w:rPr>
          <w:rFonts w:ascii="Calibri" w:hAnsi="Calibri" w:cs="Calibri"/>
          <w:sz w:val="22"/>
        </w:rPr>
        <w:t>, OECD Publishing, Paris, 2018</w:t>
      </w:r>
    </w:p>
    <w:p w14:paraId="25565DEF" w14:textId="77777777" w:rsidR="00636FEA" w:rsidRDefault="00636FEA" w:rsidP="00636FEA">
      <w:pPr>
        <w:spacing w:after="100" w:line="240" w:lineRule="auto"/>
        <w:ind w:left="284" w:hanging="284"/>
        <w:contextualSpacing/>
        <w:rPr>
          <w:rFonts w:ascii="Calibri" w:hAnsi="Calibri" w:cs="Calibri"/>
          <w:sz w:val="22"/>
        </w:rPr>
      </w:pPr>
      <w:r w:rsidRPr="007C1CD0">
        <w:rPr>
          <w:rFonts w:ascii="Calibri" w:hAnsi="Calibri" w:cs="Calibri"/>
          <w:sz w:val="22"/>
        </w:rPr>
        <w:t>World Economic Forum</w:t>
      </w:r>
      <w:r>
        <w:rPr>
          <w:rFonts w:ascii="Calibri" w:hAnsi="Calibri" w:cs="Calibri"/>
          <w:sz w:val="22"/>
        </w:rPr>
        <w:t>,</w:t>
      </w:r>
      <w:r w:rsidRPr="007C1CD0">
        <w:rPr>
          <w:rFonts w:ascii="Calibri" w:hAnsi="Calibri" w:cs="Calibri"/>
          <w:sz w:val="22"/>
        </w:rPr>
        <w:t xml:space="preserve"> </w:t>
      </w:r>
      <w:hyperlink r:id="rId77" w:history="1">
        <w:r w:rsidRPr="007C1CD0">
          <w:rPr>
            <w:rStyle w:val="Hyperlink"/>
            <w:rFonts w:ascii="Calibri" w:hAnsi="Calibri" w:cs="Calibri"/>
            <w:i/>
            <w:sz w:val="22"/>
          </w:rPr>
          <w:t>The Inclusive Growth and Development Report 2017</w:t>
        </w:r>
      </w:hyperlink>
      <w:r w:rsidRPr="007C1CD0">
        <w:rPr>
          <w:rFonts w:ascii="Calibri" w:hAnsi="Calibri" w:cs="Calibri"/>
          <w:sz w:val="22"/>
        </w:rPr>
        <w:t>, 2017.</w:t>
      </w:r>
    </w:p>
    <w:p w14:paraId="7D5C1799" w14:textId="299A9B59" w:rsidR="000B649B" w:rsidRDefault="00636FEA" w:rsidP="00636FEA">
      <w:r>
        <w:rPr>
          <w:rFonts w:ascii="Calibri" w:hAnsi="Calibri" w:cs="Calibri"/>
          <w:color w:val="000000"/>
          <w:sz w:val="22"/>
        </w:rPr>
        <w:t xml:space="preserve">WTO, IMF, World Bank, </w:t>
      </w:r>
      <w:hyperlink r:id="rId78" w:history="1">
        <w:r w:rsidRPr="007C1CD0">
          <w:rPr>
            <w:rStyle w:val="Hyperlink"/>
            <w:rFonts w:ascii="Calibri" w:hAnsi="Calibri" w:cs="Calibri"/>
            <w:sz w:val="22"/>
          </w:rPr>
          <w:t>Reinvigorating Trade and Inclusive Growth</w:t>
        </w:r>
      </w:hyperlink>
      <w:r>
        <w:rPr>
          <w:rFonts w:ascii="Calibri" w:hAnsi="Calibri" w:cs="Calibri"/>
          <w:color w:val="000000"/>
          <w:sz w:val="22"/>
        </w:rPr>
        <w:t>, September 2018</w:t>
      </w:r>
      <w:r w:rsidR="000B649B">
        <w:br w:type="page"/>
      </w:r>
    </w:p>
    <w:p w14:paraId="51023959" w14:textId="77777777" w:rsidR="000B649B" w:rsidRPr="0097068A" w:rsidRDefault="000B649B" w:rsidP="000B649B">
      <w:pPr>
        <w:pStyle w:val="Heading1"/>
      </w:pPr>
      <w:r>
        <w:t>Appendix:</w:t>
      </w:r>
      <w:r>
        <w:br/>
      </w:r>
      <w:r w:rsidRPr="001F3CDC">
        <w:t>Selected economic and labour market indicators for Australia and Canada</w:t>
      </w:r>
    </w:p>
    <w:p w14:paraId="5D5EF368" w14:textId="77777777" w:rsidR="000B649B" w:rsidRDefault="000B649B" w:rsidP="000B649B">
      <w:pPr>
        <w:rPr>
          <w:rFonts w:asciiTheme="minorHAnsi" w:hAnsiTheme="minorHAnsi" w:cstheme="minorHAnsi"/>
          <w:sz w:val="20"/>
          <w:szCs w:val="20"/>
        </w:rPr>
      </w:pPr>
      <w:r w:rsidRPr="001F3CDC">
        <w:rPr>
          <w:rFonts w:asciiTheme="minorHAnsi" w:hAnsiTheme="minorHAnsi" w:cstheme="minorHAnsi"/>
          <w:b/>
          <w:sz w:val="20"/>
          <w:szCs w:val="20"/>
        </w:rPr>
        <w:t>Sources:</w:t>
      </w:r>
      <w:r>
        <w:rPr>
          <w:rFonts w:asciiTheme="minorHAnsi" w:hAnsiTheme="minorHAnsi" w:cstheme="minorHAnsi"/>
          <w:sz w:val="20"/>
          <w:szCs w:val="20"/>
        </w:rPr>
        <w:t xml:space="preserve"> OECD.Stat and ILOStat.</w:t>
      </w:r>
    </w:p>
    <w:p w14:paraId="1EACC216" w14:textId="77777777" w:rsidR="000B649B" w:rsidRDefault="000B649B" w:rsidP="000B649B">
      <w:pPr>
        <w:spacing w:line="240" w:lineRule="auto"/>
        <w:contextualSpacing/>
        <w:rPr>
          <w:rFonts w:asciiTheme="minorHAnsi" w:hAnsiTheme="minorHAnsi" w:cstheme="minorHAnsi"/>
          <w:sz w:val="20"/>
          <w:szCs w:val="20"/>
        </w:rPr>
      </w:pPr>
      <w:r w:rsidRPr="001B5E74">
        <w:rPr>
          <w:rFonts w:asciiTheme="minorHAnsi" w:hAnsiTheme="minorHAnsi" w:cstheme="minorHAnsi"/>
          <w:b/>
          <w:sz w:val="20"/>
          <w:szCs w:val="20"/>
        </w:rPr>
        <w:t>Note</w:t>
      </w:r>
      <w:r>
        <w:rPr>
          <w:rFonts w:asciiTheme="minorHAnsi" w:hAnsiTheme="minorHAnsi" w:cstheme="minorHAnsi"/>
          <w:b/>
          <w:sz w:val="20"/>
          <w:szCs w:val="20"/>
        </w:rPr>
        <w:t>s</w:t>
      </w:r>
      <w:r w:rsidRPr="001B5E74">
        <w:rPr>
          <w:rFonts w:asciiTheme="minorHAnsi" w:hAnsiTheme="minorHAnsi" w:cstheme="minorHAnsi"/>
          <w:b/>
          <w:sz w:val="20"/>
          <w:szCs w:val="20"/>
        </w:rPr>
        <w:t>:</w:t>
      </w:r>
      <w:r w:rsidRPr="001B5E74">
        <w:rPr>
          <w:rFonts w:asciiTheme="minorHAnsi" w:hAnsiTheme="minorHAnsi" w:cstheme="minorHAnsi"/>
          <w:sz w:val="20"/>
          <w:szCs w:val="20"/>
        </w:rPr>
        <w:t xml:space="preserve"> Gini coefficient data for Australia is sourced from ABS 6523.0. All other data has been sourced from international organisations to aid comparability. The Gini coefficient ranges from 0 to 1</w:t>
      </w:r>
      <w:r>
        <w:rPr>
          <w:rFonts w:asciiTheme="minorHAnsi" w:hAnsiTheme="minorHAnsi" w:cstheme="minorHAnsi"/>
          <w:sz w:val="20"/>
          <w:szCs w:val="20"/>
        </w:rPr>
        <w:t>,</w:t>
      </w:r>
      <w:r w:rsidRPr="001B5E74">
        <w:rPr>
          <w:rFonts w:asciiTheme="minorHAnsi" w:hAnsiTheme="minorHAnsi" w:cstheme="minorHAnsi"/>
          <w:sz w:val="20"/>
          <w:szCs w:val="20"/>
        </w:rPr>
        <w:t xml:space="preserve"> with a higher value indicating greater inequality. </w:t>
      </w:r>
      <w:r>
        <w:rPr>
          <w:rFonts w:asciiTheme="minorHAnsi" w:hAnsiTheme="minorHAnsi" w:cstheme="minorHAnsi"/>
          <w:sz w:val="20"/>
          <w:szCs w:val="20"/>
        </w:rPr>
        <w:t>The p</w:t>
      </w:r>
      <w:r w:rsidRPr="001B5E74">
        <w:rPr>
          <w:rFonts w:asciiTheme="minorHAnsi" w:hAnsiTheme="minorHAnsi" w:cstheme="minorHAnsi"/>
          <w:sz w:val="20"/>
          <w:szCs w:val="20"/>
        </w:rPr>
        <w:t xml:space="preserve">overty rate </w:t>
      </w:r>
      <w:r>
        <w:rPr>
          <w:rFonts w:asciiTheme="minorHAnsi" w:hAnsiTheme="minorHAnsi" w:cstheme="minorHAnsi"/>
          <w:sz w:val="20"/>
          <w:szCs w:val="20"/>
        </w:rPr>
        <w:t xml:space="preserve">is </w:t>
      </w:r>
      <w:r w:rsidRPr="001B5E74">
        <w:rPr>
          <w:rFonts w:asciiTheme="minorHAnsi" w:hAnsiTheme="minorHAnsi" w:cstheme="minorHAnsi"/>
          <w:sz w:val="20"/>
          <w:szCs w:val="20"/>
        </w:rPr>
        <w:t xml:space="preserve">calculated based on a relative measure of poverty </w:t>
      </w:r>
      <w:r>
        <w:rPr>
          <w:rFonts w:asciiTheme="minorHAnsi" w:hAnsiTheme="minorHAnsi" w:cstheme="minorHAnsi"/>
          <w:sz w:val="20"/>
          <w:szCs w:val="20"/>
        </w:rPr>
        <w:t xml:space="preserve">that </w:t>
      </w:r>
      <w:r w:rsidRPr="001B5E74">
        <w:rPr>
          <w:rFonts w:asciiTheme="minorHAnsi" w:hAnsiTheme="minorHAnsi" w:cstheme="minorHAnsi"/>
          <w:sz w:val="20"/>
          <w:szCs w:val="20"/>
        </w:rPr>
        <w:t>uses a poverty threshold of 50</w:t>
      </w:r>
      <w:r>
        <w:rPr>
          <w:rFonts w:asciiTheme="minorHAnsi" w:hAnsiTheme="minorHAnsi" w:cstheme="minorHAnsi"/>
          <w:sz w:val="20"/>
          <w:szCs w:val="20"/>
        </w:rPr>
        <w:t>%</w:t>
      </w:r>
      <w:r w:rsidRPr="001B5E74">
        <w:rPr>
          <w:rFonts w:asciiTheme="minorHAnsi" w:hAnsiTheme="minorHAnsi" w:cstheme="minorHAnsi"/>
          <w:sz w:val="20"/>
          <w:szCs w:val="20"/>
        </w:rPr>
        <w:t xml:space="preserve"> of a country’s median income.</w:t>
      </w:r>
    </w:p>
    <w:p w14:paraId="7862BD60" w14:textId="48D25B12" w:rsidR="00636FEA" w:rsidRDefault="00636FEA" w:rsidP="000B649B">
      <w:pPr>
        <w:spacing w:line="240" w:lineRule="auto"/>
        <w:contextualSpacing/>
        <w:rPr>
          <w:rFonts w:asciiTheme="minorHAnsi" w:hAnsiTheme="minorHAnsi" w:cstheme="minorHAnsi"/>
          <w:sz w:val="20"/>
          <w:szCs w:val="20"/>
        </w:rPr>
      </w:pPr>
    </w:p>
    <w:tbl>
      <w:tblPr>
        <w:tblStyle w:val="ListTable1Light-Accent111"/>
        <w:tblW w:w="9781" w:type="dxa"/>
        <w:tblLook w:val="04A0" w:firstRow="1" w:lastRow="0" w:firstColumn="1" w:lastColumn="0" w:noHBand="0" w:noVBand="1"/>
      </w:tblPr>
      <w:tblGrid>
        <w:gridCol w:w="4536"/>
        <w:gridCol w:w="1701"/>
        <w:gridCol w:w="1701"/>
        <w:gridCol w:w="1843"/>
      </w:tblGrid>
      <w:tr w:rsidR="00636FEA" w:rsidRPr="00636FEA" w14:paraId="64750929" w14:textId="77777777" w:rsidTr="00DE2D4D">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1F497D" w:themeColor="text2"/>
            </w:tcBorders>
            <w:shd w:val="clear" w:color="auto" w:fill="C6D9F1" w:themeFill="text2" w:themeFillTint="33"/>
            <w:noWrap/>
            <w:vAlign w:val="bottom"/>
            <w:hideMark/>
          </w:tcPr>
          <w:p w14:paraId="3CACB032" w14:textId="77777777" w:rsidR="00636FEA" w:rsidRPr="00636FEA" w:rsidRDefault="00636FEA" w:rsidP="00636FEA">
            <w:pPr>
              <w:rPr>
                <w:rFonts w:ascii="Calibri" w:eastAsia="Times New Roman" w:hAnsi="Calibri" w:cs="Calibri"/>
                <w:b w:val="0"/>
                <w:bCs w:val="0"/>
                <w:color w:val="000000"/>
                <w:sz w:val="20"/>
                <w:szCs w:val="20"/>
                <w:lang w:eastAsia="en-AU"/>
              </w:rPr>
            </w:pPr>
            <w:bookmarkStart w:id="1" w:name="RANGE!A1:D28"/>
            <w:r w:rsidRPr="00636FEA">
              <w:rPr>
                <w:rFonts w:ascii="Calibri" w:eastAsia="Times New Roman" w:hAnsi="Calibri" w:cs="Calibri"/>
                <w:color w:val="000000"/>
                <w:sz w:val="20"/>
                <w:szCs w:val="20"/>
                <w:lang w:eastAsia="en-AU"/>
              </w:rPr>
              <w:t>Selected indicators</w:t>
            </w:r>
            <w:bookmarkEnd w:id="1"/>
          </w:p>
        </w:tc>
        <w:tc>
          <w:tcPr>
            <w:tcW w:w="5245" w:type="dxa"/>
            <w:gridSpan w:val="3"/>
            <w:tcBorders>
              <w:top w:val="single" w:sz="8" w:space="0" w:color="1F497D" w:themeColor="text2"/>
            </w:tcBorders>
            <w:shd w:val="clear" w:color="auto" w:fill="C6D9F1" w:themeFill="text2" w:themeFillTint="33"/>
            <w:vAlign w:val="bottom"/>
            <w:hideMark/>
          </w:tcPr>
          <w:p w14:paraId="47F0302D" w14:textId="77777777" w:rsidR="00636FEA" w:rsidRPr="00636FEA" w:rsidRDefault="00636FEA" w:rsidP="00636FE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AU"/>
              </w:rPr>
            </w:pPr>
            <w:r w:rsidRPr="00636FEA">
              <w:rPr>
                <w:rFonts w:ascii="Calibri" w:eastAsia="Times New Roman" w:hAnsi="Calibri" w:cs="Calibri"/>
                <w:color w:val="000000"/>
                <w:sz w:val="20"/>
                <w:szCs w:val="20"/>
                <w:lang w:eastAsia="en-AU"/>
              </w:rPr>
              <w:t>Latest data as at Q3 2018</w:t>
            </w:r>
          </w:p>
        </w:tc>
      </w:tr>
      <w:tr w:rsidR="00636FEA" w:rsidRPr="00636FEA" w14:paraId="1A160303" w14:textId="77777777" w:rsidTr="00DE2D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1F497D" w:themeColor="text2"/>
            </w:tcBorders>
            <w:shd w:val="clear" w:color="auto" w:fill="C6D9F1" w:themeFill="text2" w:themeFillTint="33"/>
            <w:hideMark/>
          </w:tcPr>
          <w:p w14:paraId="78ED496D" w14:textId="77777777" w:rsidR="00636FEA" w:rsidRPr="00636FEA" w:rsidRDefault="00636FEA" w:rsidP="00636FEA">
            <w:pPr>
              <w:rPr>
                <w:rFonts w:ascii="Calibri" w:eastAsia="Times New Roman" w:hAnsi="Calibri" w:cs="Calibri"/>
                <w:b w:val="0"/>
                <w:bCs w:val="0"/>
                <w:color w:val="000000"/>
                <w:sz w:val="20"/>
                <w:szCs w:val="20"/>
                <w:lang w:eastAsia="en-AU"/>
              </w:rPr>
            </w:pPr>
          </w:p>
        </w:tc>
        <w:tc>
          <w:tcPr>
            <w:tcW w:w="1701" w:type="dxa"/>
            <w:tcBorders>
              <w:top w:val="single" w:sz="8" w:space="0" w:color="1F497D" w:themeColor="text2"/>
              <w:bottom w:val="single" w:sz="8" w:space="0" w:color="1F497D" w:themeColor="text2"/>
            </w:tcBorders>
            <w:shd w:val="clear" w:color="auto" w:fill="C6D9F1" w:themeFill="text2" w:themeFillTint="33"/>
            <w:noWrap/>
            <w:hideMark/>
          </w:tcPr>
          <w:p w14:paraId="4226CB24"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636FEA">
              <w:rPr>
                <w:rFonts w:ascii="Calibri" w:eastAsia="Times New Roman" w:hAnsi="Calibri" w:cs="Calibri"/>
                <w:b/>
                <w:bCs/>
                <w:color w:val="000000"/>
                <w:sz w:val="20"/>
                <w:szCs w:val="20"/>
                <w:lang w:eastAsia="en-AU"/>
              </w:rPr>
              <w:t>Australia</w:t>
            </w:r>
          </w:p>
        </w:tc>
        <w:tc>
          <w:tcPr>
            <w:tcW w:w="1701" w:type="dxa"/>
            <w:tcBorders>
              <w:top w:val="single" w:sz="8" w:space="0" w:color="1F497D" w:themeColor="text2"/>
              <w:bottom w:val="single" w:sz="8" w:space="0" w:color="1F497D" w:themeColor="text2"/>
            </w:tcBorders>
            <w:shd w:val="clear" w:color="auto" w:fill="C6D9F1" w:themeFill="text2" w:themeFillTint="33"/>
            <w:noWrap/>
            <w:hideMark/>
          </w:tcPr>
          <w:p w14:paraId="654BF752"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636FEA">
              <w:rPr>
                <w:rFonts w:ascii="Calibri" w:eastAsia="Times New Roman" w:hAnsi="Calibri" w:cs="Calibri"/>
                <w:b/>
                <w:bCs/>
                <w:color w:val="000000"/>
                <w:sz w:val="20"/>
                <w:szCs w:val="20"/>
                <w:lang w:eastAsia="en-AU"/>
              </w:rPr>
              <w:t>Canada</w:t>
            </w:r>
          </w:p>
        </w:tc>
        <w:tc>
          <w:tcPr>
            <w:tcW w:w="1843" w:type="dxa"/>
            <w:tcBorders>
              <w:top w:val="single" w:sz="8" w:space="0" w:color="1F497D" w:themeColor="text2"/>
              <w:bottom w:val="single" w:sz="8" w:space="0" w:color="1F497D" w:themeColor="text2"/>
            </w:tcBorders>
            <w:shd w:val="clear" w:color="auto" w:fill="C6D9F1" w:themeFill="text2" w:themeFillTint="33"/>
            <w:noWrap/>
            <w:hideMark/>
          </w:tcPr>
          <w:p w14:paraId="2E5BFD6D"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636FEA">
              <w:rPr>
                <w:rFonts w:ascii="Calibri" w:eastAsia="Times New Roman" w:hAnsi="Calibri" w:cs="Calibri"/>
                <w:b/>
                <w:bCs/>
                <w:color w:val="000000"/>
                <w:sz w:val="20"/>
                <w:szCs w:val="20"/>
                <w:lang w:eastAsia="en-AU"/>
              </w:rPr>
              <w:t>OECD average</w:t>
            </w:r>
          </w:p>
        </w:tc>
      </w:tr>
      <w:tr w:rsidR="00636FEA" w:rsidRPr="00636FEA" w14:paraId="67A41573"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1F497D" w:themeColor="text2"/>
            </w:tcBorders>
            <w:noWrap/>
            <w:vAlign w:val="center"/>
            <w:hideMark/>
          </w:tcPr>
          <w:p w14:paraId="597E3758"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GDP per capita ($US, 2010 terms)</w:t>
            </w:r>
          </w:p>
        </w:tc>
        <w:tc>
          <w:tcPr>
            <w:tcW w:w="1701" w:type="dxa"/>
            <w:tcBorders>
              <w:top w:val="single" w:sz="8" w:space="0" w:color="1F497D" w:themeColor="text2"/>
            </w:tcBorders>
            <w:noWrap/>
            <w:vAlign w:val="center"/>
            <w:hideMark/>
          </w:tcPr>
          <w:p w14:paraId="5A1E2015"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46,266 (2017)</w:t>
            </w:r>
          </w:p>
        </w:tc>
        <w:tc>
          <w:tcPr>
            <w:tcW w:w="1701" w:type="dxa"/>
            <w:tcBorders>
              <w:top w:val="single" w:sz="8" w:space="0" w:color="1F497D" w:themeColor="text2"/>
            </w:tcBorders>
            <w:noWrap/>
            <w:vAlign w:val="center"/>
            <w:hideMark/>
          </w:tcPr>
          <w:p w14:paraId="50C19BCC"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43,291 (2017)</w:t>
            </w:r>
          </w:p>
        </w:tc>
        <w:tc>
          <w:tcPr>
            <w:tcW w:w="1843" w:type="dxa"/>
            <w:tcBorders>
              <w:top w:val="single" w:sz="8" w:space="0" w:color="1F497D" w:themeColor="text2"/>
            </w:tcBorders>
            <w:noWrap/>
            <w:vAlign w:val="center"/>
            <w:hideMark/>
          </w:tcPr>
          <w:p w14:paraId="2E82B69B"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36,102 (2017)</w:t>
            </w:r>
          </w:p>
        </w:tc>
      </w:tr>
      <w:tr w:rsidR="00636FEA" w:rsidRPr="00636FEA" w14:paraId="50083104"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1CD7BF03"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Real GDP growth through the year (%)</w:t>
            </w:r>
          </w:p>
        </w:tc>
        <w:tc>
          <w:tcPr>
            <w:tcW w:w="1701" w:type="dxa"/>
            <w:noWrap/>
            <w:vAlign w:val="center"/>
            <w:hideMark/>
          </w:tcPr>
          <w:p w14:paraId="1BC78E97" w14:textId="04D01B6F"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2.8 (Q3 2018)</w:t>
            </w:r>
          </w:p>
        </w:tc>
        <w:tc>
          <w:tcPr>
            <w:tcW w:w="1701" w:type="dxa"/>
            <w:noWrap/>
            <w:vAlign w:val="center"/>
            <w:hideMark/>
          </w:tcPr>
          <w:p w14:paraId="51B5E8AF" w14:textId="5E333040"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2.1 (Q3 2018)</w:t>
            </w:r>
          </w:p>
        </w:tc>
        <w:tc>
          <w:tcPr>
            <w:tcW w:w="1843" w:type="dxa"/>
            <w:noWrap/>
            <w:vAlign w:val="center"/>
            <w:hideMark/>
          </w:tcPr>
          <w:p w14:paraId="4AAC5365" w14:textId="57C63F3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2.4 (Q3 2018)</w:t>
            </w:r>
          </w:p>
        </w:tc>
      </w:tr>
      <w:tr w:rsidR="00636FEA" w:rsidRPr="00636FEA" w14:paraId="0553C513"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tcPr>
          <w:p w14:paraId="654D52CC"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GDP average annual growth, 2007-2017 (%)</w:t>
            </w:r>
          </w:p>
        </w:tc>
        <w:tc>
          <w:tcPr>
            <w:tcW w:w="1701" w:type="dxa"/>
            <w:noWrap/>
            <w:vAlign w:val="center"/>
          </w:tcPr>
          <w:p w14:paraId="626E4EF9"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2.6</w:t>
            </w:r>
          </w:p>
        </w:tc>
        <w:tc>
          <w:tcPr>
            <w:tcW w:w="1701" w:type="dxa"/>
            <w:noWrap/>
            <w:vAlign w:val="center"/>
          </w:tcPr>
          <w:p w14:paraId="3CD891C1"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1.7</w:t>
            </w:r>
          </w:p>
        </w:tc>
        <w:tc>
          <w:tcPr>
            <w:tcW w:w="1843" w:type="dxa"/>
            <w:noWrap/>
            <w:vAlign w:val="center"/>
          </w:tcPr>
          <w:p w14:paraId="5B5C7726"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1.4</w:t>
            </w:r>
          </w:p>
        </w:tc>
      </w:tr>
      <w:tr w:rsidR="00636FEA" w:rsidRPr="00636FEA" w14:paraId="4A8E8AB9"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79BC1C53"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Employment growth through the year (%)</w:t>
            </w:r>
          </w:p>
        </w:tc>
        <w:tc>
          <w:tcPr>
            <w:tcW w:w="1701" w:type="dxa"/>
            <w:noWrap/>
            <w:vAlign w:val="center"/>
            <w:hideMark/>
          </w:tcPr>
          <w:p w14:paraId="4097A5B9"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2.4</w:t>
            </w:r>
          </w:p>
        </w:tc>
        <w:tc>
          <w:tcPr>
            <w:tcW w:w="1701" w:type="dxa"/>
            <w:noWrap/>
            <w:vAlign w:val="center"/>
            <w:hideMark/>
          </w:tcPr>
          <w:p w14:paraId="14BD7091"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1.2</w:t>
            </w:r>
          </w:p>
        </w:tc>
        <w:tc>
          <w:tcPr>
            <w:tcW w:w="1843" w:type="dxa"/>
            <w:noWrap/>
            <w:vAlign w:val="center"/>
            <w:hideMark/>
          </w:tcPr>
          <w:p w14:paraId="429433A8"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1.7 (Q2 2018)</w:t>
            </w:r>
          </w:p>
        </w:tc>
      </w:tr>
      <w:tr w:rsidR="00636FEA" w:rsidRPr="00636FEA" w14:paraId="3F501663"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596CBB1D" w14:textId="5E32FBE3"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Employment –population ratio (15-64 years) (%)</w:t>
            </w:r>
          </w:p>
        </w:tc>
        <w:tc>
          <w:tcPr>
            <w:tcW w:w="1701" w:type="dxa"/>
            <w:noWrap/>
            <w:vAlign w:val="center"/>
            <w:hideMark/>
          </w:tcPr>
          <w:p w14:paraId="3B53348E"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73.8</w:t>
            </w:r>
          </w:p>
        </w:tc>
        <w:tc>
          <w:tcPr>
            <w:tcW w:w="1701" w:type="dxa"/>
            <w:noWrap/>
            <w:vAlign w:val="center"/>
            <w:hideMark/>
          </w:tcPr>
          <w:p w14:paraId="02141072"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73.8</w:t>
            </w:r>
          </w:p>
        </w:tc>
        <w:tc>
          <w:tcPr>
            <w:tcW w:w="1843" w:type="dxa"/>
            <w:noWrap/>
            <w:vAlign w:val="center"/>
            <w:hideMark/>
          </w:tcPr>
          <w:p w14:paraId="56C78542"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68.3 (Q2 2018)</w:t>
            </w:r>
          </w:p>
        </w:tc>
      </w:tr>
      <w:tr w:rsidR="00636FEA" w:rsidRPr="00636FEA" w14:paraId="59EA3E37"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7E77A389"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Unemployment rate (%)</w:t>
            </w:r>
          </w:p>
        </w:tc>
        <w:tc>
          <w:tcPr>
            <w:tcW w:w="1701" w:type="dxa"/>
            <w:noWrap/>
            <w:vAlign w:val="center"/>
            <w:hideMark/>
          </w:tcPr>
          <w:p w14:paraId="4EC9BB3A"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5.2</w:t>
            </w:r>
          </w:p>
        </w:tc>
        <w:tc>
          <w:tcPr>
            <w:tcW w:w="1701" w:type="dxa"/>
            <w:noWrap/>
            <w:vAlign w:val="center"/>
            <w:hideMark/>
          </w:tcPr>
          <w:p w14:paraId="2C206EAC"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5.9</w:t>
            </w:r>
          </w:p>
        </w:tc>
        <w:tc>
          <w:tcPr>
            <w:tcW w:w="1843" w:type="dxa"/>
            <w:noWrap/>
            <w:vAlign w:val="center"/>
            <w:hideMark/>
          </w:tcPr>
          <w:p w14:paraId="734284B6"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5.3 (Q2 2018)</w:t>
            </w:r>
          </w:p>
        </w:tc>
      </w:tr>
      <w:tr w:rsidR="00636FEA" w:rsidRPr="00636FEA" w14:paraId="4F2A996C"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0A61A6D1"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Incidence of long-term unemployment (%)</w:t>
            </w:r>
          </w:p>
        </w:tc>
        <w:tc>
          <w:tcPr>
            <w:tcW w:w="1701" w:type="dxa"/>
            <w:noWrap/>
            <w:vAlign w:val="center"/>
            <w:hideMark/>
          </w:tcPr>
          <w:p w14:paraId="5F494371"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23.5 (2017)</w:t>
            </w:r>
          </w:p>
        </w:tc>
        <w:tc>
          <w:tcPr>
            <w:tcW w:w="1701" w:type="dxa"/>
            <w:noWrap/>
            <w:vAlign w:val="center"/>
            <w:hideMark/>
          </w:tcPr>
          <w:p w14:paraId="18AD23A4"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12.1 (2017)</w:t>
            </w:r>
          </w:p>
        </w:tc>
        <w:tc>
          <w:tcPr>
            <w:tcW w:w="1843" w:type="dxa"/>
            <w:noWrap/>
            <w:vAlign w:val="center"/>
            <w:hideMark/>
          </w:tcPr>
          <w:p w14:paraId="453CF909" w14:textId="64F61ACA"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31.0 (2017)</w:t>
            </w:r>
          </w:p>
        </w:tc>
      </w:tr>
      <w:tr w:rsidR="00636FEA" w:rsidRPr="00636FEA" w14:paraId="6C0AED43"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304CA531"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Participation rate (15-64 years) (%)</w:t>
            </w:r>
          </w:p>
        </w:tc>
        <w:tc>
          <w:tcPr>
            <w:tcW w:w="1701" w:type="dxa"/>
            <w:noWrap/>
            <w:vAlign w:val="center"/>
            <w:hideMark/>
          </w:tcPr>
          <w:p w14:paraId="076A244B"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77.9</w:t>
            </w:r>
          </w:p>
        </w:tc>
        <w:tc>
          <w:tcPr>
            <w:tcW w:w="1701" w:type="dxa"/>
            <w:noWrap/>
            <w:vAlign w:val="center"/>
            <w:hideMark/>
          </w:tcPr>
          <w:p w14:paraId="0DFEFC68"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78.5</w:t>
            </w:r>
          </w:p>
        </w:tc>
        <w:tc>
          <w:tcPr>
            <w:tcW w:w="1843" w:type="dxa"/>
            <w:noWrap/>
            <w:vAlign w:val="center"/>
            <w:hideMark/>
          </w:tcPr>
          <w:p w14:paraId="0A25ED3D"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72.3 (Q2 2018)</w:t>
            </w:r>
          </w:p>
        </w:tc>
      </w:tr>
      <w:tr w:rsidR="00636FEA" w:rsidRPr="00636FEA" w14:paraId="15976737"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7A3D14B4"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Participation rate (55-64 years) (%)</w:t>
            </w:r>
          </w:p>
        </w:tc>
        <w:tc>
          <w:tcPr>
            <w:tcW w:w="1701" w:type="dxa"/>
            <w:noWrap/>
            <w:vAlign w:val="center"/>
            <w:hideMark/>
          </w:tcPr>
          <w:p w14:paraId="145036DA"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66.8</w:t>
            </w:r>
          </w:p>
        </w:tc>
        <w:tc>
          <w:tcPr>
            <w:tcW w:w="1701" w:type="dxa"/>
            <w:noWrap/>
            <w:vAlign w:val="center"/>
            <w:hideMark/>
          </w:tcPr>
          <w:p w14:paraId="64550D9A"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66.7</w:t>
            </w:r>
          </w:p>
        </w:tc>
        <w:tc>
          <w:tcPr>
            <w:tcW w:w="1843" w:type="dxa"/>
            <w:noWrap/>
            <w:vAlign w:val="center"/>
            <w:hideMark/>
          </w:tcPr>
          <w:p w14:paraId="2DF7C6EE"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63.8 (Q2 2018)</w:t>
            </w:r>
          </w:p>
        </w:tc>
      </w:tr>
      <w:tr w:rsidR="00636FEA" w:rsidRPr="00636FEA" w14:paraId="62FF0E07"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6C5F58C8"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Female participation rate (15-64 years) (%)</w:t>
            </w:r>
          </w:p>
        </w:tc>
        <w:tc>
          <w:tcPr>
            <w:tcW w:w="1701" w:type="dxa"/>
            <w:noWrap/>
            <w:vAlign w:val="center"/>
            <w:hideMark/>
          </w:tcPr>
          <w:p w14:paraId="20DDEC84"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73.1</w:t>
            </w:r>
          </w:p>
        </w:tc>
        <w:tc>
          <w:tcPr>
            <w:tcW w:w="1701" w:type="dxa"/>
            <w:noWrap/>
            <w:vAlign w:val="center"/>
            <w:hideMark/>
          </w:tcPr>
          <w:p w14:paraId="7CC7412B"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75.4</w:t>
            </w:r>
          </w:p>
        </w:tc>
        <w:tc>
          <w:tcPr>
            <w:tcW w:w="1843" w:type="dxa"/>
            <w:noWrap/>
            <w:vAlign w:val="center"/>
            <w:hideMark/>
          </w:tcPr>
          <w:p w14:paraId="031BF7D3"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64.4 (Q2 2018)</w:t>
            </w:r>
          </w:p>
        </w:tc>
      </w:tr>
      <w:tr w:rsidR="00636FEA" w:rsidRPr="00636FEA" w14:paraId="77DF898D"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6DC9FB1C"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Youth Unemployment rate (%)</w:t>
            </w:r>
          </w:p>
        </w:tc>
        <w:tc>
          <w:tcPr>
            <w:tcW w:w="1701" w:type="dxa"/>
            <w:noWrap/>
            <w:vAlign w:val="center"/>
            <w:hideMark/>
          </w:tcPr>
          <w:p w14:paraId="78B34679"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11.4</w:t>
            </w:r>
          </w:p>
        </w:tc>
        <w:tc>
          <w:tcPr>
            <w:tcW w:w="1701" w:type="dxa"/>
            <w:noWrap/>
            <w:vAlign w:val="center"/>
            <w:hideMark/>
          </w:tcPr>
          <w:p w14:paraId="10A37FFA"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11.0</w:t>
            </w:r>
          </w:p>
        </w:tc>
        <w:tc>
          <w:tcPr>
            <w:tcW w:w="1843" w:type="dxa"/>
            <w:noWrap/>
            <w:vAlign w:val="center"/>
            <w:hideMark/>
          </w:tcPr>
          <w:p w14:paraId="6B716293"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11.0 (Q2 2018)</w:t>
            </w:r>
          </w:p>
        </w:tc>
      </w:tr>
      <w:tr w:rsidR="00636FEA" w:rsidRPr="00636FEA" w14:paraId="0CC07F7A" w14:textId="77777777" w:rsidTr="00DE2D4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55ACD2A5"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NEET rate (not in employment, education or training) (%)</w:t>
            </w:r>
          </w:p>
        </w:tc>
        <w:tc>
          <w:tcPr>
            <w:tcW w:w="1701" w:type="dxa"/>
            <w:noWrap/>
            <w:vAlign w:val="center"/>
            <w:hideMark/>
          </w:tcPr>
          <w:p w14:paraId="6219D77C" w14:textId="3F8C0970"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10.9 (2017)</w:t>
            </w:r>
          </w:p>
        </w:tc>
        <w:tc>
          <w:tcPr>
            <w:tcW w:w="1701" w:type="dxa"/>
            <w:noWrap/>
            <w:vAlign w:val="center"/>
            <w:hideMark/>
          </w:tcPr>
          <w:p w14:paraId="146C9E32" w14:textId="5666FBCC"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12.2 (2017)</w:t>
            </w:r>
          </w:p>
        </w:tc>
        <w:tc>
          <w:tcPr>
            <w:tcW w:w="1843" w:type="dxa"/>
            <w:noWrap/>
            <w:vAlign w:val="center"/>
            <w:hideMark/>
          </w:tcPr>
          <w:p w14:paraId="25FD9817" w14:textId="0EC9B08A"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13.2 (2017)</w:t>
            </w:r>
          </w:p>
        </w:tc>
      </w:tr>
      <w:tr w:rsidR="00636FEA" w:rsidRPr="00636FEA" w14:paraId="728F3304" w14:textId="77777777" w:rsidTr="00DE2D4D">
        <w:trPr>
          <w:trHeight w:val="241"/>
        </w:trPr>
        <w:tc>
          <w:tcPr>
            <w:cnfStyle w:val="001000000000" w:firstRow="0" w:lastRow="0" w:firstColumn="1" w:lastColumn="0" w:oddVBand="0" w:evenVBand="0" w:oddHBand="0" w:evenHBand="0" w:firstRowFirstColumn="0" w:firstRowLastColumn="0" w:lastRowFirstColumn="0" w:lastRowLastColumn="0"/>
            <w:tcW w:w="9781" w:type="dxa"/>
            <w:gridSpan w:val="4"/>
            <w:vAlign w:val="center"/>
            <w:hideMark/>
          </w:tcPr>
          <w:p w14:paraId="4FE72BFC"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Sectoral composition of employment (as a % of total employment)</w:t>
            </w:r>
          </w:p>
        </w:tc>
      </w:tr>
      <w:tr w:rsidR="00636FEA" w:rsidRPr="00636FEA" w14:paraId="623D9F72"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7AA523CD" w14:textId="77777777" w:rsidR="00636FEA" w:rsidRPr="00636FEA" w:rsidRDefault="00636FEA" w:rsidP="00636FEA">
            <w:pPr>
              <w:ind w:firstLineChars="100" w:firstLine="200"/>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Agriculture</w:t>
            </w:r>
          </w:p>
        </w:tc>
        <w:tc>
          <w:tcPr>
            <w:tcW w:w="1701" w:type="dxa"/>
            <w:noWrap/>
            <w:vAlign w:val="center"/>
            <w:hideMark/>
          </w:tcPr>
          <w:p w14:paraId="2C5B5959"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2.6</w:t>
            </w:r>
          </w:p>
        </w:tc>
        <w:tc>
          <w:tcPr>
            <w:tcW w:w="1701" w:type="dxa"/>
            <w:noWrap/>
            <w:vAlign w:val="center"/>
            <w:hideMark/>
          </w:tcPr>
          <w:p w14:paraId="477F7822" w14:textId="6A8656DA"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1.9</w:t>
            </w:r>
          </w:p>
        </w:tc>
        <w:tc>
          <w:tcPr>
            <w:tcW w:w="1843" w:type="dxa"/>
            <w:noWrap/>
            <w:vAlign w:val="center"/>
            <w:hideMark/>
          </w:tcPr>
          <w:p w14:paraId="0030912A"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659B638"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711AB22D" w14:textId="77777777" w:rsidR="00636FEA" w:rsidRPr="00636FEA" w:rsidRDefault="00636FEA" w:rsidP="00636FEA">
            <w:pPr>
              <w:ind w:firstLineChars="100" w:firstLine="200"/>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Construction</w:t>
            </w:r>
          </w:p>
        </w:tc>
        <w:tc>
          <w:tcPr>
            <w:tcW w:w="1701" w:type="dxa"/>
            <w:noWrap/>
            <w:vAlign w:val="center"/>
            <w:hideMark/>
          </w:tcPr>
          <w:p w14:paraId="283267CD"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9.4</w:t>
            </w:r>
          </w:p>
        </w:tc>
        <w:tc>
          <w:tcPr>
            <w:tcW w:w="1701" w:type="dxa"/>
            <w:noWrap/>
            <w:vAlign w:val="center"/>
            <w:hideMark/>
          </w:tcPr>
          <w:p w14:paraId="30C4FC44"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8.0</w:t>
            </w:r>
          </w:p>
        </w:tc>
        <w:tc>
          <w:tcPr>
            <w:tcW w:w="1843" w:type="dxa"/>
            <w:noWrap/>
            <w:vAlign w:val="center"/>
            <w:hideMark/>
          </w:tcPr>
          <w:p w14:paraId="100E798C"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0169300D"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AB04B54" w14:textId="77777777" w:rsidR="00636FEA" w:rsidRPr="00636FEA" w:rsidRDefault="00636FEA" w:rsidP="00636FEA">
            <w:pPr>
              <w:ind w:firstLineChars="100" w:firstLine="200"/>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Manufacturing</w:t>
            </w:r>
          </w:p>
        </w:tc>
        <w:tc>
          <w:tcPr>
            <w:tcW w:w="1701" w:type="dxa"/>
            <w:noWrap/>
            <w:vAlign w:val="center"/>
            <w:hideMark/>
          </w:tcPr>
          <w:p w14:paraId="284685D9"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10.7</w:t>
            </w:r>
          </w:p>
        </w:tc>
        <w:tc>
          <w:tcPr>
            <w:tcW w:w="1701" w:type="dxa"/>
            <w:noWrap/>
            <w:vAlign w:val="center"/>
            <w:hideMark/>
          </w:tcPr>
          <w:p w14:paraId="34898F61"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11.9</w:t>
            </w:r>
          </w:p>
        </w:tc>
        <w:tc>
          <w:tcPr>
            <w:tcW w:w="1843" w:type="dxa"/>
            <w:noWrap/>
            <w:vAlign w:val="center"/>
            <w:hideMark/>
          </w:tcPr>
          <w:p w14:paraId="1C4E42E6"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122D1EF"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3B650291" w14:textId="77777777" w:rsidR="00636FEA" w:rsidRPr="00636FEA" w:rsidRDefault="00636FEA" w:rsidP="00636FEA">
            <w:pPr>
              <w:ind w:firstLineChars="100" w:firstLine="200"/>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Services</w:t>
            </w:r>
          </w:p>
        </w:tc>
        <w:tc>
          <w:tcPr>
            <w:tcW w:w="1701" w:type="dxa"/>
            <w:noWrap/>
            <w:vAlign w:val="center"/>
            <w:hideMark/>
          </w:tcPr>
          <w:p w14:paraId="2D205616" w14:textId="3EBED64B"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77.3</w:t>
            </w:r>
          </w:p>
        </w:tc>
        <w:tc>
          <w:tcPr>
            <w:tcW w:w="1701" w:type="dxa"/>
            <w:noWrap/>
            <w:vAlign w:val="center"/>
            <w:hideMark/>
          </w:tcPr>
          <w:p w14:paraId="4C934E07" w14:textId="3A2FC0B5"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sidDel="004A5363">
              <w:rPr>
                <w:rFonts w:ascii="Calibri" w:eastAsia="Times New Roman" w:hAnsi="Calibri" w:cs="Calibri"/>
                <w:color w:val="000000"/>
                <w:sz w:val="20"/>
                <w:szCs w:val="20"/>
                <w:lang w:eastAsia="en-AU"/>
              </w:rPr>
              <w:t>7</w:t>
            </w:r>
            <w:r w:rsidRPr="00636FEA">
              <w:rPr>
                <w:rFonts w:ascii="Calibri" w:eastAsia="Times New Roman" w:hAnsi="Calibri" w:cs="Calibri"/>
                <w:color w:val="000000"/>
                <w:sz w:val="20"/>
                <w:szCs w:val="20"/>
                <w:lang w:eastAsia="en-AU"/>
              </w:rPr>
              <w:t>79.0</w:t>
            </w:r>
          </w:p>
        </w:tc>
        <w:tc>
          <w:tcPr>
            <w:tcW w:w="1843" w:type="dxa"/>
            <w:noWrap/>
            <w:vAlign w:val="center"/>
            <w:hideMark/>
          </w:tcPr>
          <w:p w14:paraId="4A2539AF"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52848841"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7FDC6BC0"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Gini coefficient (income Gini)</w:t>
            </w:r>
          </w:p>
        </w:tc>
        <w:tc>
          <w:tcPr>
            <w:tcW w:w="1701" w:type="dxa"/>
            <w:noWrap/>
            <w:vAlign w:val="center"/>
            <w:hideMark/>
          </w:tcPr>
          <w:p w14:paraId="461EB237"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0.323 (2015)</w:t>
            </w:r>
          </w:p>
        </w:tc>
        <w:tc>
          <w:tcPr>
            <w:tcW w:w="1701" w:type="dxa"/>
            <w:noWrap/>
            <w:vAlign w:val="center"/>
            <w:hideMark/>
          </w:tcPr>
          <w:p w14:paraId="22A7BF6D"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0.318 (2015)</w:t>
            </w:r>
          </w:p>
        </w:tc>
        <w:tc>
          <w:tcPr>
            <w:tcW w:w="1843" w:type="dxa"/>
            <w:noWrap/>
            <w:vAlign w:val="center"/>
            <w:hideMark/>
          </w:tcPr>
          <w:p w14:paraId="18676B1A"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F8D4418"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tcPr>
          <w:p w14:paraId="416C0E37"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Theme="minorHAnsi" w:hAnsiTheme="minorHAnsi" w:cstheme="minorHAnsi"/>
                <w:b w:val="0"/>
                <w:sz w:val="20"/>
                <w:szCs w:val="20"/>
              </w:rPr>
              <w:t>Average annual Gini growth rate, 2005-2015 (%)</w:t>
            </w:r>
          </w:p>
        </w:tc>
        <w:tc>
          <w:tcPr>
            <w:tcW w:w="1701" w:type="dxa"/>
            <w:noWrap/>
            <w:vAlign w:val="center"/>
          </w:tcPr>
          <w:p w14:paraId="696A1D55"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0.3</w:t>
            </w:r>
          </w:p>
        </w:tc>
        <w:tc>
          <w:tcPr>
            <w:tcW w:w="1701" w:type="dxa"/>
            <w:noWrap/>
            <w:vAlign w:val="center"/>
          </w:tcPr>
          <w:p w14:paraId="26F43F6A"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0.1</w:t>
            </w:r>
          </w:p>
        </w:tc>
        <w:tc>
          <w:tcPr>
            <w:tcW w:w="1843" w:type="dxa"/>
            <w:noWrap/>
            <w:vAlign w:val="center"/>
          </w:tcPr>
          <w:p w14:paraId="033190D1"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312B7839"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097A1FF8"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Poverty rate (% below national poverty line)</w:t>
            </w:r>
          </w:p>
        </w:tc>
        <w:tc>
          <w:tcPr>
            <w:tcW w:w="1701" w:type="dxa"/>
            <w:noWrap/>
            <w:vAlign w:val="center"/>
            <w:hideMark/>
          </w:tcPr>
          <w:p w14:paraId="2D293002"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12.8 (2014)</w:t>
            </w:r>
          </w:p>
        </w:tc>
        <w:tc>
          <w:tcPr>
            <w:tcW w:w="1701" w:type="dxa"/>
            <w:noWrap/>
            <w:vAlign w:val="center"/>
            <w:hideMark/>
          </w:tcPr>
          <w:p w14:paraId="20237812"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14.2 (2015)</w:t>
            </w:r>
          </w:p>
        </w:tc>
        <w:tc>
          <w:tcPr>
            <w:tcW w:w="1843" w:type="dxa"/>
            <w:noWrap/>
            <w:vAlign w:val="center"/>
            <w:hideMark/>
          </w:tcPr>
          <w:p w14:paraId="0BC21EFD"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23E65A99" w14:textId="77777777" w:rsidTr="00DE2D4D">
        <w:trPr>
          <w:trHeight w:val="289"/>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BAFF1E7"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Minimum relative to average wages of full-time workers (%)</w:t>
            </w:r>
          </w:p>
        </w:tc>
        <w:tc>
          <w:tcPr>
            <w:tcW w:w="1701" w:type="dxa"/>
            <w:noWrap/>
            <w:vAlign w:val="center"/>
            <w:hideMark/>
          </w:tcPr>
          <w:p w14:paraId="57E02AE5" w14:textId="144D96E4"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sidDel="000B4117">
              <w:rPr>
                <w:rFonts w:ascii="Calibri" w:eastAsia="Times New Roman" w:hAnsi="Calibri" w:cs="Calibri"/>
                <w:color w:val="000000"/>
                <w:sz w:val="20"/>
                <w:szCs w:val="20"/>
                <w:lang w:eastAsia="en-AU"/>
              </w:rPr>
              <w:t>4</w:t>
            </w:r>
            <w:r w:rsidRPr="00636FEA">
              <w:rPr>
                <w:rFonts w:ascii="Calibri" w:eastAsia="Times New Roman" w:hAnsi="Calibri" w:cs="Calibri"/>
                <w:color w:val="000000"/>
                <w:sz w:val="20"/>
                <w:szCs w:val="20"/>
                <w:lang w:eastAsia="en-AU"/>
              </w:rPr>
              <w:t>46.0 (2017)</w:t>
            </w:r>
          </w:p>
        </w:tc>
        <w:tc>
          <w:tcPr>
            <w:tcW w:w="1701" w:type="dxa"/>
            <w:noWrap/>
            <w:vAlign w:val="center"/>
            <w:hideMark/>
          </w:tcPr>
          <w:p w14:paraId="4DDA7652" w14:textId="12F84B4C"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41.0 (2017)</w:t>
            </w:r>
          </w:p>
        </w:tc>
        <w:tc>
          <w:tcPr>
            <w:tcW w:w="1843" w:type="dxa"/>
            <w:noWrap/>
            <w:vAlign w:val="center"/>
            <w:hideMark/>
          </w:tcPr>
          <w:p w14:paraId="50FA0D8A"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4C185987" w14:textId="77777777" w:rsidTr="00BB60D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72E75E6"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Theme="minorHAnsi" w:hAnsiTheme="minorHAnsi" w:cstheme="minorHAnsi"/>
                <w:b w:val="0"/>
                <w:sz w:val="20"/>
                <w:szCs w:val="20"/>
              </w:rPr>
              <w:t>Household disposable income per capita (USD)</w:t>
            </w:r>
          </w:p>
        </w:tc>
        <w:tc>
          <w:tcPr>
            <w:tcW w:w="1701" w:type="dxa"/>
            <w:noWrap/>
            <w:vAlign w:val="center"/>
          </w:tcPr>
          <w:p w14:paraId="2C6DDBFC"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Theme="minorHAnsi" w:hAnsiTheme="minorHAnsi" w:cstheme="minorHAnsi"/>
                <w:sz w:val="20"/>
                <w:szCs w:val="20"/>
              </w:rPr>
              <w:t>29,840 (2016)</w:t>
            </w:r>
          </w:p>
        </w:tc>
        <w:tc>
          <w:tcPr>
            <w:tcW w:w="1701" w:type="dxa"/>
            <w:noWrap/>
            <w:vAlign w:val="center"/>
          </w:tcPr>
          <w:p w14:paraId="0D9D2DD0"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Theme="minorHAnsi" w:hAnsiTheme="minorHAnsi" w:cstheme="minorHAnsi"/>
                <w:sz w:val="20"/>
                <w:szCs w:val="20"/>
              </w:rPr>
              <w:t>25,287 (2016)</w:t>
            </w:r>
          </w:p>
        </w:tc>
        <w:tc>
          <w:tcPr>
            <w:tcW w:w="1843" w:type="dxa"/>
            <w:noWrap/>
            <w:vAlign w:val="center"/>
          </w:tcPr>
          <w:p w14:paraId="61F3412E"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73413F0" w14:textId="77777777" w:rsidTr="00DE2D4D">
        <w:trPr>
          <w:trHeight w:val="289"/>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D2F6563"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Theme="minorHAnsi" w:hAnsiTheme="minorHAnsi" w:cstheme="minorHAnsi"/>
                <w:b w:val="0"/>
                <w:sz w:val="20"/>
                <w:szCs w:val="20"/>
              </w:rPr>
              <w:t>Household disposable income per capita average annual growth, 2006-2016 (%)</w:t>
            </w:r>
          </w:p>
        </w:tc>
        <w:tc>
          <w:tcPr>
            <w:tcW w:w="1701" w:type="dxa"/>
            <w:noWrap/>
            <w:vAlign w:val="center"/>
          </w:tcPr>
          <w:p w14:paraId="7E515C88"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2.9</w:t>
            </w:r>
          </w:p>
        </w:tc>
        <w:tc>
          <w:tcPr>
            <w:tcW w:w="1701" w:type="dxa"/>
            <w:noWrap/>
            <w:vAlign w:val="center"/>
          </w:tcPr>
          <w:p w14:paraId="1257B7E2"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2.5</w:t>
            </w:r>
          </w:p>
        </w:tc>
        <w:tc>
          <w:tcPr>
            <w:tcW w:w="1843" w:type="dxa"/>
            <w:noWrap/>
            <w:vAlign w:val="center"/>
          </w:tcPr>
          <w:p w14:paraId="4A3610EC"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30EA0BA9" w14:textId="77777777" w:rsidTr="00DE2D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3EDAEBC"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Theme="minorHAnsi" w:hAnsiTheme="minorHAnsi" w:cstheme="minorHAnsi"/>
                <w:b w:val="0"/>
                <w:sz w:val="20"/>
                <w:szCs w:val="20"/>
              </w:rPr>
              <w:t>Average annual wages growth, 2007-2017 (%)</w:t>
            </w:r>
          </w:p>
        </w:tc>
        <w:tc>
          <w:tcPr>
            <w:tcW w:w="1701" w:type="dxa"/>
            <w:noWrap/>
            <w:vAlign w:val="center"/>
          </w:tcPr>
          <w:p w14:paraId="10554641"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0.5</w:t>
            </w:r>
          </w:p>
        </w:tc>
        <w:tc>
          <w:tcPr>
            <w:tcW w:w="1701" w:type="dxa"/>
            <w:noWrap/>
            <w:vAlign w:val="center"/>
          </w:tcPr>
          <w:p w14:paraId="3274EAEE"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1.1</w:t>
            </w:r>
          </w:p>
        </w:tc>
        <w:tc>
          <w:tcPr>
            <w:tcW w:w="1843" w:type="dxa"/>
            <w:noWrap/>
            <w:vAlign w:val="center"/>
          </w:tcPr>
          <w:p w14:paraId="4A657298" w14:textId="77777777" w:rsidR="00636FEA" w:rsidRPr="00636FEA"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C8B4D25" w14:textId="77777777" w:rsidTr="00DE2D4D">
        <w:trPr>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1DCE0F17"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Collective bargaining coverage of workers (%)</w:t>
            </w:r>
          </w:p>
        </w:tc>
        <w:tc>
          <w:tcPr>
            <w:tcW w:w="1701" w:type="dxa"/>
            <w:noWrap/>
            <w:vAlign w:val="center"/>
            <w:hideMark/>
          </w:tcPr>
          <w:p w14:paraId="05259DC8" w14:textId="5A6D4BE5"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sidDel="000B4117">
              <w:rPr>
                <w:rFonts w:ascii="Calibri" w:eastAsia="Times New Roman" w:hAnsi="Calibri" w:cs="Calibri"/>
                <w:color w:val="000000"/>
                <w:sz w:val="20"/>
                <w:szCs w:val="20"/>
                <w:lang w:eastAsia="en-AU"/>
              </w:rPr>
              <w:t>4</w:t>
            </w:r>
            <w:r w:rsidRPr="00636FEA">
              <w:rPr>
                <w:rFonts w:ascii="Calibri" w:eastAsia="Times New Roman" w:hAnsi="Calibri" w:cs="Calibri"/>
                <w:color w:val="000000"/>
                <w:sz w:val="20"/>
                <w:szCs w:val="20"/>
                <w:lang w:eastAsia="en-AU"/>
              </w:rPr>
              <w:t>59.2 (2016)</w:t>
            </w:r>
          </w:p>
        </w:tc>
        <w:tc>
          <w:tcPr>
            <w:tcW w:w="1701" w:type="dxa"/>
            <w:noWrap/>
            <w:vAlign w:val="center"/>
            <w:hideMark/>
          </w:tcPr>
          <w:p w14:paraId="0F22AC85"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30.3 (2016)</w:t>
            </w:r>
          </w:p>
        </w:tc>
        <w:tc>
          <w:tcPr>
            <w:tcW w:w="1843" w:type="dxa"/>
            <w:noWrap/>
            <w:vAlign w:val="center"/>
            <w:hideMark/>
          </w:tcPr>
          <w:p w14:paraId="404119E5"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n.a.</w:t>
            </w:r>
          </w:p>
        </w:tc>
      </w:tr>
      <w:tr w:rsidR="00636FEA" w:rsidRPr="00636FEA" w14:paraId="18A3D90A" w14:textId="77777777" w:rsidTr="00DE2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271B4DF3" w14:textId="77777777" w:rsidR="00636FEA" w:rsidRPr="00541434" w:rsidRDefault="00636FEA" w:rsidP="00636FEA">
            <w:pPr>
              <w:rPr>
                <w:rFonts w:ascii="Calibri" w:eastAsia="Times New Roman" w:hAnsi="Calibri" w:cs="Calibri"/>
                <w:b w:val="0"/>
                <w:color w:val="000000"/>
                <w:sz w:val="20"/>
                <w:szCs w:val="20"/>
                <w:lang w:eastAsia="en-AU"/>
              </w:rPr>
            </w:pPr>
            <w:r w:rsidRPr="00541434">
              <w:rPr>
                <w:rFonts w:ascii="Calibri" w:eastAsia="Times New Roman" w:hAnsi="Calibri" w:cs="Calibri"/>
                <w:color w:val="000000"/>
                <w:sz w:val="20"/>
                <w:szCs w:val="20"/>
                <w:lang w:eastAsia="en-AU"/>
              </w:rPr>
              <w:t>Labour income share (%)</w:t>
            </w:r>
          </w:p>
        </w:tc>
        <w:tc>
          <w:tcPr>
            <w:tcW w:w="1701" w:type="dxa"/>
            <w:noWrap/>
            <w:vAlign w:val="center"/>
            <w:hideMark/>
          </w:tcPr>
          <w:p w14:paraId="5D8A1E05" w14:textId="77777777" w:rsidR="00636FEA" w:rsidRPr="00541434"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541434">
              <w:rPr>
                <w:rFonts w:ascii="Calibri" w:eastAsia="Times New Roman" w:hAnsi="Calibri" w:cs="Calibri"/>
                <w:color w:val="000000"/>
                <w:sz w:val="20"/>
                <w:szCs w:val="20"/>
                <w:lang w:eastAsia="en-AU"/>
              </w:rPr>
              <w:t>63.0 (2015)</w:t>
            </w:r>
          </w:p>
        </w:tc>
        <w:tc>
          <w:tcPr>
            <w:tcW w:w="1701" w:type="dxa"/>
            <w:noWrap/>
            <w:vAlign w:val="center"/>
            <w:hideMark/>
          </w:tcPr>
          <w:p w14:paraId="16AE8F3E" w14:textId="77777777" w:rsidR="00636FEA" w:rsidRPr="00541434"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541434">
              <w:rPr>
                <w:rFonts w:ascii="Calibri" w:eastAsia="Times New Roman" w:hAnsi="Calibri" w:cs="Calibri"/>
                <w:color w:val="000000"/>
                <w:sz w:val="20"/>
                <w:szCs w:val="20"/>
                <w:lang w:eastAsia="en-AU"/>
              </w:rPr>
              <w:t>60.6 (2015)</w:t>
            </w:r>
          </w:p>
        </w:tc>
        <w:tc>
          <w:tcPr>
            <w:tcW w:w="1843" w:type="dxa"/>
            <w:noWrap/>
            <w:vAlign w:val="center"/>
            <w:hideMark/>
          </w:tcPr>
          <w:p w14:paraId="41BA06CE" w14:textId="77777777" w:rsidR="00636FEA" w:rsidRPr="00541434" w:rsidRDefault="00636FEA" w:rsidP="00636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541434">
              <w:rPr>
                <w:rFonts w:ascii="Calibri" w:eastAsia="Times New Roman" w:hAnsi="Calibri" w:cs="Calibri"/>
                <w:color w:val="000000"/>
                <w:sz w:val="20"/>
                <w:szCs w:val="20"/>
                <w:lang w:eastAsia="en-AU"/>
              </w:rPr>
              <w:t>n.a.</w:t>
            </w:r>
          </w:p>
        </w:tc>
      </w:tr>
      <w:tr w:rsidR="00636FEA" w:rsidRPr="00636FEA" w14:paraId="4861FE31" w14:textId="77777777" w:rsidTr="00DE2D4D">
        <w:trPr>
          <w:trHeight w:val="600"/>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1F497D" w:themeColor="text2"/>
            </w:tcBorders>
            <w:vAlign w:val="center"/>
            <w:hideMark/>
          </w:tcPr>
          <w:p w14:paraId="60CA240E" w14:textId="77777777" w:rsidR="00636FEA" w:rsidRPr="00636FEA" w:rsidRDefault="00636FEA" w:rsidP="00636FEA">
            <w:pPr>
              <w:rPr>
                <w:rFonts w:ascii="Calibri" w:eastAsia="Times New Roman" w:hAnsi="Calibri" w:cs="Calibri"/>
                <w:b w:val="0"/>
                <w:color w:val="000000"/>
                <w:sz w:val="20"/>
                <w:szCs w:val="20"/>
                <w:lang w:eastAsia="en-AU"/>
              </w:rPr>
            </w:pPr>
            <w:r w:rsidRPr="00636FEA">
              <w:rPr>
                <w:rFonts w:ascii="Calibri" w:eastAsia="Times New Roman" w:hAnsi="Calibri" w:cs="Calibri"/>
                <w:b w:val="0"/>
                <w:color w:val="000000"/>
                <w:sz w:val="20"/>
                <w:szCs w:val="20"/>
                <w:lang w:eastAsia="en-AU"/>
              </w:rPr>
              <w:t>Adult education level (% of 25-64 year olds with upper secondary or tertiary education)</w:t>
            </w:r>
          </w:p>
        </w:tc>
        <w:tc>
          <w:tcPr>
            <w:tcW w:w="1701" w:type="dxa"/>
            <w:tcBorders>
              <w:bottom w:val="single" w:sz="8" w:space="0" w:color="1F497D" w:themeColor="text2"/>
            </w:tcBorders>
            <w:noWrap/>
            <w:vAlign w:val="center"/>
            <w:hideMark/>
          </w:tcPr>
          <w:p w14:paraId="45D61B9B"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81.0 (2017)</w:t>
            </w:r>
          </w:p>
        </w:tc>
        <w:tc>
          <w:tcPr>
            <w:tcW w:w="1701" w:type="dxa"/>
            <w:tcBorders>
              <w:bottom w:val="single" w:sz="8" w:space="0" w:color="1F497D" w:themeColor="text2"/>
            </w:tcBorders>
            <w:noWrap/>
            <w:vAlign w:val="center"/>
            <w:hideMark/>
          </w:tcPr>
          <w:p w14:paraId="41EDE013" w14:textId="2E056D41"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91.1 (2017)</w:t>
            </w:r>
          </w:p>
        </w:tc>
        <w:tc>
          <w:tcPr>
            <w:tcW w:w="1843" w:type="dxa"/>
            <w:tcBorders>
              <w:bottom w:val="single" w:sz="8" w:space="0" w:color="1F497D" w:themeColor="text2"/>
            </w:tcBorders>
            <w:noWrap/>
            <w:vAlign w:val="center"/>
            <w:hideMark/>
          </w:tcPr>
          <w:p w14:paraId="5DBA1FC7" w14:textId="77777777" w:rsidR="00636FEA" w:rsidRPr="00636FEA" w:rsidRDefault="00636FEA" w:rsidP="00636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636FEA">
              <w:rPr>
                <w:rFonts w:ascii="Calibri" w:eastAsia="Times New Roman" w:hAnsi="Calibri" w:cs="Calibri"/>
                <w:color w:val="000000"/>
                <w:sz w:val="20"/>
                <w:szCs w:val="20"/>
                <w:lang w:eastAsia="en-AU"/>
              </w:rPr>
              <w:t>79.7 (2017)</w:t>
            </w:r>
          </w:p>
        </w:tc>
      </w:tr>
    </w:tbl>
    <w:p w14:paraId="10B9F400" w14:textId="7318A0CB" w:rsidR="00636FEA" w:rsidRDefault="00636FEA" w:rsidP="000B649B">
      <w:pPr>
        <w:spacing w:line="240" w:lineRule="auto"/>
        <w:contextualSpacing/>
        <w:rPr>
          <w:rFonts w:asciiTheme="minorHAnsi" w:hAnsiTheme="minorHAnsi" w:cstheme="minorHAnsi"/>
          <w:sz w:val="20"/>
          <w:szCs w:val="20"/>
        </w:rPr>
      </w:pPr>
    </w:p>
    <w:p w14:paraId="3A623A54" w14:textId="5655BF83" w:rsidR="00636FEA" w:rsidRDefault="00636FEA" w:rsidP="000B649B">
      <w:pPr>
        <w:spacing w:line="240" w:lineRule="auto"/>
        <w:contextualSpacing/>
        <w:rPr>
          <w:rFonts w:asciiTheme="minorHAnsi" w:hAnsiTheme="minorHAnsi" w:cstheme="minorHAnsi"/>
          <w:sz w:val="20"/>
          <w:szCs w:val="20"/>
        </w:rPr>
      </w:pPr>
    </w:p>
    <w:p w14:paraId="649E8FA5" w14:textId="77777777" w:rsidR="000B649B" w:rsidRPr="00D05CFA" w:rsidRDefault="000B649B" w:rsidP="000B649B">
      <w:pPr>
        <w:spacing w:line="240" w:lineRule="auto"/>
        <w:contextualSpacing/>
        <w:rPr>
          <w:rFonts w:asciiTheme="minorHAnsi" w:hAnsiTheme="minorHAnsi" w:cstheme="minorHAnsi"/>
          <w:sz w:val="20"/>
          <w:szCs w:val="20"/>
        </w:rPr>
      </w:pPr>
    </w:p>
    <w:p w14:paraId="1EF459B9" w14:textId="16A76774" w:rsidR="0003006E" w:rsidRDefault="0003006E" w:rsidP="000B649B">
      <w:pPr>
        <w:rPr>
          <w:rFonts w:asciiTheme="minorHAnsi" w:hAnsiTheme="minorHAnsi" w:cstheme="minorHAnsi"/>
          <w:b/>
        </w:rPr>
      </w:pPr>
    </w:p>
    <w:p w14:paraId="6BFFDD77" w14:textId="77777777" w:rsidR="004F5FA5" w:rsidRPr="00B01960" w:rsidRDefault="004F5FA5" w:rsidP="004F5FA5">
      <w:pPr>
        <w:rPr>
          <w:rFonts w:asciiTheme="minorHAnsi" w:hAnsiTheme="minorHAnsi" w:cstheme="minorHAnsi"/>
          <w:b/>
        </w:rPr>
      </w:pPr>
    </w:p>
    <w:p w14:paraId="51E021BB" w14:textId="29D10DB6" w:rsidR="004F5FA5" w:rsidRPr="004A65A2" w:rsidRDefault="004F5FA5" w:rsidP="004F5FA5">
      <w:pPr>
        <w:keepNext/>
        <w:jc w:val="center"/>
        <w:rPr>
          <w:rFonts w:asciiTheme="minorHAnsi" w:hAnsiTheme="minorHAnsi" w:cstheme="minorHAnsi"/>
          <w:b/>
        </w:rPr>
      </w:pPr>
      <w:r>
        <w:rPr>
          <w:rFonts w:asciiTheme="minorHAnsi" w:hAnsiTheme="minorHAnsi" w:cstheme="minorHAnsi"/>
          <w:b/>
        </w:rPr>
        <w:t>Chart 1: Employment–p</w:t>
      </w:r>
      <w:r w:rsidRPr="004A65A2">
        <w:rPr>
          <w:rFonts w:asciiTheme="minorHAnsi" w:hAnsiTheme="minorHAnsi" w:cstheme="minorHAnsi"/>
          <w:b/>
        </w:rPr>
        <w:t>opulation ratio</w:t>
      </w:r>
      <w:r>
        <w:rPr>
          <w:rFonts w:asciiTheme="minorHAnsi" w:hAnsiTheme="minorHAnsi" w:cstheme="minorHAnsi"/>
          <w:b/>
        </w:rPr>
        <w:t xml:space="preserve"> (15-64 years)</w:t>
      </w:r>
    </w:p>
    <w:p w14:paraId="1E7AD462" w14:textId="77777777" w:rsidR="004F5FA5" w:rsidRDefault="004F5FA5" w:rsidP="004F5FA5">
      <w:pPr>
        <w:jc w:val="center"/>
        <w:rPr>
          <w:rFonts w:asciiTheme="minorHAnsi" w:hAnsiTheme="minorHAnsi" w:cstheme="minorHAnsi"/>
        </w:rPr>
      </w:pPr>
      <w:r>
        <w:rPr>
          <w:noProof/>
          <w:lang w:val="en-US"/>
        </w:rPr>
        <w:drawing>
          <wp:inline distT="0" distB="0" distL="0" distR="0" wp14:anchorId="474E9741" wp14:editId="2D0D8004">
            <wp:extent cx="4572000" cy="2743200"/>
            <wp:effectExtent l="0" t="0" r="0" b="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9327815" w14:textId="77777777" w:rsidR="004F5FA5" w:rsidRDefault="004F5FA5" w:rsidP="004F5FA5">
      <w:pPr>
        <w:jc w:val="center"/>
        <w:rPr>
          <w:rFonts w:asciiTheme="minorHAnsi" w:hAnsiTheme="minorHAnsi" w:cstheme="minorHAnsi"/>
          <w:b/>
        </w:rPr>
      </w:pPr>
    </w:p>
    <w:p w14:paraId="5035BE94" w14:textId="77777777" w:rsidR="004F5FA5" w:rsidRPr="00FE2A5E" w:rsidRDefault="004F5FA5" w:rsidP="004F5FA5">
      <w:pPr>
        <w:jc w:val="center"/>
        <w:rPr>
          <w:rFonts w:asciiTheme="minorHAnsi" w:hAnsiTheme="minorHAnsi" w:cstheme="minorHAnsi"/>
          <w:b/>
        </w:rPr>
      </w:pPr>
      <w:r w:rsidRPr="00FE2A5E">
        <w:rPr>
          <w:rFonts w:asciiTheme="minorHAnsi" w:hAnsiTheme="minorHAnsi" w:cstheme="minorHAnsi"/>
          <w:b/>
        </w:rPr>
        <w:t>Chart 2: Unemployment rate</w:t>
      </w:r>
      <w:r>
        <w:rPr>
          <w:rFonts w:asciiTheme="minorHAnsi" w:hAnsiTheme="minorHAnsi" w:cstheme="minorHAnsi"/>
          <w:b/>
        </w:rPr>
        <w:t xml:space="preserve"> (15 years and over)</w:t>
      </w:r>
    </w:p>
    <w:p w14:paraId="16D7FD06" w14:textId="5E96B052" w:rsidR="004F5FA5" w:rsidRDefault="004F5FA5" w:rsidP="004F5FA5">
      <w:pPr>
        <w:jc w:val="center"/>
        <w:rPr>
          <w:rFonts w:asciiTheme="minorHAnsi" w:hAnsiTheme="minorHAnsi" w:cstheme="minorHAnsi"/>
          <w:b/>
        </w:rPr>
      </w:pPr>
      <w:r>
        <w:rPr>
          <w:noProof/>
          <w:lang w:val="en-US"/>
        </w:rPr>
        <w:drawing>
          <wp:inline distT="0" distB="0" distL="0" distR="0" wp14:anchorId="79F4E667" wp14:editId="4337EC2A">
            <wp:extent cx="4572000" cy="274320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7127AC9" w14:textId="77777777" w:rsidR="004F5FA5" w:rsidRPr="00DD22BB" w:rsidRDefault="004F5FA5" w:rsidP="004F5FA5">
      <w:pPr>
        <w:keepNext/>
        <w:jc w:val="center"/>
        <w:rPr>
          <w:rFonts w:asciiTheme="minorHAnsi" w:hAnsiTheme="minorHAnsi" w:cstheme="minorHAnsi"/>
          <w:b/>
        </w:rPr>
      </w:pPr>
      <w:r w:rsidRPr="00DD22BB">
        <w:rPr>
          <w:rFonts w:asciiTheme="minorHAnsi" w:hAnsiTheme="minorHAnsi" w:cstheme="minorHAnsi"/>
          <w:b/>
        </w:rPr>
        <w:t xml:space="preserve">Chart </w:t>
      </w:r>
      <w:r>
        <w:rPr>
          <w:rFonts w:asciiTheme="minorHAnsi" w:hAnsiTheme="minorHAnsi" w:cstheme="minorHAnsi"/>
          <w:b/>
        </w:rPr>
        <w:t>3</w:t>
      </w:r>
      <w:r w:rsidRPr="00DD22BB">
        <w:rPr>
          <w:rFonts w:asciiTheme="minorHAnsi" w:hAnsiTheme="minorHAnsi" w:cstheme="minorHAnsi"/>
          <w:b/>
        </w:rPr>
        <w:t>: Incidence of long-term unemployment</w:t>
      </w:r>
      <w:r>
        <w:rPr>
          <w:rFonts w:asciiTheme="minorHAnsi" w:hAnsiTheme="minorHAnsi" w:cstheme="minorHAnsi"/>
          <w:b/>
        </w:rPr>
        <w:t xml:space="preserve"> (15 years and over)</w:t>
      </w:r>
    </w:p>
    <w:p w14:paraId="1AFD6649" w14:textId="77777777" w:rsidR="004F5FA5" w:rsidRDefault="004F5FA5" w:rsidP="004F5FA5">
      <w:pPr>
        <w:jc w:val="center"/>
        <w:rPr>
          <w:rFonts w:asciiTheme="minorHAnsi" w:hAnsiTheme="minorHAnsi" w:cstheme="minorHAnsi"/>
        </w:rPr>
      </w:pPr>
      <w:r>
        <w:rPr>
          <w:noProof/>
          <w:lang w:val="en-US"/>
        </w:rPr>
        <w:drawing>
          <wp:inline distT="0" distB="0" distL="0" distR="0" wp14:anchorId="536BCCB7" wp14:editId="699970EE">
            <wp:extent cx="4572000" cy="274320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asciiTheme="minorHAnsi" w:hAnsiTheme="minorHAnsi" w:cstheme="minorHAnsi"/>
        </w:rPr>
        <w:t xml:space="preserve"> </w:t>
      </w:r>
    </w:p>
    <w:p w14:paraId="7A299F4C" w14:textId="77777777" w:rsidR="004F5FA5" w:rsidRDefault="004F5FA5" w:rsidP="004F5FA5">
      <w:pPr>
        <w:jc w:val="center"/>
        <w:rPr>
          <w:rFonts w:asciiTheme="minorHAnsi" w:hAnsiTheme="minorHAnsi" w:cstheme="minorHAnsi"/>
        </w:rPr>
      </w:pPr>
    </w:p>
    <w:p w14:paraId="0649BC57" w14:textId="77777777" w:rsidR="004F5FA5" w:rsidRDefault="004F5FA5" w:rsidP="004F5FA5">
      <w:pPr>
        <w:spacing w:after="0" w:line="240" w:lineRule="auto"/>
        <w:ind w:left="1440"/>
        <w:rPr>
          <w:rFonts w:asciiTheme="minorHAnsi" w:hAnsiTheme="minorHAnsi" w:cstheme="minorHAnsi"/>
          <w:sz w:val="20"/>
          <w:szCs w:val="20"/>
        </w:rPr>
      </w:pPr>
      <w:r w:rsidRPr="003D6B6D">
        <w:rPr>
          <w:rFonts w:asciiTheme="minorHAnsi" w:hAnsiTheme="minorHAnsi" w:cstheme="minorHAnsi"/>
          <w:sz w:val="20"/>
          <w:szCs w:val="20"/>
        </w:rPr>
        <w:t>Note: The incidence of long-term unemployment is the proportion of all unemployed people</w:t>
      </w:r>
      <w:r>
        <w:rPr>
          <w:rFonts w:asciiTheme="minorHAnsi" w:hAnsiTheme="minorHAnsi" w:cstheme="minorHAnsi"/>
          <w:sz w:val="20"/>
          <w:szCs w:val="20"/>
        </w:rPr>
        <w:t xml:space="preserve"> aged 15 years and over</w:t>
      </w:r>
      <w:r w:rsidRPr="003D6B6D">
        <w:rPr>
          <w:rFonts w:asciiTheme="minorHAnsi" w:hAnsiTheme="minorHAnsi" w:cstheme="minorHAnsi"/>
          <w:sz w:val="20"/>
          <w:szCs w:val="20"/>
        </w:rPr>
        <w:t xml:space="preserve"> who have been unemployed for one year or over</w:t>
      </w:r>
    </w:p>
    <w:p w14:paraId="55CB0376" w14:textId="77777777" w:rsidR="004F5FA5" w:rsidRDefault="004F5FA5" w:rsidP="004F5FA5">
      <w:pPr>
        <w:spacing w:after="0" w:line="240" w:lineRule="auto"/>
        <w:rPr>
          <w:rFonts w:asciiTheme="minorHAnsi" w:hAnsiTheme="minorHAnsi" w:cstheme="minorHAnsi"/>
          <w:sz w:val="20"/>
          <w:szCs w:val="20"/>
        </w:rPr>
      </w:pPr>
    </w:p>
    <w:p w14:paraId="2D557D27" w14:textId="77777777" w:rsidR="004F5FA5" w:rsidRPr="003D6B6D" w:rsidRDefault="004F5FA5" w:rsidP="004F5FA5">
      <w:pPr>
        <w:spacing w:after="0" w:line="240" w:lineRule="auto"/>
        <w:rPr>
          <w:rFonts w:asciiTheme="minorHAnsi" w:hAnsiTheme="minorHAnsi" w:cstheme="minorHAnsi"/>
          <w:sz w:val="20"/>
          <w:szCs w:val="20"/>
        </w:rPr>
      </w:pPr>
    </w:p>
    <w:p w14:paraId="6850A600" w14:textId="77777777" w:rsidR="004F5FA5" w:rsidRPr="00DD22BB" w:rsidRDefault="004F5FA5" w:rsidP="004F5FA5">
      <w:pPr>
        <w:jc w:val="center"/>
        <w:rPr>
          <w:rFonts w:asciiTheme="minorHAnsi" w:hAnsiTheme="minorHAnsi" w:cstheme="minorHAnsi"/>
          <w:b/>
        </w:rPr>
      </w:pPr>
      <w:r w:rsidRPr="00DD22BB">
        <w:rPr>
          <w:rFonts w:asciiTheme="minorHAnsi" w:hAnsiTheme="minorHAnsi" w:cstheme="minorHAnsi"/>
          <w:b/>
        </w:rPr>
        <w:t xml:space="preserve">Chart </w:t>
      </w:r>
      <w:r>
        <w:rPr>
          <w:rFonts w:asciiTheme="minorHAnsi" w:hAnsiTheme="minorHAnsi" w:cstheme="minorHAnsi"/>
          <w:b/>
        </w:rPr>
        <w:t>4</w:t>
      </w:r>
      <w:r w:rsidRPr="00DD22BB">
        <w:rPr>
          <w:rFonts w:asciiTheme="minorHAnsi" w:hAnsiTheme="minorHAnsi" w:cstheme="minorHAnsi"/>
          <w:b/>
        </w:rPr>
        <w:t>: Youth unemployment rate</w:t>
      </w:r>
      <w:r>
        <w:rPr>
          <w:rFonts w:asciiTheme="minorHAnsi" w:hAnsiTheme="minorHAnsi" w:cstheme="minorHAnsi"/>
          <w:b/>
        </w:rPr>
        <w:t xml:space="preserve"> (15-24 years)</w:t>
      </w:r>
    </w:p>
    <w:p w14:paraId="78FD298F" w14:textId="77777777" w:rsidR="004F5FA5" w:rsidRDefault="004F5FA5" w:rsidP="004F5FA5">
      <w:pPr>
        <w:jc w:val="center"/>
        <w:rPr>
          <w:rFonts w:asciiTheme="minorHAnsi" w:hAnsiTheme="minorHAnsi" w:cstheme="minorHAnsi"/>
        </w:rPr>
      </w:pPr>
      <w:r>
        <w:rPr>
          <w:noProof/>
          <w:lang w:val="en-US"/>
        </w:rPr>
        <w:drawing>
          <wp:inline distT="0" distB="0" distL="0" distR="0" wp14:anchorId="3E8E3C3E" wp14:editId="71A9F1EF">
            <wp:extent cx="4572000" cy="274320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BF133F" w14:textId="5EA63FAA" w:rsidR="004F5FA5" w:rsidRPr="004F5FA5" w:rsidRDefault="004F5FA5" w:rsidP="004F5FA5">
      <w:pPr>
        <w:spacing w:after="0" w:line="240" w:lineRule="auto"/>
        <w:rPr>
          <w:rFonts w:asciiTheme="minorHAnsi" w:hAnsiTheme="minorHAnsi" w:cstheme="minorHAnsi"/>
          <w:sz w:val="20"/>
          <w:szCs w:val="20"/>
        </w:rPr>
      </w:pPr>
    </w:p>
    <w:p w14:paraId="30520F56" w14:textId="5EA63FAA" w:rsidR="004F5FA5" w:rsidRPr="0056016B" w:rsidRDefault="004F5FA5" w:rsidP="004F5FA5">
      <w:pPr>
        <w:keepNext/>
        <w:jc w:val="center"/>
        <w:rPr>
          <w:rFonts w:asciiTheme="minorHAnsi" w:hAnsiTheme="minorHAnsi" w:cstheme="minorHAnsi"/>
          <w:b/>
        </w:rPr>
      </w:pPr>
      <w:r w:rsidRPr="0056016B">
        <w:rPr>
          <w:rFonts w:asciiTheme="minorHAnsi" w:hAnsiTheme="minorHAnsi" w:cstheme="minorHAnsi"/>
          <w:b/>
        </w:rPr>
        <w:t xml:space="preserve">Chart </w:t>
      </w:r>
      <w:r>
        <w:rPr>
          <w:rFonts w:asciiTheme="minorHAnsi" w:hAnsiTheme="minorHAnsi" w:cstheme="minorHAnsi"/>
          <w:b/>
        </w:rPr>
        <w:t>5</w:t>
      </w:r>
      <w:r w:rsidRPr="0056016B">
        <w:rPr>
          <w:rFonts w:asciiTheme="minorHAnsi" w:hAnsiTheme="minorHAnsi" w:cstheme="minorHAnsi"/>
          <w:b/>
        </w:rPr>
        <w:t>: Female participation rate (15-64 years)</w:t>
      </w:r>
    </w:p>
    <w:p w14:paraId="789A0E18" w14:textId="43AF1251" w:rsidR="004F5FA5" w:rsidRDefault="004F5FA5" w:rsidP="004F5FA5">
      <w:pPr>
        <w:jc w:val="center"/>
        <w:rPr>
          <w:rFonts w:asciiTheme="minorHAnsi" w:hAnsiTheme="minorHAnsi" w:cstheme="minorHAnsi"/>
          <w:sz w:val="22"/>
        </w:rPr>
      </w:pPr>
      <w:r w:rsidRPr="0056016B">
        <w:rPr>
          <w:noProof/>
          <w:lang w:val="en-US"/>
        </w:rPr>
        <w:drawing>
          <wp:inline distT="0" distB="0" distL="0" distR="0" wp14:anchorId="1FB34EBE" wp14:editId="3CE09EAC">
            <wp:extent cx="4352925" cy="2855769"/>
            <wp:effectExtent l="0" t="0" r="0" b="190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62510" cy="2862057"/>
                    </a:xfrm>
                    <a:prstGeom prst="rect">
                      <a:avLst/>
                    </a:prstGeom>
                    <a:noFill/>
                    <a:ln>
                      <a:noFill/>
                    </a:ln>
                  </pic:spPr>
                </pic:pic>
              </a:graphicData>
            </a:graphic>
          </wp:inline>
        </w:drawing>
      </w:r>
    </w:p>
    <w:sectPr w:rsidR="004F5FA5" w:rsidSect="00794591">
      <w:headerReference w:type="default" r:id="rId84"/>
      <w:footerReference w:type="default" r:id="rId85"/>
      <w:headerReference w:type="first" r:id="rId86"/>
      <w:footerReference w:type="first" r:id="rId87"/>
      <w:pgSz w:w="11906" w:h="16838" w:code="277"/>
      <w:pgMar w:top="851"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851DD" w14:textId="77777777" w:rsidR="00633B37" w:rsidRDefault="00633B37" w:rsidP="002325B2">
      <w:pPr>
        <w:spacing w:after="0" w:line="240" w:lineRule="auto"/>
      </w:pPr>
      <w:r>
        <w:separator/>
      </w:r>
    </w:p>
  </w:endnote>
  <w:endnote w:type="continuationSeparator" w:id="0">
    <w:p w14:paraId="68BABA21" w14:textId="77777777" w:rsidR="00633B37" w:rsidRDefault="00633B37" w:rsidP="002325B2">
      <w:pPr>
        <w:spacing w:after="0" w:line="240" w:lineRule="auto"/>
      </w:pPr>
      <w:r>
        <w:continuationSeparator/>
      </w:r>
    </w:p>
  </w:endnote>
  <w:endnote w:type="continuationNotice" w:id="1">
    <w:p w14:paraId="71FDF0D0" w14:textId="77777777" w:rsidR="00633B37" w:rsidRDefault="00633B37">
      <w:pPr>
        <w:spacing w:after="0" w:line="240" w:lineRule="auto"/>
      </w:pPr>
    </w:p>
  </w:endnote>
  <w:endnote w:id="2">
    <w:p w14:paraId="00534FF3" w14:textId="492668AE" w:rsidR="00633B37" w:rsidRPr="009D47F7" w:rsidRDefault="00633B37" w:rsidP="008107B5">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As measured using the Gini coefficient. Productivity Commission, </w:t>
      </w:r>
      <w:hyperlink r:id="rId1" w:history="1">
        <w:r w:rsidRPr="009D47F7">
          <w:rPr>
            <w:rStyle w:val="Hyperlink"/>
            <w:rFonts w:ascii="Calibri" w:hAnsi="Calibri" w:cs="Calibri"/>
            <w:i/>
          </w:rPr>
          <w:t>Rising inequality? A stocktake of the evidence</w:t>
        </w:r>
      </w:hyperlink>
      <w:r w:rsidRPr="009D47F7">
        <w:rPr>
          <w:rFonts w:ascii="Calibri" w:hAnsi="Calibri" w:cs="Calibri"/>
          <w:i/>
        </w:rPr>
        <w:t xml:space="preserve">, </w:t>
      </w:r>
      <w:r w:rsidRPr="009D47F7">
        <w:rPr>
          <w:rFonts w:ascii="Calibri" w:hAnsi="Calibri" w:cs="Calibri"/>
        </w:rPr>
        <w:t>August</w:t>
      </w:r>
      <w:r w:rsidRPr="009D47F7">
        <w:rPr>
          <w:rFonts w:ascii="Calibri" w:hAnsi="Calibri" w:cs="Calibri"/>
          <w:i/>
        </w:rPr>
        <w:t xml:space="preserve"> </w:t>
      </w:r>
      <w:r w:rsidRPr="009D47F7">
        <w:rPr>
          <w:rFonts w:ascii="Calibri" w:hAnsi="Calibri" w:cs="Calibri"/>
        </w:rPr>
        <w:t>2018.</w:t>
      </w:r>
    </w:p>
  </w:endnote>
  <w:endnote w:id="3">
    <w:p w14:paraId="172ED999"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Australian Bureau of Statistics 2018, Labour Force, Cat. No. 6202.0 </w:t>
      </w:r>
    </w:p>
  </w:endnote>
  <w:endnote w:id="4">
    <w:p w14:paraId="5AE0642A" w14:textId="24FE592F" w:rsidR="00633B37" w:rsidRPr="009D47F7" w:rsidRDefault="00633B37">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See e.g. Australian Productivity Commission, </w:t>
      </w:r>
      <w:hyperlink r:id="rId2" w:history="1">
        <w:r w:rsidRPr="009D47F7">
          <w:rPr>
            <w:rStyle w:val="Hyperlink"/>
            <w:rFonts w:ascii="Calibri" w:hAnsi="Calibri" w:cs="Calibri"/>
            <w:i/>
            <w:lang w:val="en"/>
          </w:rPr>
          <w:t>Rising Protectionism: Challenges, threats and opportunities for Australia</w:t>
        </w:r>
      </w:hyperlink>
      <w:r w:rsidRPr="009D47F7">
        <w:rPr>
          <w:rFonts w:ascii="Calibri" w:hAnsi="Calibri" w:cs="Calibri"/>
        </w:rPr>
        <w:t>, September 2017.</w:t>
      </w:r>
    </w:p>
  </w:endnote>
  <w:endnote w:id="5">
    <w:p w14:paraId="7B5E7E86"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Evidence on how artificial intelligence (AI) will play out is still emerging. An October 2018 analysis by consultancy AlphaBeta commissioned by the Business Council of Australia titled </w:t>
      </w:r>
      <w:r w:rsidRPr="009D47F7">
        <w:rPr>
          <w:rFonts w:ascii="Calibri" w:hAnsi="Calibri" w:cs="Calibri"/>
          <w:i/>
        </w:rPr>
        <w:t>Adapt to Survive</w:t>
      </w:r>
      <w:r w:rsidRPr="009D47F7">
        <w:rPr>
          <w:rFonts w:ascii="Calibri" w:hAnsi="Calibri" w:cs="Calibri"/>
        </w:rPr>
        <w:t xml:space="preserve"> found Australian </w:t>
      </w:r>
      <w:r w:rsidRPr="009D47F7">
        <w:rPr>
          <w:rFonts w:ascii="Calibri" w:hAnsi="Calibri" w:cs="Calibri"/>
          <w:i/>
        </w:rPr>
        <w:t>jobs</w:t>
      </w:r>
      <w:r w:rsidRPr="009D47F7">
        <w:rPr>
          <w:rFonts w:ascii="Calibri" w:hAnsi="Calibri" w:cs="Calibri"/>
        </w:rPr>
        <w:t xml:space="preserve"> have experienced a 9.3% change in </w:t>
      </w:r>
      <w:r w:rsidRPr="009D47F7">
        <w:rPr>
          <w:rFonts w:ascii="Calibri" w:hAnsi="Calibri" w:cs="Calibri"/>
          <w:i/>
        </w:rPr>
        <w:t>tasks</w:t>
      </w:r>
      <w:r w:rsidRPr="009D47F7">
        <w:rPr>
          <w:rFonts w:ascii="Calibri" w:hAnsi="Calibri" w:cs="Calibri"/>
        </w:rPr>
        <w:t xml:space="preserve"> over the past five years, with workers spending approximately 2 fewer hours a week on automatable tasks (such as physical work and information analysis) and approximately 2 more hours a week on non-automatable tasks (such as interpersonal, creative, decision-making, and information synthesis tasks). Moreover, parts of the Australian labour market which have experienced faster change in </w:t>
      </w:r>
      <w:r w:rsidRPr="009D47F7">
        <w:rPr>
          <w:rFonts w:ascii="Calibri" w:hAnsi="Calibri" w:cs="Calibri"/>
          <w:i/>
        </w:rPr>
        <w:t>tasks</w:t>
      </w:r>
      <w:r w:rsidRPr="009D47F7">
        <w:rPr>
          <w:rFonts w:ascii="Calibri" w:hAnsi="Calibri" w:cs="Calibri"/>
        </w:rPr>
        <w:t xml:space="preserve"> had experienced lower rates of </w:t>
      </w:r>
      <w:r w:rsidRPr="009D47F7">
        <w:rPr>
          <w:rFonts w:ascii="Calibri" w:hAnsi="Calibri" w:cs="Calibri"/>
          <w:i/>
        </w:rPr>
        <w:t>job losses</w:t>
      </w:r>
      <w:r w:rsidRPr="009D47F7">
        <w:rPr>
          <w:rFonts w:ascii="Calibri" w:hAnsi="Calibri" w:cs="Calibri"/>
        </w:rPr>
        <w:t xml:space="preserve">, suggesting that adapting jobs to new technologies and processes may be able to increase job security. Over the period analysed, regionally based workers, low-skilled workers, males, and younger workers experienced higher rates of involuntary job change than other Australian cohorts. See AlphaBeta, </w:t>
      </w:r>
      <w:hyperlink r:id="rId3" w:history="1">
        <w:r w:rsidRPr="009D47F7">
          <w:rPr>
            <w:rStyle w:val="Hyperlink"/>
            <w:rFonts w:ascii="Calibri" w:hAnsi="Calibri" w:cs="Calibri"/>
            <w:i/>
          </w:rPr>
          <w:t>Adapt to survive: Mapping task change and job loss in the Australian workforce</w:t>
        </w:r>
      </w:hyperlink>
      <w:r w:rsidRPr="009D47F7">
        <w:rPr>
          <w:rFonts w:ascii="Calibri" w:hAnsi="Calibri" w:cs="Calibri"/>
        </w:rPr>
        <w:t>, October 2018.</w:t>
      </w:r>
    </w:p>
  </w:endnote>
  <w:endnote w:id="6">
    <w:p w14:paraId="7328CEDF"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Pew Research Centre, “</w:t>
      </w:r>
      <w:hyperlink r:id="rId4" w:history="1">
        <w:r w:rsidRPr="009D47F7">
          <w:rPr>
            <w:rStyle w:val="Hyperlink"/>
            <w:rFonts w:ascii="Calibri" w:hAnsi="Calibri" w:cs="Calibri"/>
          </w:rPr>
          <w:t>In Advanced and Emerging Economies Alike, Worries About Job Automation</w:t>
        </w:r>
      </w:hyperlink>
      <w:r w:rsidRPr="009D47F7">
        <w:rPr>
          <w:rFonts w:ascii="Calibri" w:hAnsi="Calibri" w:cs="Calibri"/>
        </w:rPr>
        <w:t>,” Sept 2018.</w:t>
      </w:r>
    </w:p>
  </w:endnote>
  <w:endnote w:id="7">
    <w:p w14:paraId="7F953E83" w14:textId="28F7326E"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International research points to robust correlations between socio-economic status, inequality, and trust in public institutions, e.g. Algan Y et al. “</w:t>
      </w:r>
      <w:hyperlink r:id="rId5" w:history="1">
        <w:r w:rsidRPr="009D47F7">
          <w:rPr>
            <w:rStyle w:val="Hyperlink"/>
            <w:rFonts w:ascii="Calibri" w:hAnsi="Calibri" w:cs="Calibri"/>
          </w:rPr>
          <w:t>The European Trust Crisis and the Rise of Populism</w:t>
        </w:r>
      </w:hyperlink>
      <w:r w:rsidRPr="009D47F7">
        <w:rPr>
          <w:rFonts w:ascii="Calibri" w:hAnsi="Calibri" w:cs="Calibri"/>
        </w:rPr>
        <w:t xml:space="preserve">,” Brookings Papers on Economic Activity (BPEA) Conference Drafts, September 7–8, 2017; OECD Centre for Opportunity and Equality, </w:t>
      </w:r>
      <w:hyperlink r:id="rId6" w:history="1">
        <w:r w:rsidRPr="009D47F7">
          <w:rPr>
            <w:rStyle w:val="Hyperlink"/>
            <w:rFonts w:ascii="Calibri" w:hAnsi="Calibri" w:cs="Calibri"/>
            <w:i/>
          </w:rPr>
          <w:t>Understanding the Socio-economic Divide in Europe</w:t>
        </w:r>
      </w:hyperlink>
      <w:r w:rsidRPr="009D47F7">
        <w:rPr>
          <w:rFonts w:ascii="Calibri" w:hAnsi="Calibri" w:cs="Calibri"/>
        </w:rPr>
        <w:t xml:space="preserve">, Jan 2017; OECD, “Figure 10.6: </w:t>
      </w:r>
      <w:hyperlink r:id="rId7" w:anchor="page1" w:history="1">
        <w:r w:rsidRPr="009D47F7">
          <w:rPr>
            <w:rStyle w:val="Hyperlink"/>
            <w:rFonts w:ascii="Calibri" w:hAnsi="Calibri" w:cs="Calibri"/>
          </w:rPr>
          <w:t>Income inequality and generalised trust across countries and US states</w:t>
        </w:r>
      </w:hyperlink>
      <w:r w:rsidRPr="009D47F7">
        <w:rPr>
          <w:rFonts w:ascii="Calibri" w:hAnsi="Calibri" w:cs="Calibri"/>
        </w:rPr>
        <w:t xml:space="preserve">,” in Stiglitz et al. (eds), </w:t>
      </w:r>
      <w:hyperlink r:id="rId8" w:history="1">
        <w:r w:rsidRPr="009D47F7">
          <w:rPr>
            <w:rStyle w:val="Hyperlink"/>
            <w:rFonts w:ascii="Calibri" w:hAnsi="Calibri" w:cs="Calibri"/>
            <w:i/>
          </w:rPr>
          <w:t>For Good Measure: Advancing Research on Well-being Metrics Beyond GDP</w:t>
        </w:r>
      </w:hyperlink>
      <w:r w:rsidRPr="009D47F7">
        <w:rPr>
          <w:rFonts w:ascii="Calibri" w:hAnsi="Calibri" w:cs="Calibri"/>
        </w:rPr>
        <w:t>, OECD Publishing, Paris, 2018; Sharan Burrow, “</w:t>
      </w:r>
      <w:hyperlink r:id="rId9" w:history="1">
        <w:r w:rsidRPr="009D47F7">
          <w:rPr>
            <w:rStyle w:val="Hyperlink"/>
            <w:rFonts w:ascii="Calibri" w:hAnsi="Calibri" w:cs="Calibri"/>
          </w:rPr>
          <w:t>A recipe for trust</w:t>
        </w:r>
      </w:hyperlink>
      <w:r w:rsidRPr="009D47F7">
        <w:rPr>
          <w:rFonts w:ascii="Calibri" w:hAnsi="Calibri" w:cs="Calibri"/>
        </w:rPr>
        <w:t xml:space="preserve">,” OECD Forum 2013; and </w:t>
      </w:r>
      <w:hyperlink r:id="rId10" w:history="1">
        <w:r w:rsidRPr="009D47F7">
          <w:rPr>
            <w:rStyle w:val="Hyperlink"/>
            <w:rFonts w:ascii="Calibri" w:hAnsi="Calibri" w:cs="Calibri"/>
          </w:rPr>
          <w:t>Edelman Trust Barometer</w:t>
        </w:r>
      </w:hyperlink>
      <w:r w:rsidRPr="009D47F7">
        <w:rPr>
          <w:rFonts w:ascii="Calibri" w:hAnsi="Calibri" w:cs="Calibri"/>
        </w:rPr>
        <w:t xml:space="preserve"> results for the mass population vs “informed public” (in the top 25% of household income per age group and with college educations).</w:t>
      </w:r>
    </w:p>
  </w:endnote>
  <w:endnote w:id="8">
    <w:p w14:paraId="1B8C3163" w14:textId="45B44AA9"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Museum of Australian Democracy, “</w:t>
      </w:r>
      <w:hyperlink r:id="rId11" w:history="1">
        <w:r w:rsidRPr="009D47F7">
          <w:rPr>
            <w:rStyle w:val="Hyperlink"/>
            <w:rFonts w:ascii="Calibri" w:hAnsi="Calibri" w:cs="Calibri"/>
          </w:rPr>
          <w:t>Who do you trust to run the country?</w:t>
        </w:r>
      </w:hyperlink>
      <w:r w:rsidRPr="009D47F7">
        <w:rPr>
          <w:rFonts w:ascii="Calibri" w:hAnsi="Calibri" w:cs="Calibri"/>
        </w:rPr>
        <w:t xml:space="preserve">” August 2018; and custom analysis by the Institute for Governance and Policy Analysis (IGPA) for the Museum of Australian Democracy, “Trust and Democracy in Australia,” October 2018 (available on request). See too Grattan Institute, </w:t>
      </w:r>
      <w:hyperlink r:id="rId12" w:history="1">
        <w:r w:rsidRPr="009D47F7">
          <w:rPr>
            <w:rStyle w:val="Hyperlink"/>
            <w:rFonts w:ascii="Calibri" w:hAnsi="Calibri" w:cs="Calibri"/>
            <w:i/>
          </w:rPr>
          <w:t>A Crisis of Trust: The Rise of Protest Politics in Australia</w:t>
        </w:r>
      </w:hyperlink>
      <w:r w:rsidRPr="009D47F7">
        <w:rPr>
          <w:rFonts w:ascii="Calibri" w:hAnsi="Calibri" w:cs="Calibri"/>
        </w:rPr>
        <w:t>, March 2018.</w:t>
      </w:r>
    </w:p>
  </w:endnote>
  <w:endnote w:id="9">
    <w:p w14:paraId="08F7ED45" w14:textId="2B27F7C8" w:rsidR="00633B37" w:rsidRPr="00541434" w:rsidRDefault="00633B37">
      <w:pPr>
        <w:pStyle w:val="EndnoteText"/>
        <w:rPr>
          <w:rFonts w:asciiTheme="minorHAnsi" w:hAnsiTheme="minorHAnsi"/>
          <w:lang w:val="en-CA"/>
        </w:rPr>
      </w:pPr>
      <w:r w:rsidRPr="00541434">
        <w:rPr>
          <w:rStyle w:val="EndnoteReference"/>
          <w:rFonts w:asciiTheme="minorHAnsi" w:hAnsiTheme="minorHAnsi"/>
        </w:rPr>
        <w:endnoteRef/>
      </w:r>
      <w:r w:rsidRPr="00541434">
        <w:rPr>
          <w:rFonts w:asciiTheme="minorHAnsi" w:hAnsiTheme="minorHAnsi"/>
        </w:rPr>
        <w:t xml:space="preserve"> </w:t>
      </w:r>
      <w:r>
        <w:rPr>
          <w:rFonts w:asciiTheme="minorHAnsi" w:hAnsiTheme="minorHAnsi"/>
        </w:rPr>
        <w:t>Ekos Politics, “</w:t>
      </w:r>
      <w:hyperlink r:id="rId13" w:history="1">
        <w:r w:rsidRPr="00695880">
          <w:rPr>
            <w:rStyle w:val="Hyperlink"/>
            <w:rFonts w:asciiTheme="minorHAnsi" w:hAnsiTheme="minorHAnsi"/>
          </w:rPr>
          <w:t>Rethinking Citizen Engagement</w:t>
        </w:r>
      </w:hyperlink>
      <w:r>
        <w:rPr>
          <w:rFonts w:asciiTheme="minorHAnsi" w:hAnsiTheme="minorHAnsi"/>
        </w:rPr>
        <w:t xml:space="preserve">”, 2017    </w:t>
      </w:r>
    </w:p>
  </w:endnote>
  <w:endnote w:id="10">
    <w:p w14:paraId="52607CF9" w14:textId="2AEA6346" w:rsidR="00633B37" w:rsidRPr="009D47F7" w:rsidRDefault="00633B37">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See e.g. Australian Productivity Commission, </w:t>
      </w:r>
      <w:hyperlink r:id="rId14" w:history="1">
        <w:r w:rsidRPr="009D47F7">
          <w:rPr>
            <w:rStyle w:val="Hyperlink"/>
            <w:rFonts w:ascii="Calibri" w:hAnsi="Calibri" w:cs="Calibri"/>
            <w:i/>
          </w:rPr>
          <w:t xml:space="preserve">Digital Disruption: </w:t>
        </w:r>
        <w:r w:rsidRPr="009D47F7">
          <w:rPr>
            <w:rStyle w:val="Hyperlink"/>
            <w:rFonts w:ascii="Calibri" w:hAnsi="Calibri" w:cs="Calibri"/>
            <w:i/>
            <w:lang w:val="en"/>
          </w:rPr>
          <w:t>What do governments need to do?</w:t>
        </w:r>
      </w:hyperlink>
      <w:r w:rsidRPr="009D47F7">
        <w:rPr>
          <w:rFonts w:ascii="Calibri" w:hAnsi="Calibri" w:cs="Calibri"/>
          <w:lang w:val="en"/>
        </w:rPr>
        <w:t xml:space="preserve"> June 2016; Grattan Institute, </w:t>
      </w:r>
      <w:hyperlink r:id="rId15" w:history="1">
        <w:r w:rsidRPr="009D47F7">
          <w:rPr>
            <w:rStyle w:val="Hyperlink"/>
            <w:rFonts w:ascii="Calibri" w:hAnsi="Calibri" w:cs="Calibri"/>
            <w:i/>
            <w:lang w:val="en"/>
          </w:rPr>
          <w:t>Competition in Australia: Too little of a good thing?</w:t>
        </w:r>
      </w:hyperlink>
      <w:r w:rsidRPr="009D47F7">
        <w:rPr>
          <w:rFonts w:ascii="Calibri" w:hAnsi="Calibri" w:cs="Calibri"/>
          <w:lang w:val="en"/>
        </w:rPr>
        <w:t xml:space="preserve"> December 2017.</w:t>
      </w:r>
    </w:p>
  </w:endnote>
  <w:endnote w:id="11">
    <w:p w14:paraId="1F31BDE7" w14:textId="7B61A784" w:rsidR="00633B37" w:rsidRPr="009D47F7" w:rsidRDefault="00633B37">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Small Business Digital Taskforce, </w:t>
      </w:r>
      <w:hyperlink r:id="rId16" w:history="1">
        <w:r w:rsidRPr="009D47F7">
          <w:rPr>
            <w:rStyle w:val="Hyperlink"/>
            <w:rFonts w:ascii="Calibri" w:hAnsi="Calibri" w:cs="Calibri"/>
            <w:i/>
          </w:rPr>
          <w:t>Report to Government</w:t>
        </w:r>
      </w:hyperlink>
      <w:r w:rsidRPr="009D47F7">
        <w:rPr>
          <w:rFonts w:ascii="Calibri" w:hAnsi="Calibri" w:cs="Calibri"/>
        </w:rPr>
        <w:t>, March 2018</w:t>
      </w:r>
    </w:p>
  </w:endnote>
  <w:endnote w:id="12">
    <w:p w14:paraId="1DE18C3F" w14:textId="51EBF824" w:rsidR="00633B37" w:rsidRPr="009D47F7" w:rsidRDefault="00633B37">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Australian Productivity Commission, </w:t>
      </w:r>
      <w:hyperlink r:id="rId17" w:history="1">
        <w:r w:rsidRPr="009D47F7">
          <w:rPr>
            <w:rStyle w:val="Hyperlink"/>
            <w:rFonts w:ascii="Calibri" w:hAnsi="Calibri" w:cs="Calibri"/>
          </w:rPr>
          <w:t>Data Availability and Use</w:t>
        </w:r>
      </w:hyperlink>
      <w:r w:rsidRPr="009D47F7">
        <w:rPr>
          <w:rFonts w:ascii="Calibri" w:hAnsi="Calibri" w:cs="Calibri"/>
        </w:rPr>
        <w:t>, Productivity Commission Inquiry Report No. 82, March 2017.</w:t>
      </w:r>
    </w:p>
  </w:endnote>
  <w:endnote w:id="13">
    <w:p w14:paraId="3AED7C23"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For example, Australian FinTech start-ups welcome robust regulation, as this promotes consumer confidence. Data from the Office of the Australian Information Commissioner (OAIC) indicates 58% of Australians avoid dealing with businesses they have privacy concerns about. OAIC, </w:t>
      </w:r>
      <w:hyperlink r:id="rId18" w:history="1">
        <w:r w:rsidRPr="009D47F7">
          <w:rPr>
            <w:rStyle w:val="Hyperlink"/>
            <w:rFonts w:ascii="Calibri" w:hAnsi="Calibri" w:cs="Calibri"/>
            <w:i/>
          </w:rPr>
          <w:t>Australian Community Attitudes to Privacy Survey</w:t>
        </w:r>
      </w:hyperlink>
      <w:r w:rsidRPr="009D47F7">
        <w:rPr>
          <w:rFonts w:ascii="Calibri" w:hAnsi="Calibri" w:cs="Calibri"/>
        </w:rPr>
        <w:t>, 2017.</w:t>
      </w:r>
    </w:p>
  </w:endnote>
  <w:endnote w:id="14">
    <w:p w14:paraId="43C01E8F"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More immediately, as of July 1, 2018, the Australian Government has charged goods and services tax on low-value imported goods purchased from overseas companies with an annual Australian turnover of at least $75,000, helping to level the playing field between Australian retailers and e-commerce companies overseas.</w:t>
      </w:r>
    </w:p>
  </w:endnote>
  <w:endnote w:id="15">
    <w:p w14:paraId="711986F0" w14:textId="5B5B50D5" w:rsidR="00633B37" w:rsidRPr="009D47F7" w:rsidRDefault="00633B37">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Royal Commission into Misconduct in the Banking, Superannuation and Financial Services Industries, </w:t>
      </w:r>
      <w:hyperlink r:id="rId19" w:history="1">
        <w:r w:rsidRPr="009D47F7">
          <w:rPr>
            <w:rStyle w:val="Hyperlink"/>
            <w:rFonts w:ascii="Calibri" w:hAnsi="Calibri" w:cs="Calibri"/>
            <w:i/>
          </w:rPr>
          <w:t>Interim Report</w:t>
        </w:r>
      </w:hyperlink>
      <w:r w:rsidRPr="009D47F7">
        <w:rPr>
          <w:rFonts w:ascii="Calibri" w:hAnsi="Calibri" w:cs="Calibri"/>
        </w:rPr>
        <w:t>, September 2018.</w:t>
      </w:r>
    </w:p>
  </w:endnote>
  <w:endnote w:id="16">
    <w:p w14:paraId="3C61379B"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w:t>
      </w:r>
      <w:r w:rsidRPr="009D47F7">
        <w:rPr>
          <w:rFonts w:ascii="Calibri" w:hAnsi="Calibri" w:cs="Calibri"/>
          <w:color w:val="000000"/>
        </w:rPr>
        <w:t xml:space="preserve">OECD, </w:t>
      </w:r>
      <w:hyperlink r:id="rId20" w:history="1">
        <w:r w:rsidRPr="009D47F7">
          <w:rPr>
            <w:rStyle w:val="Hyperlink"/>
            <w:rFonts w:ascii="Calibri" w:hAnsi="Calibri" w:cs="Calibri"/>
            <w:i/>
            <w:iCs/>
          </w:rPr>
          <w:t>The Productivity-Inclusiveness Nexus</w:t>
        </w:r>
      </w:hyperlink>
      <w:r w:rsidRPr="009D47F7">
        <w:rPr>
          <w:rFonts w:ascii="Calibri" w:hAnsi="Calibri" w:cs="Calibri"/>
          <w:color w:val="000000"/>
        </w:rPr>
        <w:t>, OECD Publishing, Paris, 2018.</w:t>
      </w:r>
    </w:p>
  </w:endnote>
  <w:endnote w:id="17">
    <w:p w14:paraId="789EFF1C" w14:textId="77777777" w:rsidR="00633B37" w:rsidRPr="009D47F7" w:rsidRDefault="00633B37" w:rsidP="000B649B">
      <w:pPr>
        <w:pStyle w:val="EndnoteText"/>
        <w:rPr>
          <w:rFonts w:ascii="Calibri" w:hAnsi="Calibri" w:cs="Calibri"/>
          <w:lang w:val="en-CA"/>
        </w:rPr>
      </w:pPr>
      <w:r w:rsidRPr="009D47F7">
        <w:rPr>
          <w:rStyle w:val="EndnoteReference"/>
          <w:rFonts w:ascii="Calibri" w:hAnsi="Calibri" w:cs="Calibri"/>
        </w:rPr>
        <w:endnoteRef/>
      </w:r>
      <w:r w:rsidRPr="009D47F7">
        <w:rPr>
          <w:rFonts w:ascii="Calibri" w:hAnsi="Calibri" w:cs="Calibri"/>
        </w:rPr>
        <w:t xml:space="preserve"> </w:t>
      </w:r>
      <w:r w:rsidRPr="009D47F7">
        <w:rPr>
          <w:rFonts w:ascii="Calibri" w:hAnsi="Calibri" w:cs="Calibri"/>
          <w:lang w:val="en-CA"/>
        </w:rPr>
        <w:t xml:space="preserve">Gu W, Ratté S, Beiling Y, “Long Run Productivity Dispersion in Canadian Manufacturing”, </w:t>
      </w:r>
      <w:r w:rsidRPr="009D47F7">
        <w:rPr>
          <w:rFonts w:ascii="Calibri" w:hAnsi="Calibri" w:cs="Calibri"/>
          <w:i/>
          <w:lang w:val="en-CA"/>
        </w:rPr>
        <w:t>Statistics Canada Economic Insights</w:t>
      </w:r>
      <w:r w:rsidRPr="009D47F7">
        <w:rPr>
          <w:rFonts w:ascii="Calibri" w:hAnsi="Calibri" w:cs="Calibri"/>
          <w:lang w:val="en-CA"/>
        </w:rPr>
        <w:t>, 11-626-X2018084,</w:t>
      </w:r>
      <w:r w:rsidRPr="009D47F7">
        <w:rPr>
          <w:rFonts w:ascii="Calibri" w:hAnsi="Calibri" w:cs="Calibri"/>
          <w:i/>
          <w:lang w:val="en-CA"/>
        </w:rPr>
        <w:t xml:space="preserve"> </w:t>
      </w:r>
      <w:r w:rsidRPr="009D47F7">
        <w:rPr>
          <w:rFonts w:ascii="Calibri" w:hAnsi="Calibri" w:cs="Calibri"/>
          <w:lang w:val="en-CA"/>
        </w:rPr>
        <w:t>2018.</w:t>
      </w:r>
    </w:p>
  </w:endnote>
  <w:endnote w:id="18">
    <w:p w14:paraId="06ADD228" w14:textId="77777777" w:rsidR="00633B37" w:rsidRPr="009D47F7" w:rsidRDefault="00633B37" w:rsidP="000B649B">
      <w:pPr>
        <w:pStyle w:val="EndnoteText"/>
        <w:rPr>
          <w:rFonts w:ascii="Calibri" w:hAnsi="Calibri" w:cs="Calibri"/>
          <w:lang w:val="en-CA"/>
        </w:rPr>
      </w:pPr>
      <w:r w:rsidRPr="009D47F7">
        <w:rPr>
          <w:rStyle w:val="EndnoteReference"/>
          <w:rFonts w:ascii="Calibri" w:hAnsi="Calibri" w:cs="Calibri"/>
        </w:rPr>
        <w:endnoteRef/>
      </w:r>
      <w:r w:rsidRPr="009D47F7">
        <w:rPr>
          <w:rFonts w:ascii="Calibri" w:hAnsi="Calibri" w:cs="Calibri"/>
        </w:rPr>
        <w:t xml:space="preserve"> Andrews D, Criscuolo C, Gal P, “The Global Productivity Slowdown, Technology Divergence and Public Policy: A Firm Level Perspective”, </w:t>
      </w:r>
      <w:r w:rsidRPr="009D47F7">
        <w:rPr>
          <w:rFonts w:ascii="Calibri" w:hAnsi="Calibri" w:cs="Calibri"/>
          <w:i/>
        </w:rPr>
        <w:t>Hutchins Center Working Paper</w:t>
      </w:r>
      <w:r w:rsidRPr="009D47F7">
        <w:rPr>
          <w:rFonts w:ascii="Calibri" w:hAnsi="Calibri" w:cs="Calibri"/>
        </w:rPr>
        <w:t>, #24,</w:t>
      </w:r>
      <w:r w:rsidRPr="009D47F7">
        <w:rPr>
          <w:rFonts w:ascii="Calibri" w:hAnsi="Calibri" w:cs="Calibri"/>
          <w:i/>
        </w:rPr>
        <w:t xml:space="preserve"> </w:t>
      </w:r>
      <w:r w:rsidRPr="009D47F7">
        <w:rPr>
          <w:rFonts w:ascii="Calibri" w:hAnsi="Calibri" w:cs="Calibri"/>
        </w:rPr>
        <w:t>2016.</w:t>
      </w:r>
    </w:p>
  </w:endnote>
  <w:endnote w:id="19">
    <w:p w14:paraId="5563FB1B"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OECD, “</w:t>
      </w:r>
      <w:hyperlink r:id="rId21" w:history="1">
        <w:r w:rsidRPr="009D47F7">
          <w:rPr>
            <w:rStyle w:val="Hyperlink"/>
            <w:rFonts w:ascii="Calibri" w:hAnsi="Calibri" w:cs="Calibri"/>
          </w:rPr>
          <w:t>Future of Work and Skills</w:t>
        </w:r>
      </w:hyperlink>
      <w:r w:rsidRPr="009D47F7">
        <w:rPr>
          <w:rFonts w:ascii="Calibri" w:hAnsi="Calibri" w:cs="Calibri"/>
        </w:rPr>
        <w:t>,” Paper Presented at the 2nd Meeting of the G20 Employment Working Group, 15–17 February 2017.</w:t>
      </w:r>
    </w:p>
  </w:endnote>
  <w:endnote w:id="20">
    <w:p w14:paraId="77A52BF2"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Frey CB, Osborne M, “The future of employment: How susceptible are jobs to computerisation?”, Oxford Martin Programme on Technology and Innovation Working Paper, 2013.</w:t>
      </w:r>
    </w:p>
  </w:endnote>
  <w:endnote w:id="21">
    <w:p w14:paraId="48A207C0" w14:textId="21AE29BC" w:rsidR="00633B37" w:rsidRDefault="00633B37">
      <w:pPr>
        <w:pStyle w:val="EndnoteText"/>
      </w:pPr>
      <w:r>
        <w:rPr>
          <w:rStyle w:val="EndnoteReference"/>
        </w:rPr>
        <w:endnoteRef/>
      </w:r>
      <w:r>
        <w:t xml:space="preserve"> </w:t>
      </w:r>
      <w:r w:rsidRPr="009D47F7">
        <w:rPr>
          <w:rFonts w:ascii="Calibri" w:hAnsi="Calibri" w:cs="Calibri"/>
        </w:rPr>
        <w:t xml:space="preserve">See e.g. OECD, </w:t>
      </w:r>
      <w:hyperlink r:id="rId22" w:history="1">
        <w:r w:rsidRPr="009D47F7">
          <w:rPr>
            <w:rStyle w:val="Hyperlink"/>
            <w:rFonts w:ascii="Calibri" w:hAnsi="Calibri" w:cs="Calibri"/>
            <w:i/>
          </w:rPr>
          <w:t>Trust and Public Policy: How Better Governance Can Help Rebuild Public Trust</w:t>
        </w:r>
      </w:hyperlink>
      <w:r w:rsidRPr="009D47F7">
        <w:rPr>
          <w:rFonts w:ascii="Calibri" w:hAnsi="Calibri" w:cs="Calibri"/>
        </w:rPr>
        <w:t>, March 2017.</w:t>
      </w:r>
    </w:p>
  </w:endnote>
  <w:endnote w:id="22">
    <w:p w14:paraId="1693EDC2" w14:textId="4B3C23FB"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“9 out of 10 regard themselves as without influence over the federal level of government and 7 of 10 come to the same conclusion about other levels of government”—Evans M, Halupka M, Stoker G, </w:t>
      </w:r>
      <w:hyperlink r:id="rId23" w:history="1">
        <w:r w:rsidRPr="009D47F7">
          <w:rPr>
            <w:rStyle w:val="Hyperlink"/>
            <w:rFonts w:ascii="Calibri" w:hAnsi="Calibri" w:cs="Calibri"/>
            <w:i/>
          </w:rPr>
          <w:t>How Australians Imagine Their Democracy: The “Power of Us”</w:t>
        </w:r>
      </w:hyperlink>
      <w:r w:rsidRPr="009D47F7">
        <w:rPr>
          <w:rFonts w:ascii="Calibri" w:hAnsi="Calibri" w:cs="Calibri"/>
        </w:rPr>
        <w:t xml:space="preserve">, Institute for Governance and Policy Analysis, Canberra, 2017; see too Evans M, Halupka M, and Stoker G, </w:t>
      </w:r>
      <w:hyperlink r:id="rId24" w:history="1">
        <w:r w:rsidRPr="009D47F7">
          <w:rPr>
            <w:rStyle w:val="Hyperlink"/>
            <w:rFonts w:ascii="Calibri" w:hAnsi="Calibri" w:cs="Calibri"/>
            <w:i/>
          </w:rPr>
          <w:t>The Power of One Voice – Power, Powerlessness and Australian Democracy</w:t>
        </w:r>
      </w:hyperlink>
      <w:r w:rsidRPr="009D47F7">
        <w:rPr>
          <w:rFonts w:ascii="Calibri" w:hAnsi="Calibri" w:cs="Calibri"/>
        </w:rPr>
        <w:t>, Institute for Governance and Policy Analysis, Canberra, 2015.</w:t>
      </w:r>
    </w:p>
  </w:endnote>
  <w:endnote w:id="23">
    <w:p w14:paraId="4414F548" w14:textId="4F6B99C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The lack of transparency around the influence of lobbyists in national policy-making in Australia was the target of a recent critical report by the think tank the Grattan Institute, and was cited as one reason for citizens’ distrust of policy-making processes. See Grattan Institute, </w:t>
      </w:r>
      <w:hyperlink r:id="rId25" w:history="1">
        <w:r w:rsidRPr="009D47F7">
          <w:rPr>
            <w:rStyle w:val="Hyperlink"/>
            <w:rFonts w:ascii="Calibri" w:hAnsi="Calibri" w:cs="Calibri"/>
            <w:i/>
          </w:rPr>
          <w:t>Who’s In the Room: Access and Influence in Australian Politics</w:t>
        </w:r>
      </w:hyperlink>
      <w:r w:rsidRPr="009D47F7">
        <w:rPr>
          <w:rFonts w:ascii="Calibri" w:hAnsi="Calibri" w:cs="Calibri"/>
        </w:rPr>
        <w:t>, Sept 2018.</w:t>
      </w:r>
    </w:p>
  </w:endnote>
  <w:endnote w:id="24">
    <w:p w14:paraId="7312A1C5" w14:textId="4FC0033A"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w:t>
      </w:r>
      <w:hyperlink r:id="rId26" w:history="1">
        <w:r w:rsidRPr="009D47F7">
          <w:rPr>
            <w:rStyle w:val="Hyperlink"/>
            <w:rFonts w:ascii="Calibri" w:hAnsi="Calibri" w:cs="Calibri"/>
          </w:rPr>
          <w:t>Dr Martin Parkinson: Brexit, multilateralism and how the media impacts policy work</w:t>
        </w:r>
      </w:hyperlink>
      <w:r w:rsidRPr="009D47F7">
        <w:rPr>
          <w:rFonts w:ascii="Calibri" w:hAnsi="Calibri" w:cs="Calibri"/>
        </w:rPr>
        <w:t xml:space="preserve">,” </w:t>
      </w:r>
      <w:r w:rsidRPr="009D47F7">
        <w:rPr>
          <w:rFonts w:ascii="Calibri" w:hAnsi="Calibri" w:cs="Calibri"/>
          <w:i/>
        </w:rPr>
        <w:t>The Mandarin</w:t>
      </w:r>
      <w:r w:rsidRPr="009D47F7">
        <w:rPr>
          <w:rFonts w:ascii="Calibri" w:hAnsi="Calibri" w:cs="Calibri"/>
        </w:rPr>
        <w:t>, 19 Oct 2018.</w:t>
      </w:r>
    </w:p>
  </w:endnote>
  <w:endnote w:id="25">
    <w:p w14:paraId="2CD501DF"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Australia’s Engagement Framework is an example of policy cross-pollination between Canada, adopting the Ontario Provincial Government’s conceptualization of engagement and participation.</w:t>
      </w:r>
    </w:p>
  </w:endnote>
  <w:endnote w:id="26">
    <w:p w14:paraId="02B592DF"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Australia is seeking to address this by deploying a </w:t>
      </w:r>
      <w:hyperlink r:id="rId27" w:history="1">
        <w:r w:rsidRPr="009D47F7">
          <w:rPr>
            <w:rStyle w:val="Hyperlink"/>
            <w:rFonts w:ascii="Calibri" w:hAnsi="Calibri" w:cs="Calibri"/>
          </w:rPr>
          <w:t>National Broadband Network</w:t>
        </w:r>
      </w:hyperlink>
      <w:r w:rsidRPr="009D47F7">
        <w:rPr>
          <w:rFonts w:ascii="Calibri" w:hAnsi="Calibri" w:cs="Calibri"/>
        </w:rPr>
        <w:t>.</w:t>
      </w:r>
    </w:p>
  </w:endnote>
  <w:endnote w:id="27">
    <w:p w14:paraId="0AD013BC" w14:textId="77777777" w:rsidR="00633B37" w:rsidRPr="009D47F7" w:rsidRDefault="00633B37" w:rsidP="000B649B">
      <w:pPr>
        <w:pStyle w:val="EndnoteText"/>
        <w:rPr>
          <w:rFonts w:ascii="Calibri" w:hAnsi="Calibri" w:cs="Calibri"/>
        </w:rPr>
      </w:pPr>
      <w:r w:rsidRPr="009D47F7">
        <w:rPr>
          <w:rStyle w:val="EndnoteReference"/>
          <w:rFonts w:ascii="Calibri" w:hAnsi="Calibri" w:cs="Calibri"/>
        </w:rPr>
        <w:endnoteRef/>
      </w:r>
      <w:r w:rsidRPr="009D47F7">
        <w:rPr>
          <w:rFonts w:ascii="Calibri" w:hAnsi="Calibri" w:cs="Calibri"/>
        </w:rPr>
        <w:t xml:space="preserve"> For media debate on MyHealth Record, see e.g. “</w:t>
      </w:r>
      <w:hyperlink r:id="rId28" w:history="1">
        <w:r w:rsidRPr="009D47F7">
          <w:rPr>
            <w:rStyle w:val="Hyperlink"/>
            <w:rFonts w:ascii="Calibri" w:hAnsi="Calibri" w:cs="Calibri"/>
          </w:rPr>
          <w:t>Experts say My Health Record is 10 years out of date and other countries have abandoned similar systems</w:t>
        </w:r>
      </w:hyperlink>
      <w:r w:rsidRPr="009D47F7">
        <w:rPr>
          <w:rFonts w:ascii="Calibri" w:hAnsi="Calibri" w:cs="Calibri"/>
        </w:rPr>
        <w:t xml:space="preserve">”, </w:t>
      </w:r>
      <w:r w:rsidRPr="009D47F7">
        <w:rPr>
          <w:rFonts w:ascii="Calibri" w:hAnsi="Calibri" w:cs="Calibri"/>
          <w:i/>
        </w:rPr>
        <w:t>ABC News</w:t>
      </w:r>
      <w:r w:rsidRPr="009D47F7">
        <w:rPr>
          <w:rFonts w:ascii="Calibri" w:hAnsi="Calibri" w:cs="Calibri"/>
        </w:rPr>
        <w:t>, 7 Dec 2018 vs “</w:t>
      </w:r>
      <w:hyperlink r:id="rId29" w:history="1">
        <w:r w:rsidRPr="009D47F7">
          <w:rPr>
            <w:rStyle w:val="Hyperlink"/>
            <w:rFonts w:ascii="Calibri" w:hAnsi="Calibri" w:cs="Calibri"/>
          </w:rPr>
          <w:t>Australia leads the world in personal control of electronic health records</w:t>
        </w:r>
      </w:hyperlink>
      <w:r w:rsidRPr="009D47F7">
        <w:rPr>
          <w:rFonts w:ascii="Calibri" w:hAnsi="Calibri" w:cs="Calibri"/>
        </w:rPr>
        <w:t xml:space="preserve">,” </w:t>
      </w:r>
      <w:r w:rsidRPr="009D47F7">
        <w:rPr>
          <w:rFonts w:ascii="Calibri" w:hAnsi="Calibri" w:cs="Calibri"/>
          <w:i/>
        </w:rPr>
        <w:t>Healthcare IT News</w:t>
      </w:r>
      <w:r w:rsidRPr="009D47F7">
        <w:rPr>
          <w:rFonts w:ascii="Calibri" w:hAnsi="Calibri" w:cs="Calibri"/>
        </w:rPr>
        <w:t>, 12 Dec 2018. For media debate on myGovID, see e.g. “</w:t>
      </w:r>
      <w:hyperlink r:id="rId30" w:history="1">
        <w:r w:rsidRPr="009D47F7">
          <w:rPr>
            <w:rStyle w:val="Hyperlink"/>
            <w:rFonts w:ascii="Calibri" w:hAnsi="Calibri" w:cs="Calibri"/>
          </w:rPr>
          <w:t>Big Brother given new access to Australians’ personal data</w:t>
        </w:r>
      </w:hyperlink>
      <w:r w:rsidRPr="009D47F7">
        <w:rPr>
          <w:rFonts w:ascii="Calibri" w:hAnsi="Calibri" w:cs="Calibri"/>
        </w:rPr>
        <w:t xml:space="preserve">,” </w:t>
      </w:r>
      <w:r w:rsidRPr="009D47F7">
        <w:rPr>
          <w:rFonts w:ascii="Calibri" w:hAnsi="Calibri" w:cs="Calibri"/>
          <w:i/>
        </w:rPr>
        <w:t>The Australian</w:t>
      </w:r>
      <w:r w:rsidRPr="009D47F7">
        <w:rPr>
          <w:rFonts w:ascii="Calibri" w:hAnsi="Calibri" w:cs="Calibri"/>
        </w:rPr>
        <w:t>, 22 Oct 2018 vs “</w:t>
      </w:r>
      <w:hyperlink r:id="rId31" w:history="1">
        <w:r w:rsidRPr="009D47F7">
          <w:rPr>
            <w:rStyle w:val="Hyperlink"/>
            <w:rFonts w:ascii="Calibri" w:hAnsi="Calibri" w:cs="Calibri"/>
          </w:rPr>
          <w:t>Digital identity: minister hits back at naysayers and privacy ‘alarmists’</w:t>
        </w:r>
      </w:hyperlink>
      <w:r w:rsidRPr="009D47F7">
        <w:rPr>
          <w:rFonts w:ascii="Calibri" w:hAnsi="Calibri" w:cs="Calibri"/>
        </w:rPr>
        <w:t xml:space="preserve">”, </w:t>
      </w:r>
      <w:r w:rsidRPr="009D47F7">
        <w:rPr>
          <w:rFonts w:ascii="Calibri" w:hAnsi="Calibri" w:cs="Calibri"/>
          <w:i/>
        </w:rPr>
        <w:t>The Mandarin</w:t>
      </w:r>
      <w:r w:rsidRPr="009D47F7">
        <w:rPr>
          <w:rFonts w:ascii="Calibri" w:hAnsi="Calibri" w:cs="Calibri"/>
        </w:rPr>
        <w:t>, 12 Nov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GDHL G+ Gotham">
    <w:altName w:val="Gotham"/>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68066712"/>
      <w:docPartObj>
        <w:docPartGallery w:val="Page Numbers (Bottom of Page)"/>
        <w:docPartUnique/>
      </w:docPartObj>
    </w:sdtPr>
    <w:sdtEndPr/>
    <w:sdtContent>
      <w:sdt>
        <w:sdtPr>
          <w:rPr>
            <w:i/>
            <w:sz w:val="18"/>
            <w:szCs w:val="18"/>
          </w:rPr>
          <w:id w:val="-1769616900"/>
          <w:docPartObj>
            <w:docPartGallery w:val="Page Numbers (Top of Page)"/>
            <w:docPartUnique/>
          </w:docPartObj>
        </w:sdtPr>
        <w:sdtEndPr>
          <w:rPr>
            <w:i w:val="0"/>
          </w:rPr>
        </w:sdtEndPr>
        <w:sdtContent>
          <w:p w14:paraId="4D58B8D6" w14:textId="77777777" w:rsidR="00633B37" w:rsidRDefault="00633B37" w:rsidP="006744B7">
            <w:pPr>
              <w:pStyle w:val="Footer"/>
              <w:jc w:val="right"/>
              <w:rPr>
                <w:i/>
                <w:sz w:val="18"/>
                <w:szCs w:val="18"/>
              </w:rPr>
            </w:pPr>
          </w:p>
          <w:p w14:paraId="77B0C113" w14:textId="088E3BBC" w:rsidR="00633B37" w:rsidRPr="006744B7" w:rsidRDefault="00633B37" w:rsidP="006744B7">
            <w:pPr>
              <w:pStyle w:val="Footer"/>
              <w:jc w:val="right"/>
              <w:rPr>
                <w:sz w:val="18"/>
                <w:szCs w:val="18"/>
              </w:rPr>
            </w:pPr>
            <w:r>
              <w:rPr>
                <w:i/>
                <w:sz w:val="18"/>
                <w:szCs w:val="18"/>
              </w:rPr>
              <w:t xml:space="preserve">Inclusive Growth                         </w:t>
            </w:r>
            <w:r w:rsidRPr="006C79B3">
              <w:rPr>
                <w:i/>
                <w:sz w:val="18"/>
                <w:szCs w:val="18"/>
              </w:rPr>
              <w:t xml:space="preserve">                       </w:t>
            </w:r>
            <w:r>
              <w:rPr>
                <w:i/>
                <w:sz w:val="18"/>
                <w:szCs w:val="18"/>
              </w:rPr>
              <w:t xml:space="preserve">                            </w:t>
            </w:r>
            <w:r w:rsidRPr="006C79B3">
              <w:rPr>
                <w:i/>
                <w:sz w:val="18"/>
                <w:szCs w:val="18"/>
              </w:rPr>
              <w:t xml:space="preserve">  </w:t>
            </w:r>
            <w:r w:rsidRPr="00A34FF2">
              <w:rPr>
                <w:sz w:val="18"/>
                <w:szCs w:val="18"/>
              </w:rPr>
              <w:t xml:space="preserve">Page </w:t>
            </w:r>
            <w:r w:rsidRPr="00A34FF2">
              <w:rPr>
                <w:b/>
                <w:bCs/>
                <w:sz w:val="18"/>
                <w:szCs w:val="18"/>
              </w:rPr>
              <w:fldChar w:fldCharType="begin"/>
            </w:r>
            <w:r w:rsidRPr="00A34FF2">
              <w:rPr>
                <w:b/>
                <w:bCs/>
                <w:sz w:val="18"/>
                <w:szCs w:val="18"/>
              </w:rPr>
              <w:instrText xml:space="preserve"> PAGE </w:instrText>
            </w:r>
            <w:r w:rsidRPr="00A34FF2">
              <w:rPr>
                <w:b/>
                <w:bCs/>
                <w:sz w:val="18"/>
                <w:szCs w:val="18"/>
              </w:rPr>
              <w:fldChar w:fldCharType="separate"/>
            </w:r>
            <w:r w:rsidR="00693D4E">
              <w:rPr>
                <w:b/>
                <w:bCs/>
                <w:noProof/>
                <w:sz w:val="18"/>
                <w:szCs w:val="18"/>
              </w:rPr>
              <w:t>2</w:t>
            </w:r>
            <w:r w:rsidRPr="00A34FF2">
              <w:rPr>
                <w:b/>
                <w:bCs/>
                <w:sz w:val="18"/>
                <w:szCs w:val="18"/>
              </w:rPr>
              <w:fldChar w:fldCharType="end"/>
            </w:r>
            <w:r w:rsidRPr="00A34FF2">
              <w:rPr>
                <w:sz w:val="18"/>
                <w:szCs w:val="18"/>
              </w:rPr>
              <w:t xml:space="preserve"> of </w:t>
            </w:r>
            <w:r w:rsidRPr="00A34FF2">
              <w:rPr>
                <w:b/>
                <w:bCs/>
                <w:sz w:val="18"/>
                <w:szCs w:val="18"/>
              </w:rPr>
              <w:fldChar w:fldCharType="begin"/>
            </w:r>
            <w:r w:rsidRPr="00A34FF2">
              <w:rPr>
                <w:b/>
                <w:bCs/>
                <w:sz w:val="18"/>
                <w:szCs w:val="18"/>
              </w:rPr>
              <w:instrText xml:space="preserve"> NUMPAGES  </w:instrText>
            </w:r>
            <w:r w:rsidRPr="00A34FF2">
              <w:rPr>
                <w:b/>
                <w:bCs/>
                <w:sz w:val="18"/>
                <w:szCs w:val="18"/>
              </w:rPr>
              <w:fldChar w:fldCharType="separate"/>
            </w:r>
            <w:r w:rsidR="00693D4E">
              <w:rPr>
                <w:b/>
                <w:bCs/>
                <w:noProof/>
                <w:sz w:val="18"/>
                <w:szCs w:val="18"/>
              </w:rPr>
              <w:t>30</w:t>
            </w:r>
            <w:r w:rsidRPr="00A34FF2">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A74E" w14:textId="11A54795" w:rsidR="00633B37" w:rsidRPr="0080213F" w:rsidRDefault="00633B37" w:rsidP="0080213F">
    <w:pPr>
      <w:pStyle w:val="Footer"/>
      <w:jc w:val="center"/>
      <w:rPr>
        <w:color w:val="FF0000"/>
      </w:rPr>
    </w:pPr>
    <w:r>
      <w:rPr>
        <w:color w:val="FF0000"/>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D6A5D" w14:textId="77777777" w:rsidR="00633B37" w:rsidRDefault="00633B37" w:rsidP="002325B2">
      <w:pPr>
        <w:spacing w:after="0" w:line="240" w:lineRule="auto"/>
      </w:pPr>
      <w:r>
        <w:separator/>
      </w:r>
    </w:p>
  </w:footnote>
  <w:footnote w:type="continuationSeparator" w:id="0">
    <w:p w14:paraId="6F647AD5" w14:textId="77777777" w:rsidR="00633B37" w:rsidRDefault="00633B37" w:rsidP="002325B2">
      <w:pPr>
        <w:spacing w:after="0" w:line="240" w:lineRule="auto"/>
      </w:pPr>
      <w:r>
        <w:continuationSeparator/>
      </w:r>
    </w:p>
  </w:footnote>
  <w:footnote w:type="continuationNotice" w:id="1">
    <w:p w14:paraId="4E71D8B4" w14:textId="77777777" w:rsidR="00633B37" w:rsidRDefault="00633B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0C110" w14:textId="6A2D4748" w:rsidR="00633B37" w:rsidRPr="00850D05" w:rsidRDefault="00633B37" w:rsidP="00850D05">
    <w:pPr>
      <w:pStyle w:val="Header"/>
      <w:jc w:val="right"/>
      <w:rPr>
        <w:i/>
      </w:rPr>
    </w:pPr>
    <w:r w:rsidRPr="00592ED5">
      <w:rPr>
        <w:color w:val="FF0000"/>
      </w:rPr>
      <w:t>UNCLASSIFIED</w:t>
    </w:r>
    <w:r>
      <w:rPr>
        <w:i/>
      </w:rPr>
      <w:tab/>
    </w:r>
    <w:r w:rsidRPr="00FF671E">
      <w:rPr>
        <w:i/>
      </w:rPr>
      <w:t xml:space="preserve">CAPPI Retreat </w:t>
    </w:r>
    <w:r>
      <w:rPr>
        <w:i/>
      </w:rPr>
      <w:t>2019</w:t>
    </w:r>
  </w:p>
  <w:p w14:paraId="77B0C111" w14:textId="77777777" w:rsidR="00633B37" w:rsidRDefault="00633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731B8" w14:textId="28D8942E" w:rsidR="00633B37" w:rsidRPr="0080213F" w:rsidRDefault="00633B37" w:rsidP="0080213F">
    <w:pPr>
      <w:pStyle w:val="Header"/>
      <w:jc w:val="center"/>
      <w:rPr>
        <w:color w:val="FF0000"/>
      </w:rPr>
    </w:pPr>
    <w:r>
      <w:rPr>
        <w:color w:val="FF0000"/>
      </w:rPr>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4E0D"/>
    <w:multiLevelType w:val="hybridMultilevel"/>
    <w:tmpl w:val="31BA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6302"/>
    <w:multiLevelType w:val="hybridMultilevel"/>
    <w:tmpl w:val="715E965C"/>
    <w:lvl w:ilvl="0" w:tplc="E8686F6A">
      <w:start w:val="1"/>
      <w:numFmt w:val="bullet"/>
      <w:pStyle w:val="Bri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 w15:restartNumberingAfterBreak="0">
    <w:nsid w:val="15520D42"/>
    <w:multiLevelType w:val="hybridMultilevel"/>
    <w:tmpl w:val="B28E88FE"/>
    <w:lvl w:ilvl="0" w:tplc="553C69CA">
      <w:start w:val="1"/>
      <w:numFmt w:val="bullet"/>
      <w:lvlText w:val=""/>
      <w:lvlJc w:val="left"/>
      <w:pPr>
        <w:ind w:left="360" w:hanging="360"/>
      </w:pPr>
      <w:rPr>
        <w:rFonts w:ascii="Symbol" w:hAnsi="Symbol" w:hint="default"/>
        <w:sz w:val="28"/>
        <w:szCs w:val="28"/>
      </w:rPr>
    </w:lvl>
    <w:lvl w:ilvl="1" w:tplc="FF82C8A0">
      <w:start w:val="1"/>
      <w:numFmt w:val="bullet"/>
      <w:pStyle w:val="USE-GreyTalkingPoints2"/>
      <w:lvlText w:val="o"/>
      <w:lvlJc w:val="left"/>
      <w:pPr>
        <w:ind w:left="786"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99A6EA2C">
      <w:start w:val="457"/>
      <w:numFmt w:val="bullet"/>
      <w:lvlText w:val="-"/>
      <w:lvlJc w:val="left"/>
      <w:pPr>
        <w:ind w:left="2520" w:hanging="360"/>
      </w:pPr>
      <w:rPr>
        <w:rFonts w:ascii="Calibri" w:eastAsiaTheme="minorHAnsi" w:hAnsi="Calibri"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D85EA9"/>
    <w:multiLevelType w:val="hybridMultilevel"/>
    <w:tmpl w:val="AA727014"/>
    <w:lvl w:ilvl="0" w:tplc="0C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64A288D"/>
    <w:multiLevelType w:val="hybridMultilevel"/>
    <w:tmpl w:val="E37C9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08C2710"/>
    <w:multiLevelType w:val="multilevel"/>
    <w:tmpl w:val="7026C814"/>
    <w:styleLink w:val="BulletedList"/>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362154C1"/>
    <w:multiLevelType w:val="hybridMultilevel"/>
    <w:tmpl w:val="73145C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DCE4C4F"/>
    <w:multiLevelType w:val="hybridMultilevel"/>
    <w:tmpl w:val="6AAA9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687B27"/>
    <w:multiLevelType w:val="hybridMultilevel"/>
    <w:tmpl w:val="03E60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284042"/>
    <w:multiLevelType w:val="hybridMultilevel"/>
    <w:tmpl w:val="A9CEE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39B7BD8"/>
    <w:multiLevelType w:val="hybridMultilevel"/>
    <w:tmpl w:val="4552BB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8461021"/>
    <w:multiLevelType w:val="hybridMultilevel"/>
    <w:tmpl w:val="EC40F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C930C5"/>
    <w:multiLevelType w:val="hybridMultilevel"/>
    <w:tmpl w:val="264CB004"/>
    <w:lvl w:ilvl="0" w:tplc="6D3E6C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8A34FAE"/>
    <w:multiLevelType w:val="hybridMultilevel"/>
    <w:tmpl w:val="1E085FD0"/>
    <w:lvl w:ilvl="0" w:tplc="4BCAE4D4">
      <w:start w:val="1"/>
      <w:numFmt w:val="bullet"/>
      <w:pStyle w:val="USE-GreyTalkingPoints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C7A1C3A"/>
    <w:multiLevelType w:val="multilevel"/>
    <w:tmpl w:val="73D6691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5"/>
  </w:num>
  <w:num w:numId="3">
    <w:abstractNumId w:val="2"/>
  </w:num>
  <w:num w:numId="4">
    <w:abstractNumId w:val="13"/>
  </w:num>
  <w:num w:numId="5">
    <w:abstractNumId w:val="11"/>
  </w:num>
  <w:num w:numId="6">
    <w:abstractNumId w:val="8"/>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num>
  <w:num w:numId="10">
    <w:abstractNumId w:val="6"/>
  </w:num>
  <w:num w:numId="11">
    <w:abstractNumId w:val="10"/>
  </w:num>
  <w:num w:numId="12">
    <w:abstractNumId w:val="12"/>
  </w:num>
  <w:num w:numId="13">
    <w:abstractNumId w:val="3"/>
  </w:num>
  <w:num w:numId="14">
    <w:abstractNumId w:val="4"/>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CA" w:vendorID="64" w:dllVersion="131078" w:nlCheck="1" w:checkStyle="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CEE"/>
    <w:rsid w:val="00000AEE"/>
    <w:rsid w:val="000021D1"/>
    <w:rsid w:val="00005AFE"/>
    <w:rsid w:val="00006444"/>
    <w:rsid w:val="00006C8A"/>
    <w:rsid w:val="0000766D"/>
    <w:rsid w:val="0001031E"/>
    <w:rsid w:val="00010399"/>
    <w:rsid w:val="000108DA"/>
    <w:rsid w:val="00012FAC"/>
    <w:rsid w:val="00013E2A"/>
    <w:rsid w:val="00013F5C"/>
    <w:rsid w:val="00014E86"/>
    <w:rsid w:val="00015917"/>
    <w:rsid w:val="00015B0E"/>
    <w:rsid w:val="000164F4"/>
    <w:rsid w:val="00016AE8"/>
    <w:rsid w:val="0001738B"/>
    <w:rsid w:val="00017FB0"/>
    <w:rsid w:val="00026028"/>
    <w:rsid w:val="00026E68"/>
    <w:rsid w:val="00027D94"/>
    <w:rsid w:val="0003006E"/>
    <w:rsid w:val="000300E9"/>
    <w:rsid w:val="0003032F"/>
    <w:rsid w:val="00030AEE"/>
    <w:rsid w:val="00031CB5"/>
    <w:rsid w:val="0003349F"/>
    <w:rsid w:val="000348F4"/>
    <w:rsid w:val="0003709E"/>
    <w:rsid w:val="00037B20"/>
    <w:rsid w:val="00037E88"/>
    <w:rsid w:val="000417BC"/>
    <w:rsid w:val="000426A4"/>
    <w:rsid w:val="00042859"/>
    <w:rsid w:val="00042A4A"/>
    <w:rsid w:val="00042A5E"/>
    <w:rsid w:val="00045832"/>
    <w:rsid w:val="00045F8A"/>
    <w:rsid w:val="00047DEA"/>
    <w:rsid w:val="00051799"/>
    <w:rsid w:val="00051EE5"/>
    <w:rsid w:val="00054595"/>
    <w:rsid w:val="000562C5"/>
    <w:rsid w:val="000565AE"/>
    <w:rsid w:val="0005732E"/>
    <w:rsid w:val="00062A95"/>
    <w:rsid w:val="00062E41"/>
    <w:rsid w:val="00064243"/>
    <w:rsid w:val="00064802"/>
    <w:rsid w:val="000650A9"/>
    <w:rsid w:val="00066312"/>
    <w:rsid w:val="00067ADE"/>
    <w:rsid w:val="000700D5"/>
    <w:rsid w:val="00071515"/>
    <w:rsid w:val="0007165E"/>
    <w:rsid w:val="000719D9"/>
    <w:rsid w:val="00072105"/>
    <w:rsid w:val="000722B7"/>
    <w:rsid w:val="00072F3A"/>
    <w:rsid w:val="000749F2"/>
    <w:rsid w:val="000752A8"/>
    <w:rsid w:val="00075ABB"/>
    <w:rsid w:val="00080A50"/>
    <w:rsid w:val="000831BF"/>
    <w:rsid w:val="00085B4F"/>
    <w:rsid w:val="00086B05"/>
    <w:rsid w:val="00092F3D"/>
    <w:rsid w:val="00093BC2"/>
    <w:rsid w:val="00095731"/>
    <w:rsid w:val="00095A10"/>
    <w:rsid w:val="00095EB5"/>
    <w:rsid w:val="000966BE"/>
    <w:rsid w:val="00096899"/>
    <w:rsid w:val="00096D30"/>
    <w:rsid w:val="00097337"/>
    <w:rsid w:val="000A02AD"/>
    <w:rsid w:val="000A0D80"/>
    <w:rsid w:val="000A1C93"/>
    <w:rsid w:val="000A391C"/>
    <w:rsid w:val="000A3BB0"/>
    <w:rsid w:val="000A5D90"/>
    <w:rsid w:val="000A6CDB"/>
    <w:rsid w:val="000B010B"/>
    <w:rsid w:val="000B0A31"/>
    <w:rsid w:val="000B219A"/>
    <w:rsid w:val="000B3E79"/>
    <w:rsid w:val="000B5E96"/>
    <w:rsid w:val="000B5F94"/>
    <w:rsid w:val="000B649B"/>
    <w:rsid w:val="000B65C0"/>
    <w:rsid w:val="000B66B9"/>
    <w:rsid w:val="000C0E79"/>
    <w:rsid w:val="000C2082"/>
    <w:rsid w:val="000C4098"/>
    <w:rsid w:val="000C42C0"/>
    <w:rsid w:val="000C4362"/>
    <w:rsid w:val="000C64B3"/>
    <w:rsid w:val="000D06C3"/>
    <w:rsid w:val="000D13A7"/>
    <w:rsid w:val="000D2E29"/>
    <w:rsid w:val="000E00F6"/>
    <w:rsid w:val="000E0509"/>
    <w:rsid w:val="000E289E"/>
    <w:rsid w:val="000E2ACB"/>
    <w:rsid w:val="000E2B11"/>
    <w:rsid w:val="000F265C"/>
    <w:rsid w:val="000F26E9"/>
    <w:rsid w:val="000F3033"/>
    <w:rsid w:val="000F509E"/>
    <w:rsid w:val="000F615F"/>
    <w:rsid w:val="000F6291"/>
    <w:rsid w:val="000F64AA"/>
    <w:rsid w:val="000F6EB2"/>
    <w:rsid w:val="00100EE0"/>
    <w:rsid w:val="00101914"/>
    <w:rsid w:val="001027D2"/>
    <w:rsid w:val="00102BA9"/>
    <w:rsid w:val="00102FC6"/>
    <w:rsid w:val="001037A9"/>
    <w:rsid w:val="00105137"/>
    <w:rsid w:val="00106FCF"/>
    <w:rsid w:val="001101EF"/>
    <w:rsid w:val="00111A3C"/>
    <w:rsid w:val="0011225E"/>
    <w:rsid w:val="00112A78"/>
    <w:rsid w:val="00113D54"/>
    <w:rsid w:val="00114453"/>
    <w:rsid w:val="00114B2D"/>
    <w:rsid w:val="001160C3"/>
    <w:rsid w:val="00116E77"/>
    <w:rsid w:val="0012112D"/>
    <w:rsid w:val="00121327"/>
    <w:rsid w:val="001249E7"/>
    <w:rsid w:val="00124D63"/>
    <w:rsid w:val="00125254"/>
    <w:rsid w:val="00125B49"/>
    <w:rsid w:val="00127804"/>
    <w:rsid w:val="00127AB8"/>
    <w:rsid w:val="001313A9"/>
    <w:rsid w:val="00132155"/>
    <w:rsid w:val="00132C88"/>
    <w:rsid w:val="00133D42"/>
    <w:rsid w:val="00133F25"/>
    <w:rsid w:val="00134485"/>
    <w:rsid w:val="00134583"/>
    <w:rsid w:val="00134CB6"/>
    <w:rsid w:val="00135DF0"/>
    <w:rsid w:val="00136013"/>
    <w:rsid w:val="001362C3"/>
    <w:rsid w:val="001366C8"/>
    <w:rsid w:val="00137D20"/>
    <w:rsid w:val="00137D7E"/>
    <w:rsid w:val="00140892"/>
    <w:rsid w:val="00140A49"/>
    <w:rsid w:val="00142D02"/>
    <w:rsid w:val="001435D7"/>
    <w:rsid w:val="00145390"/>
    <w:rsid w:val="00147530"/>
    <w:rsid w:val="00147558"/>
    <w:rsid w:val="00147B82"/>
    <w:rsid w:val="00154E25"/>
    <w:rsid w:val="00157069"/>
    <w:rsid w:val="00161E4C"/>
    <w:rsid w:val="0016210D"/>
    <w:rsid w:val="0016354C"/>
    <w:rsid w:val="001638E1"/>
    <w:rsid w:val="00164C3D"/>
    <w:rsid w:val="00164CC3"/>
    <w:rsid w:val="0016549E"/>
    <w:rsid w:val="00165B8A"/>
    <w:rsid w:val="00166CDE"/>
    <w:rsid w:val="00167941"/>
    <w:rsid w:val="00167B8B"/>
    <w:rsid w:val="00172758"/>
    <w:rsid w:val="00173041"/>
    <w:rsid w:val="00174264"/>
    <w:rsid w:val="00176836"/>
    <w:rsid w:val="00176C69"/>
    <w:rsid w:val="0017753F"/>
    <w:rsid w:val="001775CE"/>
    <w:rsid w:val="00177E0A"/>
    <w:rsid w:val="00181DCA"/>
    <w:rsid w:val="00185FA1"/>
    <w:rsid w:val="00186485"/>
    <w:rsid w:val="001865A5"/>
    <w:rsid w:val="00190A81"/>
    <w:rsid w:val="00192285"/>
    <w:rsid w:val="001978C7"/>
    <w:rsid w:val="001A0947"/>
    <w:rsid w:val="001A0D41"/>
    <w:rsid w:val="001A173F"/>
    <w:rsid w:val="001A2A90"/>
    <w:rsid w:val="001A5588"/>
    <w:rsid w:val="001A6489"/>
    <w:rsid w:val="001A6F2C"/>
    <w:rsid w:val="001A7011"/>
    <w:rsid w:val="001B0ED1"/>
    <w:rsid w:val="001B20F1"/>
    <w:rsid w:val="001B2BE5"/>
    <w:rsid w:val="001B2FF1"/>
    <w:rsid w:val="001B358F"/>
    <w:rsid w:val="001B3824"/>
    <w:rsid w:val="001B3DCF"/>
    <w:rsid w:val="001B4046"/>
    <w:rsid w:val="001B49FB"/>
    <w:rsid w:val="001B5A30"/>
    <w:rsid w:val="001B5E74"/>
    <w:rsid w:val="001B6614"/>
    <w:rsid w:val="001B7144"/>
    <w:rsid w:val="001C2559"/>
    <w:rsid w:val="001C3D2C"/>
    <w:rsid w:val="001C40AE"/>
    <w:rsid w:val="001C47BA"/>
    <w:rsid w:val="001C5C9E"/>
    <w:rsid w:val="001C6E63"/>
    <w:rsid w:val="001D05E1"/>
    <w:rsid w:val="001D2248"/>
    <w:rsid w:val="001D41FE"/>
    <w:rsid w:val="001D6AA9"/>
    <w:rsid w:val="001E0942"/>
    <w:rsid w:val="001E1F06"/>
    <w:rsid w:val="001E3213"/>
    <w:rsid w:val="001E40F1"/>
    <w:rsid w:val="001E41BD"/>
    <w:rsid w:val="001E55D1"/>
    <w:rsid w:val="001E6CD0"/>
    <w:rsid w:val="001E73F0"/>
    <w:rsid w:val="001F03E4"/>
    <w:rsid w:val="001F1A36"/>
    <w:rsid w:val="001F2863"/>
    <w:rsid w:val="001F31A5"/>
    <w:rsid w:val="001F3B18"/>
    <w:rsid w:val="001F3CDC"/>
    <w:rsid w:val="001F41AC"/>
    <w:rsid w:val="001F4250"/>
    <w:rsid w:val="001F6E88"/>
    <w:rsid w:val="001F7D90"/>
    <w:rsid w:val="0020005F"/>
    <w:rsid w:val="0020292A"/>
    <w:rsid w:val="0020390B"/>
    <w:rsid w:val="0020415E"/>
    <w:rsid w:val="00204E3A"/>
    <w:rsid w:val="002073ED"/>
    <w:rsid w:val="0020782B"/>
    <w:rsid w:val="002100E6"/>
    <w:rsid w:val="00211A05"/>
    <w:rsid w:val="0021308B"/>
    <w:rsid w:val="00220A3E"/>
    <w:rsid w:val="00221726"/>
    <w:rsid w:val="002253BD"/>
    <w:rsid w:val="00225BD8"/>
    <w:rsid w:val="00225CCD"/>
    <w:rsid w:val="00226133"/>
    <w:rsid w:val="002264FE"/>
    <w:rsid w:val="002325B2"/>
    <w:rsid w:val="00233176"/>
    <w:rsid w:val="0023363B"/>
    <w:rsid w:val="0023445E"/>
    <w:rsid w:val="0023474A"/>
    <w:rsid w:val="002355EF"/>
    <w:rsid w:val="00235A6E"/>
    <w:rsid w:val="00235CB9"/>
    <w:rsid w:val="0023654C"/>
    <w:rsid w:val="00236CFF"/>
    <w:rsid w:val="00240218"/>
    <w:rsid w:val="00242B28"/>
    <w:rsid w:val="0024337F"/>
    <w:rsid w:val="002459C4"/>
    <w:rsid w:val="00245D02"/>
    <w:rsid w:val="002476CA"/>
    <w:rsid w:val="00247CAD"/>
    <w:rsid w:val="00247F6B"/>
    <w:rsid w:val="00250A0B"/>
    <w:rsid w:val="002528AF"/>
    <w:rsid w:val="00252ACF"/>
    <w:rsid w:val="00253717"/>
    <w:rsid w:val="00254405"/>
    <w:rsid w:val="00254DE5"/>
    <w:rsid w:val="002562CC"/>
    <w:rsid w:val="00257AE5"/>
    <w:rsid w:val="00257B71"/>
    <w:rsid w:val="00257C92"/>
    <w:rsid w:val="002611E2"/>
    <w:rsid w:val="0026145B"/>
    <w:rsid w:val="0026393D"/>
    <w:rsid w:val="002653C9"/>
    <w:rsid w:val="00265DEF"/>
    <w:rsid w:val="002678CD"/>
    <w:rsid w:val="00270B6F"/>
    <w:rsid w:val="00270E65"/>
    <w:rsid w:val="00271174"/>
    <w:rsid w:val="00272FD0"/>
    <w:rsid w:val="00273215"/>
    <w:rsid w:val="00273545"/>
    <w:rsid w:val="00273918"/>
    <w:rsid w:val="00277B86"/>
    <w:rsid w:val="00282C84"/>
    <w:rsid w:val="00285BFA"/>
    <w:rsid w:val="00291567"/>
    <w:rsid w:val="0029158E"/>
    <w:rsid w:val="00291799"/>
    <w:rsid w:val="002922E0"/>
    <w:rsid w:val="0029295C"/>
    <w:rsid w:val="002930F6"/>
    <w:rsid w:val="0029505F"/>
    <w:rsid w:val="002956D8"/>
    <w:rsid w:val="00295C2D"/>
    <w:rsid w:val="00296019"/>
    <w:rsid w:val="0029669F"/>
    <w:rsid w:val="00296BE8"/>
    <w:rsid w:val="002971D7"/>
    <w:rsid w:val="002A136D"/>
    <w:rsid w:val="002A25CE"/>
    <w:rsid w:val="002A35A2"/>
    <w:rsid w:val="002A4E63"/>
    <w:rsid w:val="002A6BE8"/>
    <w:rsid w:val="002A6D2F"/>
    <w:rsid w:val="002A73AA"/>
    <w:rsid w:val="002A7A20"/>
    <w:rsid w:val="002B292D"/>
    <w:rsid w:val="002B3610"/>
    <w:rsid w:val="002B474C"/>
    <w:rsid w:val="002B633B"/>
    <w:rsid w:val="002B6CEF"/>
    <w:rsid w:val="002B7B1B"/>
    <w:rsid w:val="002C0ED8"/>
    <w:rsid w:val="002C2833"/>
    <w:rsid w:val="002C2F33"/>
    <w:rsid w:val="002C36CE"/>
    <w:rsid w:val="002C37D8"/>
    <w:rsid w:val="002C3DED"/>
    <w:rsid w:val="002C4B81"/>
    <w:rsid w:val="002C597F"/>
    <w:rsid w:val="002C5B3E"/>
    <w:rsid w:val="002C6A20"/>
    <w:rsid w:val="002D0406"/>
    <w:rsid w:val="002D1A78"/>
    <w:rsid w:val="002D34B1"/>
    <w:rsid w:val="002D462A"/>
    <w:rsid w:val="002D4B8B"/>
    <w:rsid w:val="002D5781"/>
    <w:rsid w:val="002D578A"/>
    <w:rsid w:val="002D6F2E"/>
    <w:rsid w:val="002D7426"/>
    <w:rsid w:val="002E063D"/>
    <w:rsid w:val="002E22A5"/>
    <w:rsid w:val="002E3E4D"/>
    <w:rsid w:val="002E5812"/>
    <w:rsid w:val="002E5CA8"/>
    <w:rsid w:val="002E6686"/>
    <w:rsid w:val="002E6FDE"/>
    <w:rsid w:val="002F1ACC"/>
    <w:rsid w:val="002F2565"/>
    <w:rsid w:val="002F409B"/>
    <w:rsid w:val="002F4DFC"/>
    <w:rsid w:val="002F6D05"/>
    <w:rsid w:val="002F7B43"/>
    <w:rsid w:val="002F7D73"/>
    <w:rsid w:val="002F7F2B"/>
    <w:rsid w:val="00301134"/>
    <w:rsid w:val="00302764"/>
    <w:rsid w:val="00303C2B"/>
    <w:rsid w:val="00303E98"/>
    <w:rsid w:val="00305AAB"/>
    <w:rsid w:val="00312EB2"/>
    <w:rsid w:val="003142C2"/>
    <w:rsid w:val="0031569F"/>
    <w:rsid w:val="00315EDC"/>
    <w:rsid w:val="00321619"/>
    <w:rsid w:val="003229C1"/>
    <w:rsid w:val="003239D5"/>
    <w:rsid w:val="00326F8C"/>
    <w:rsid w:val="00327A95"/>
    <w:rsid w:val="00327E77"/>
    <w:rsid w:val="00330A38"/>
    <w:rsid w:val="00331AF3"/>
    <w:rsid w:val="00333A65"/>
    <w:rsid w:val="003340DB"/>
    <w:rsid w:val="00335075"/>
    <w:rsid w:val="00336FA9"/>
    <w:rsid w:val="00337931"/>
    <w:rsid w:val="00340058"/>
    <w:rsid w:val="00340DA2"/>
    <w:rsid w:val="00341322"/>
    <w:rsid w:val="00341609"/>
    <w:rsid w:val="00341A70"/>
    <w:rsid w:val="003421BF"/>
    <w:rsid w:val="0034363C"/>
    <w:rsid w:val="00344930"/>
    <w:rsid w:val="003452AB"/>
    <w:rsid w:val="00351ED6"/>
    <w:rsid w:val="003521DC"/>
    <w:rsid w:val="003528AE"/>
    <w:rsid w:val="0035486E"/>
    <w:rsid w:val="00354D13"/>
    <w:rsid w:val="0035510C"/>
    <w:rsid w:val="003565E2"/>
    <w:rsid w:val="0035680C"/>
    <w:rsid w:val="00357844"/>
    <w:rsid w:val="00360B7E"/>
    <w:rsid w:val="0036240B"/>
    <w:rsid w:val="00363549"/>
    <w:rsid w:val="00363856"/>
    <w:rsid w:val="00363E45"/>
    <w:rsid w:val="00365539"/>
    <w:rsid w:val="003659E9"/>
    <w:rsid w:val="00365B16"/>
    <w:rsid w:val="00366EED"/>
    <w:rsid w:val="00367A38"/>
    <w:rsid w:val="00367AC8"/>
    <w:rsid w:val="00373EFD"/>
    <w:rsid w:val="00374DA4"/>
    <w:rsid w:val="00375189"/>
    <w:rsid w:val="003761E3"/>
    <w:rsid w:val="00377EF3"/>
    <w:rsid w:val="00383EB0"/>
    <w:rsid w:val="00385536"/>
    <w:rsid w:val="003865A1"/>
    <w:rsid w:val="00386B2D"/>
    <w:rsid w:val="003878B4"/>
    <w:rsid w:val="00392993"/>
    <w:rsid w:val="0039357F"/>
    <w:rsid w:val="00393C87"/>
    <w:rsid w:val="003955C7"/>
    <w:rsid w:val="00395C2E"/>
    <w:rsid w:val="003A007C"/>
    <w:rsid w:val="003A0C03"/>
    <w:rsid w:val="003A0E1F"/>
    <w:rsid w:val="003A1198"/>
    <w:rsid w:val="003A3C63"/>
    <w:rsid w:val="003A42BB"/>
    <w:rsid w:val="003A5835"/>
    <w:rsid w:val="003B0B59"/>
    <w:rsid w:val="003B19AE"/>
    <w:rsid w:val="003B286D"/>
    <w:rsid w:val="003B419B"/>
    <w:rsid w:val="003B4EE0"/>
    <w:rsid w:val="003B5354"/>
    <w:rsid w:val="003B5C7E"/>
    <w:rsid w:val="003B6784"/>
    <w:rsid w:val="003B6E63"/>
    <w:rsid w:val="003B7273"/>
    <w:rsid w:val="003B74D5"/>
    <w:rsid w:val="003C023F"/>
    <w:rsid w:val="003C0F82"/>
    <w:rsid w:val="003C1240"/>
    <w:rsid w:val="003C2E67"/>
    <w:rsid w:val="003C37C9"/>
    <w:rsid w:val="003C4921"/>
    <w:rsid w:val="003C6614"/>
    <w:rsid w:val="003C6C47"/>
    <w:rsid w:val="003D0519"/>
    <w:rsid w:val="003D0C38"/>
    <w:rsid w:val="003D3A48"/>
    <w:rsid w:val="003D462A"/>
    <w:rsid w:val="003D4F0A"/>
    <w:rsid w:val="003E03A0"/>
    <w:rsid w:val="003E0D89"/>
    <w:rsid w:val="003E1E9A"/>
    <w:rsid w:val="003E3174"/>
    <w:rsid w:val="003E64DF"/>
    <w:rsid w:val="003E6C95"/>
    <w:rsid w:val="003E6E00"/>
    <w:rsid w:val="003E6F26"/>
    <w:rsid w:val="003E7DFB"/>
    <w:rsid w:val="003F4F3C"/>
    <w:rsid w:val="003F55FF"/>
    <w:rsid w:val="003F6E86"/>
    <w:rsid w:val="00400720"/>
    <w:rsid w:val="00400797"/>
    <w:rsid w:val="0040282D"/>
    <w:rsid w:val="00402954"/>
    <w:rsid w:val="00404A1F"/>
    <w:rsid w:val="00405807"/>
    <w:rsid w:val="00406E03"/>
    <w:rsid w:val="004103B5"/>
    <w:rsid w:val="004117CD"/>
    <w:rsid w:val="0041294A"/>
    <w:rsid w:val="00413630"/>
    <w:rsid w:val="00415B35"/>
    <w:rsid w:val="0041751C"/>
    <w:rsid w:val="0042162A"/>
    <w:rsid w:val="004225A6"/>
    <w:rsid w:val="004227BF"/>
    <w:rsid w:val="00423559"/>
    <w:rsid w:val="00423604"/>
    <w:rsid w:val="00424C71"/>
    <w:rsid w:val="00426320"/>
    <w:rsid w:val="00426398"/>
    <w:rsid w:val="004309F4"/>
    <w:rsid w:val="00430C13"/>
    <w:rsid w:val="00430FD7"/>
    <w:rsid w:val="00433438"/>
    <w:rsid w:val="004342AC"/>
    <w:rsid w:val="00435393"/>
    <w:rsid w:val="00436397"/>
    <w:rsid w:val="0043745C"/>
    <w:rsid w:val="00440C53"/>
    <w:rsid w:val="00440FBB"/>
    <w:rsid w:val="00442BCA"/>
    <w:rsid w:val="00444F62"/>
    <w:rsid w:val="00444F7C"/>
    <w:rsid w:val="00445317"/>
    <w:rsid w:val="0044720F"/>
    <w:rsid w:val="0045053B"/>
    <w:rsid w:val="00452482"/>
    <w:rsid w:val="00453F66"/>
    <w:rsid w:val="0045442A"/>
    <w:rsid w:val="00455A89"/>
    <w:rsid w:val="00455FEB"/>
    <w:rsid w:val="00456A00"/>
    <w:rsid w:val="00457062"/>
    <w:rsid w:val="00460E1C"/>
    <w:rsid w:val="00461D8F"/>
    <w:rsid w:val="00462E8E"/>
    <w:rsid w:val="004632DA"/>
    <w:rsid w:val="00464C63"/>
    <w:rsid w:val="004656B2"/>
    <w:rsid w:val="0046577E"/>
    <w:rsid w:val="00467EDD"/>
    <w:rsid w:val="00470003"/>
    <w:rsid w:val="00470C38"/>
    <w:rsid w:val="004714A2"/>
    <w:rsid w:val="00471EEE"/>
    <w:rsid w:val="00472F49"/>
    <w:rsid w:val="00473CB5"/>
    <w:rsid w:val="00476020"/>
    <w:rsid w:val="00476619"/>
    <w:rsid w:val="004776AF"/>
    <w:rsid w:val="004830D7"/>
    <w:rsid w:val="004836F5"/>
    <w:rsid w:val="00483BA9"/>
    <w:rsid w:val="00483D3E"/>
    <w:rsid w:val="0048510D"/>
    <w:rsid w:val="0048572D"/>
    <w:rsid w:val="00485829"/>
    <w:rsid w:val="004863DF"/>
    <w:rsid w:val="00486E3F"/>
    <w:rsid w:val="00490090"/>
    <w:rsid w:val="004908F2"/>
    <w:rsid w:val="0049206D"/>
    <w:rsid w:val="004923E0"/>
    <w:rsid w:val="00492A23"/>
    <w:rsid w:val="00492B2A"/>
    <w:rsid w:val="00492E44"/>
    <w:rsid w:val="0049345B"/>
    <w:rsid w:val="004935F3"/>
    <w:rsid w:val="00493947"/>
    <w:rsid w:val="00494D25"/>
    <w:rsid w:val="00494D36"/>
    <w:rsid w:val="00495226"/>
    <w:rsid w:val="00497A7D"/>
    <w:rsid w:val="004A1775"/>
    <w:rsid w:val="004A1A45"/>
    <w:rsid w:val="004A1B22"/>
    <w:rsid w:val="004A2282"/>
    <w:rsid w:val="004A39A8"/>
    <w:rsid w:val="004A3D9F"/>
    <w:rsid w:val="004A40F3"/>
    <w:rsid w:val="004A4229"/>
    <w:rsid w:val="004A4C8F"/>
    <w:rsid w:val="004A57DA"/>
    <w:rsid w:val="004A5B6E"/>
    <w:rsid w:val="004A620F"/>
    <w:rsid w:val="004A74EA"/>
    <w:rsid w:val="004A7E30"/>
    <w:rsid w:val="004B1AEA"/>
    <w:rsid w:val="004B3129"/>
    <w:rsid w:val="004B3DDD"/>
    <w:rsid w:val="004B55BD"/>
    <w:rsid w:val="004B5ABE"/>
    <w:rsid w:val="004B5FCD"/>
    <w:rsid w:val="004B6B4F"/>
    <w:rsid w:val="004B6B78"/>
    <w:rsid w:val="004C0939"/>
    <w:rsid w:val="004C0E07"/>
    <w:rsid w:val="004C3D0B"/>
    <w:rsid w:val="004C535C"/>
    <w:rsid w:val="004C5429"/>
    <w:rsid w:val="004C5F81"/>
    <w:rsid w:val="004C6826"/>
    <w:rsid w:val="004C78EF"/>
    <w:rsid w:val="004D0B45"/>
    <w:rsid w:val="004D0CCD"/>
    <w:rsid w:val="004D109A"/>
    <w:rsid w:val="004D22C6"/>
    <w:rsid w:val="004D2BCA"/>
    <w:rsid w:val="004D3083"/>
    <w:rsid w:val="004D3C7F"/>
    <w:rsid w:val="004D3FAB"/>
    <w:rsid w:val="004D5B81"/>
    <w:rsid w:val="004D5E53"/>
    <w:rsid w:val="004D728E"/>
    <w:rsid w:val="004E2080"/>
    <w:rsid w:val="004E5689"/>
    <w:rsid w:val="004E79F1"/>
    <w:rsid w:val="004F0B96"/>
    <w:rsid w:val="004F1BAA"/>
    <w:rsid w:val="004F1C41"/>
    <w:rsid w:val="004F1F63"/>
    <w:rsid w:val="004F2462"/>
    <w:rsid w:val="004F40C7"/>
    <w:rsid w:val="004F5FA5"/>
    <w:rsid w:val="004F7286"/>
    <w:rsid w:val="0050011B"/>
    <w:rsid w:val="00500B27"/>
    <w:rsid w:val="00501888"/>
    <w:rsid w:val="0050296F"/>
    <w:rsid w:val="0050389C"/>
    <w:rsid w:val="00503C68"/>
    <w:rsid w:val="00506764"/>
    <w:rsid w:val="00507CAA"/>
    <w:rsid w:val="0051007C"/>
    <w:rsid w:val="00510D6E"/>
    <w:rsid w:val="00510E93"/>
    <w:rsid w:val="00510FC2"/>
    <w:rsid w:val="00511F8D"/>
    <w:rsid w:val="00512143"/>
    <w:rsid w:val="00512D17"/>
    <w:rsid w:val="00512F69"/>
    <w:rsid w:val="005139FF"/>
    <w:rsid w:val="00516D8A"/>
    <w:rsid w:val="005170C2"/>
    <w:rsid w:val="00517F22"/>
    <w:rsid w:val="00521230"/>
    <w:rsid w:val="005217B2"/>
    <w:rsid w:val="00524C0E"/>
    <w:rsid w:val="00526180"/>
    <w:rsid w:val="00527949"/>
    <w:rsid w:val="00531777"/>
    <w:rsid w:val="00534356"/>
    <w:rsid w:val="00534574"/>
    <w:rsid w:val="00536484"/>
    <w:rsid w:val="00536CA6"/>
    <w:rsid w:val="0054025B"/>
    <w:rsid w:val="005402FF"/>
    <w:rsid w:val="00541060"/>
    <w:rsid w:val="00541434"/>
    <w:rsid w:val="00543F51"/>
    <w:rsid w:val="005452BE"/>
    <w:rsid w:val="005462D2"/>
    <w:rsid w:val="0054668F"/>
    <w:rsid w:val="005473A4"/>
    <w:rsid w:val="005476AD"/>
    <w:rsid w:val="00547C30"/>
    <w:rsid w:val="00550CCC"/>
    <w:rsid w:val="005512ED"/>
    <w:rsid w:val="005525BB"/>
    <w:rsid w:val="00553166"/>
    <w:rsid w:val="0055619D"/>
    <w:rsid w:val="005605E3"/>
    <w:rsid w:val="005621C3"/>
    <w:rsid w:val="00562420"/>
    <w:rsid w:val="00562B28"/>
    <w:rsid w:val="00562B89"/>
    <w:rsid w:val="00563E5E"/>
    <w:rsid w:val="00566978"/>
    <w:rsid w:val="00567947"/>
    <w:rsid w:val="00571417"/>
    <w:rsid w:val="005724FB"/>
    <w:rsid w:val="005733CD"/>
    <w:rsid w:val="00573BDB"/>
    <w:rsid w:val="005755CB"/>
    <w:rsid w:val="005769D7"/>
    <w:rsid w:val="00580912"/>
    <w:rsid w:val="00580A89"/>
    <w:rsid w:val="00581D27"/>
    <w:rsid w:val="00581E2C"/>
    <w:rsid w:val="005826FB"/>
    <w:rsid w:val="0058291B"/>
    <w:rsid w:val="00583300"/>
    <w:rsid w:val="005837D1"/>
    <w:rsid w:val="00584414"/>
    <w:rsid w:val="00584D11"/>
    <w:rsid w:val="005852A6"/>
    <w:rsid w:val="00590454"/>
    <w:rsid w:val="0059081F"/>
    <w:rsid w:val="00592ED5"/>
    <w:rsid w:val="005943DD"/>
    <w:rsid w:val="0059763B"/>
    <w:rsid w:val="005A27AE"/>
    <w:rsid w:val="005A2A55"/>
    <w:rsid w:val="005A35D3"/>
    <w:rsid w:val="005A5BE3"/>
    <w:rsid w:val="005A69B9"/>
    <w:rsid w:val="005A732C"/>
    <w:rsid w:val="005B014A"/>
    <w:rsid w:val="005B4036"/>
    <w:rsid w:val="005B4393"/>
    <w:rsid w:val="005B6492"/>
    <w:rsid w:val="005B6AA7"/>
    <w:rsid w:val="005B7FE9"/>
    <w:rsid w:val="005C094E"/>
    <w:rsid w:val="005C1326"/>
    <w:rsid w:val="005C1CDE"/>
    <w:rsid w:val="005C2C25"/>
    <w:rsid w:val="005C339C"/>
    <w:rsid w:val="005C5A72"/>
    <w:rsid w:val="005C5F84"/>
    <w:rsid w:val="005C6497"/>
    <w:rsid w:val="005C655B"/>
    <w:rsid w:val="005C6D45"/>
    <w:rsid w:val="005C7509"/>
    <w:rsid w:val="005C7696"/>
    <w:rsid w:val="005C78A7"/>
    <w:rsid w:val="005D082A"/>
    <w:rsid w:val="005D3F27"/>
    <w:rsid w:val="005D4C72"/>
    <w:rsid w:val="005D59B4"/>
    <w:rsid w:val="005D64B7"/>
    <w:rsid w:val="005E0C48"/>
    <w:rsid w:val="005E0D0E"/>
    <w:rsid w:val="005E31FB"/>
    <w:rsid w:val="005E381D"/>
    <w:rsid w:val="005E3AA4"/>
    <w:rsid w:val="005E4015"/>
    <w:rsid w:val="005E4239"/>
    <w:rsid w:val="005E6DB9"/>
    <w:rsid w:val="005F1CA3"/>
    <w:rsid w:val="005F4C9E"/>
    <w:rsid w:val="006011A1"/>
    <w:rsid w:val="00602BCA"/>
    <w:rsid w:val="00602DED"/>
    <w:rsid w:val="00603849"/>
    <w:rsid w:val="0060645E"/>
    <w:rsid w:val="00610AF6"/>
    <w:rsid w:val="00610CD7"/>
    <w:rsid w:val="00612595"/>
    <w:rsid w:val="00612E99"/>
    <w:rsid w:val="00614631"/>
    <w:rsid w:val="00614C0C"/>
    <w:rsid w:val="0061546D"/>
    <w:rsid w:val="006175BE"/>
    <w:rsid w:val="006202F8"/>
    <w:rsid w:val="006209BC"/>
    <w:rsid w:val="00621038"/>
    <w:rsid w:val="00621D9E"/>
    <w:rsid w:val="00622A7E"/>
    <w:rsid w:val="00624A14"/>
    <w:rsid w:val="00632D82"/>
    <w:rsid w:val="0063308A"/>
    <w:rsid w:val="006335C2"/>
    <w:rsid w:val="00633B37"/>
    <w:rsid w:val="006356CB"/>
    <w:rsid w:val="00636BE7"/>
    <w:rsid w:val="00636FEA"/>
    <w:rsid w:val="00641802"/>
    <w:rsid w:val="00642ACF"/>
    <w:rsid w:val="00642E8C"/>
    <w:rsid w:val="00643190"/>
    <w:rsid w:val="00644FD3"/>
    <w:rsid w:val="00645E3D"/>
    <w:rsid w:val="00650AD0"/>
    <w:rsid w:val="00651D63"/>
    <w:rsid w:val="0065358D"/>
    <w:rsid w:val="0065396E"/>
    <w:rsid w:val="00654859"/>
    <w:rsid w:val="006574AD"/>
    <w:rsid w:val="00657F5E"/>
    <w:rsid w:val="00660F98"/>
    <w:rsid w:val="00661914"/>
    <w:rsid w:val="00661C44"/>
    <w:rsid w:val="006633D8"/>
    <w:rsid w:val="00663E78"/>
    <w:rsid w:val="00665414"/>
    <w:rsid w:val="0066728C"/>
    <w:rsid w:val="00667E68"/>
    <w:rsid w:val="00670763"/>
    <w:rsid w:val="00672D71"/>
    <w:rsid w:val="00673D76"/>
    <w:rsid w:val="006744B7"/>
    <w:rsid w:val="00674F0B"/>
    <w:rsid w:val="006758D4"/>
    <w:rsid w:val="00675DA7"/>
    <w:rsid w:val="006769D8"/>
    <w:rsid w:val="00676C15"/>
    <w:rsid w:val="0067701D"/>
    <w:rsid w:val="006820EC"/>
    <w:rsid w:val="0068285A"/>
    <w:rsid w:val="00684EF2"/>
    <w:rsid w:val="00684F3F"/>
    <w:rsid w:val="00685311"/>
    <w:rsid w:val="00685469"/>
    <w:rsid w:val="00685EEB"/>
    <w:rsid w:val="00690C56"/>
    <w:rsid w:val="0069104A"/>
    <w:rsid w:val="006937DE"/>
    <w:rsid w:val="00693A2D"/>
    <w:rsid w:val="00693D4E"/>
    <w:rsid w:val="00694040"/>
    <w:rsid w:val="006944BE"/>
    <w:rsid w:val="00695880"/>
    <w:rsid w:val="00695CE4"/>
    <w:rsid w:val="00697057"/>
    <w:rsid w:val="006A0E80"/>
    <w:rsid w:val="006A28C8"/>
    <w:rsid w:val="006A3B75"/>
    <w:rsid w:val="006A4BE4"/>
    <w:rsid w:val="006A71E9"/>
    <w:rsid w:val="006B03C2"/>
    <w:rsid w:val="006B14E7"/>
    <w:rsid w:val="006B2AFA"/>
    <w:rsid w:val="006B2C3F"/>
    <w:rsid w:val="006B37C4"/>
    <w:rsid w:val="006B4017"/>
    <w:rsid w:val="006B4D97"/>
    <w:rsid w:val="006B56BC"/>
    <w:rsid w:val="006B5F80"/>
    <w:rsid w:val="006C2E5B"/>
    <w:rsid w:val="006C4D36"/>
    <w:rsid w:val="006C5396"/>
    <w:rsid w:val="006C67F4"/>
    <w:rsid w:val="006C7457"/>
    <w:rsid w:val="006D01E1"/>
    <w:rsid w:val="006D0A34"/>
    <w:rsid w:val="006D10A4"/>
    <w:rsid w:val="006D1D26"/>
    <w:rsid w:val="006D30DF"/>
    <w:rsid w:val="006D52AE"/>
    <w:rsid w:val="006E042C"/>
    <w:rsid w:val="006E1523"/>
    <w:rsid w:val="006E45DC"/>
    <w:rsid w:val="006E57C5"/>
    <w:rsid w:val="006E5FEF"/>
    <w:rsid w:val="006E6B3E"/>
    <w:rsid w:val="006F1B7D"/>
    <w:rsid w:val="006F21CE"/>
    <w:rsid w:val="006F2FB7"/>
    <w:rsid w:val="006F4124"/>
    <w:rsid w:val="006F41E1"/>
    <w:rsid w:val="006F461C"/>
    <w:rsid w:val="006F5CF8"/>
    <w:rsid w:val="006F7191"/>
    <w:rsid w:val="006F7643"/>
    <w:rsid w:val="006F7AF9"/>
    <w:rsid w:val="006F7F19"/>
    <w:rsid w:val="007001D9"/>
    <w:rsid w:val="00700853"/>
    <w:rsid w:val="00700D30"/>
    <w:rsid w:val="007079B4"/>
    <w:rsid w:val="00707C27"/>
    <w:rsid w:val="00707F99"/>
    <w:rsid w:val="00710571"/>
    <w:rsid w:val="007110A0"/>
    <w:rsid w:val="007112BD"/>
    <w:rsid w:val="007113DA"/>
    <w:rsid w:val="00714096"/>
    <w:rsid w:val="007143E4"/>
    <w:rsid w:val="0071567E"/>
    <w:rsid w:val="00716F6E"/>
    <w:rsid w:val="0072031C"/>
    <w:rsid w:val="00720F6B"/>
    <w:rsid w:val="007218E3"/>
    <w:rsid w:val="007220FA"/>
    <w:rsid w:val="007221EB"/>
    <w:rsid w:val="007234C8"/>
    <w:rsid w:val="00723E8E"/>
    <w:rsid w:val="00724CFA"/>
    <w:rsid w:val="00725C8A"/>
    <w:rsid w:val="00727A85"/>
    <w:rsid w:val="007305C3"/>
    <w:rsid w:val="007307BA"/>
    <w:rsid w:val="007328AB"/>
    <w:rsid w:val="00732DF4"/>
    <w:rsid w:val="00734F7B"/>
    <w:rsid w:val="00735CEC"/>
    <w:rsid w:val="00736018"/>
    <w:rsid w:val="007376AC"/>
    <w:rsid w:val="00737755"/>
    <w:rsid w:val="00737D68"/>
    <w:rsid w:val="00740282"/>
    <w:rsid w:val="00740D91"/>
    <w:rsid w:val="00742C89"/>
    <w:rsid w:val="00743128"/>
    <w:rsid w:val="00746D4C"/>
    <w:rsid w:val="00751C42"/>
    <w:rsid w:val="00752495"/>
    <w:rsid w:val="00752C1E"/>
    <w:rsid w:val="0075357F"/>
    <w:rsid w:val="0075383B"/>
    <w:rsid w:val="00753E86"/>
    <w:rsid w:val="007542E9"/>
    <w:rsid w:val="00755442"/>
    <w:rsid w:val="0075574F"/>
    <w:rsid w:val="00756AF2"/>
    <w:rsid w:val="00760258"/>
    <w:rsid w:val="007633BA"/>
    <w:rsid w:val="007635E1"/>
    <w:rsid w:val="007677CB"/>
    <w:rsid w:val="007702D2"/>
    <w:rsid w:val="007703A4"/>
    <w:rsid w:val="0077105E"/>
    <w:rsid w:val="00771EBA"/>
    <w:rsid w:val="007740DA"/>
    <w:rsid w:val="00775DDA"/>
    <w:rsid w:val="00780AA4"/>
    <w:rsid w:val="00780ABB"/>
    <w:rsid w:val="0078332C"/>
    <w:rsid w:val="00783698"/>
    <w:rsid w:val="00784C44"/>
    <w:rsid w:val="0078573B"/>
    <w:rsid w:val="0078577C"/>
    <w:rsid w:val="00786E0C"/>
    <w:rsid w:val="0079055C"/>
    <w:rsid w:val="0079068D"/>
    <w:rsid w:val="00790898"/>
    <w:rsid w:val="00792588"/>
    <w:rsid w:val="007932D7"/>
    <w:rsid w:val="0079375F"/>
    <w:rsid w:val="0079419E"/>
    <w:rsid w:val="00794591"/>
    <w:rsid w:val="007947AF"/>
    <w:rsid w:val="00794908"/>
    <w:rsid w:val="00795A6F"/>
    <w:rsid w:val="00795CD9"/>
    <w:rsid w:val="007961D9"/>
    <w:rsid w:val="00797656"/>
    <w:rsid w:val="00797DE0"/>
    <w:rsid w:val="007A0732"/>
    <w:rsid w:val="007A2EE6"/>
    <w:rsid w:val="007A3682"/>
    <w:rsid w:val="007A551B"/>
    <w:rsid w:val="007A5BA8"/>
    <w:rsid w:val="007A6553"/>
    <w:rsid w:val="007A744D"/>
    <w:rsid w:val="007A7C99"/>
    <w:rsid w:val="007A7F72"/>
    <w:rsid w:val="007B012A"/>
    <w:rsid w:val="007B1EF5"/>
    <w:rsid w:val="007B1FDA"/>
    <w:rsid w:val="007B3C18"/>
    <w:rsid w:val="007B4726"/>
    <w:rsid w:val="007B7F66"/>
    <w:rsid w:val="007C1187"/>
    <w:rsid w:val="007C1CD0"/>
    <w:rsid w:val="007C2764"/>
    <w:rsid w:val="007C3D28"/>
    <w:rsid w:val="007C4C3D"/>
    <w:rsid w:val="007C62DD"/>
    <w:rsid w:val="007C7DBB"/>
    <w:rsid w:val="007D147E"/>
    <w:rsid w:val="007D1656"/>
    <w:rsid w:val="007D18DE"/>
    <w:rsid w:val="007D2519"/>
    <w:rsid w:val="007D28B1"/>
    <w:rsid w:val="007D326D"/>
    <w:rsid w:val="007D3AD7"/>
    <w:rsid w:val="007D3B79"/>
    <w:rsid w:val="007D48E4"/>
    <w:rsid w:val="007D4DFB"/>
    <w:rsid w:val="007D6E4C"/>
    <w:rsid w:val="007E17F7"/>
    <w:rsid w:val="007E5564"/>
    <w:rsid w:val="007E7193"/>
    <w:rsid w:val="007E769C"/>
    <w:rsid w:val="007E7A69"/>
    <w:rsid w:val="007F1E0B"/>
    <w:rsid w:val="007F239C"/>
    <w:rsid w:val="007F3B67"/>
    <w:rsid w:val="007F41E1"/>
    <w:rsid w:val="007F446A"/>
    <w:rsid w:val="007F4B91"/>
    <w:rsid w:val="007F5E0E"/>
    <w:rsid w:val="00800A5B"/>
    <w:rsid w:val="00800CB4"/>
    <w:rsid w:val="00801B50"/>
    <w:rsid w:val="0080213F"/>
    <w:rsid w:val="008027EF"/>
    <w:rsid w:val="00804029"/>
    <w:rsid w:val="00805DE2"/>
    <w:rsid w:val="00807995"/>
    <w:rsid w:val="00807ADB"/>
    <w:rsid w:val="00807B5A"/>
    <w:rsid w:val="008107B5"/>
    <w:rsid w:val="00810CD3"/>
    <w:rsid w:val="0081103C"/>
    <w:rsid w:val="00813DB4"/>
    <w:rsid w:val="00814E18"/>
    <w:rsid w:val="00815880"/>
    <w:rsid w:val="008209EC"/>
    <w:rsid w:val="00822DD2"/>
    <w:rsid w:val="0082450F"/>
    <w:rsid w:val="0082502F"/>
    <w:rsid w:val="008258F2"/>
    <w:rsid w:val="008276D4"/>
    <w:rsid w:val="00831E18"/>
    <w:rsid w:val="0083286D"/>
    <w:rsid w:val="008333B4"/>
    <w:rsid w:val="00833EA1"/>
    <w:rsid w:val="0083444E"/>
    <w:rsid w:val="00834B26"/>
    <w:rsid w:val="00835401"/>
    <w:rsid w:val="00837A4A"/>
    <w:rsid w:val="00837F86"/>
    <w:rsid w:val="008405A2"/>
    <w:rsid w:val="00841251"/>
    <w:rsid w:val="00843635"/>
    <w:rsid w:val="00844506"/>
    <w:rsid w:val="00845B6D"/>
    <w:rsid w:val="00847F87"/>
    <w:rsid w:val="0085016B"/>
    <w:rsid w:val="008506D1"/>
    <w:rsid w:val="0085096C"/>
    <w:rsid w:val="00850D05"/>
    <w:rsid w:val="00850E02"/>
    <w:rsid w:val="008516A4"/>
    <w:rsid w:val="00851D9D"/>
    <w:rsid w:val="00853293"/>
    <w:rsid w:val="00856664"/>
    <w:rsid w:val="00856A30"/>
    <w:rsid w:val="00857B8C"/>
    <w:rsid w:val="00860352"/>
    <w:rsid w:val="00860983"/>
    <w:rsid w:val="00860E32"/>
    <w:rsid w:val="00861764"/>
    <w:rsid w:val="00861B1A"/>
    <w:rsid w:val="00861C7B"/>
    <w:rsid w:val="0086343A"/>
    <w:rsid w:val="008642EA"/>
    <w:rsid w:val="00864CDE"/>
    <w:rsid w:val="00864CEE"/>
    <w:rsid w:val="0086551B"/>
    <w:rsid w:val="0086623F"/>
    <w:rsid w:val="0086658B"/>
    <w:rsid w:val="008674FA"/>
    <w:rsid w:val="00870500"/>
    <w:rsid w:val="008726D2"/>
    <w:rsid w:val="00872964"/>
    <w:rsid w:val="00872E17"/>
    <w:rsid w:val="00873983"/>
    <w:rsid w:val="00877077"/>
    <w:rsid w:val="0088014A"/>
    <w:rsid w:val="00880B24"/>
    <w:rsid w:val="00880C9A"/>
    <w:rsid w:val="008815FC"/>
    <w:rsid w:val="008821ED"/>
    <w:rsid w:val="008824F7"/>
    <w:rsid w:val="0088439E"/>
    <w:rsid w:val="00884A2C"/>
    <w:rsid w:val="00885596"/>
    <w:rsid w:val="0088595B"/>
    <w:rsid w:val="00885AB4"/>
    <w:rsid w:val="008867E7"/>
    <w:rsid w:val="008874B1"/>
    <w:rsid w:val="008875E8"/>
    <w:rsid w:val="00887790"/>
    <w:rsid w:val="008926ED"/>
    <w:rsid w:val="00893138"/>
    <w:rsid w:val="00893947"/>
    <w:rsid w:val="00894FFB"/>
    <w:rsid w:val="00895B02"/>
    <w:rsid w:val="008A141F"/>
    <w:rsid w:val="008A3972"/>
    <w:rsid w:val="008A472C"/>
    <w:rsid w:val="008A4A67"/>
    <w:rsid w:val="008A5AF7"/>
    <w:rsid w:val="008A5C1F"/>
    <w:rsid w:val="008A7020"/>
    <w:rsid w:val="008A76B4"/>
    <w:rsid w:val="008B11CD"/>
    <w:rsid w:val="008B154C"/>
    <w:rsid w:val="008B3A69"/>
    <w:rsid w:val="008B3D02"/>
    <w:rsid w:val="008B4683"/>
    <w:rsid w:val="008B47F9"/>
    <w:rsid w:val="008B4ECE"/>
    <w:rsid w:val="008B60A6"/>
    <w:rsid w:val="008B7BA5"/>
    <w:rsid w:val="008C08D2"/>
    <w:rsid w:val="008C12AA"/>
    <w:rsid w:val="008C261C"/>
    <w:rsid w:val="008C2D2B"/>
    <w:rsid w:val="008C4A85"/>
    <w:rsid w:val="008C4DD2"/>
    <w:rsid w:val="008C5D4A"/>
    <w:rsid w:val="008C6A10"/>
    <w:rsid w:val="008C721E"/>
    <w:rsid w:val="008D18DC"/>
    <w:rsid w:val="008D1C05"/>
    <w:rsid w:val="008D1C24"/>
    <w:rsid w:val="008D2F81"/>
    <w:rsid w:val="008D5287"/>
    <w:rsid w:val="008D5384"/>
    <w:rsid w:val="008D60C0"/>
    <w:rsid w:val="008D6E2E"/>
    <w:rsid w:val="008D76E9"/>
    <w:rsid w:val="008D7967"/>
    <w:rsid w:val="008E0CB9"/>
    <w:rsid w:val="008E2627"/>
    <w:rsid w:val="008E373D"/>
    <w:rsid w:val="008E71AA"/>
    <w:rsid w:val="008E71FA"/>
    <w:rsid w:val="008E756A"/>
    <w:rsid w:val="008E7697"/>
    <w:rsid w:val="008F0671"/>
    <w:rsid w:val="008F0F12"/>
    <w:rsid w:val="008F10F0"/>
    <w:rsid w:val="008F1B93"/>
    <w:rsid w:val="008F3EE4"/>
    <w:rsid w:val="008F5992"/>
    <w:rsid w:val="008F7823"/>
    <w:rsid w:val="00900CE3"/>
    <w:rsid w:val="00901140"/>
    <w:rsid w:val="00901464"/>
    <w:rsid w:val="009025C4"/>
    <w:rsid w:val="00903256"/>
    <w:rsid w:val="00904AEB"/>
    <w:rsid w:val="00905298"/>
    <w:rsid w:val="00905B47"/>
    <w:rsid w:val="009067AF"/>
    <w:rsid w:val="00910B80"/>
    <w:rsid w:val="00911A42"/>
    <w:rsid w:val="0091230A"/>
    <w:rsid w:val="00912692"/>
    <w:rsid w:val="00913A9F"/>
    <w:rsid w:val="009147AC"/>
    <w:rsid w:val="00915332"/>
    <w:rsid w:val="00921BDF"/>
    <w:rsid w:val="009227FA"/>
    <w:rsid w:val="00922DC5"/>
    <w:rsid w:val="00927075"/>
    <w:rsid w:val="0092760E"/>
    <w:rsid w:val="00927D5D"/>
    <w:rsid w:val="00930C8F"/>
    <w:rsid w:val="00931A3A"/>
    <w:rsid w:val="00931EA3"/>
    <w:rsid w:val="0093507F"/>
    <w:rsid w:val="00935DA2"/>
    <w:rsid w:val="00935DFA"/>
    <w:rsid w:val="00940DB2"/>
    <w:rsid w:val="009421DF"/>
    <w:rsid w:val="009427C6"/>
    <w:rsid w:val="0094291B"/>
    <w:rsid w:val="00943A24"/>
    <w:rsid w:val="00943DEE"/>
    <w:rsid w:val="00945340"/>
    <w:rsid w:val="0094580F"/>
    <w:rsid w:val="0094605B"/>
    <w:rsid w:val="00951606"/>
    <w:rsid w:val="00951E15"/>
    <w:rsid w:val="009526A3"/>
    <w:rsid w:val="00952FA8"/>
    <w:rsid w:val="009535A1"/>
    <w:rsid w:val="0095389E"/>
    <w:rsid w:val="00953A54"/>
    <w:rsid w:val="00954545"/>
    <w:rsid w:val="0095615A"/>
    <w:rsid w:val="0095701A"/>
    <w:rsid w:val="00957784"/>
    <w:rsid w:val="00957AC9"/>
    <w:rsid w:val="00961DB9"/>
    <w:rsid w:val="0096223A"/>
    <w:rsid w:val="00962F2F"/>
    <w:rsid w:val="00963537"/>
    <w:rsid w:val="00963A2C"/>
    <w:rsid w:val="00963EF1"/>
    <w:rsid w:val="00963F61"/>
    <w:rsid w:val="00963F66"/>
    <w:rsid w:val="0096597C"/>
    <w:rsid w:val="00967EBD"/>
    <w:rsid w:val="0097068A"/>
    <w:rsid w:val="009706C4"/>
    <w:rsid w:val="00971B52"/>
    <w:rsid w:val="009751D3"/>
    <w:rsid w:val="00977C84"/>
    <w:rsid w:val="009804E8"/>
    <w:rsid w:val="0098145D"/>
    <w:rsid w:val="0098160A"/>
    <w:rsid w:val="009877D0"/>
    <w:rsid w:val="009911AD"/>
    <w:rsid w:val="00991571"/>
    <w:rsid w:val="00992E43"/>
    <w:rsid w:val="00993291"/>
    <w:rsid w:val="009932AD"/>
    <w:rsid w:val="00993404"/>
    <w:rsid w:val="00996271"/>
    <w:rsid w:val="00997DE2"/>
    <w:rsid w:val="009A07DE"/>
    <w:rsid w:val="009A2A51"/>
    <w:rsid w:val="009A2EA0"/>
    <w:rsid w:val="009A3275"/>
    <w:rsid w:val="009A4B08"/>
    <w:rsid w:val="009A4BAA"/>
    <w:rsid w:val="009A5111"/>
    <w:rsid w:val="009A545C"/>
    <w:rsid w:val="009A5633"/>
    <w:rsid w:val="009A563A"/>
    <w:rsid w:val="009A6CC3"/>
    <w:rsid w:val="009B175A"/>
    <w:rsid w:val="009B280E"/>
    <w:rsid w:val="009B47B1"/>
    <w:rsid w:val="009B4C6E"/>
    <w:rsid w:val="009B6DDE"/>
    <w:rsid w:val="009B7AA5"/>
    <w:rsid w:val="009C01C2"/>
    <w:rsid w:val="009C0524"/>
    <w:rsid w:val="009C14A3"/>
    <w:rsid w:val="009C575B"/>
    <w:rsid w:val="009C67CC"/>
    <w:rsid w:val="009C6FFD"/>
    <w:rsid w:val="009C7258"/>
    <w:rsid w:val="009D0201"/>
    <w:rsid w:val="009D083A"/>
    <w:rsid w:val="009D2035"/>
    <w:rsid w:val="009D2892"/>
    <w:rsid w:val="009D47F7"/>
    <w:rsid w:val="009D4E51"/>
    <w:rsid w:val="009D52DF"/>
    <w:rsid w:val="009D5EFA"/>
    <w:rsid w:val="009D60C8"/>
    <w:rsid w:val="009D7B64"/>
    <w:rsid w:val="009E11EC"/>
    <w:rsid w:val="009E21A0"/>
    <w:rsid w:val="009E46A8"/>
    <w:rsid w:val="009E611D"/>
    <w:rsid w:val="009E7182"/>
    <w:rsid w:val="009F071C"/>
    <w:rsid w:val="009F13C7"/>
    <w:rsid w:val="009F4D80"/>
    <w:rsid w:val="009F645D"/>
    <w:rsid w:val="009F6993"/>
    <w:rsid w:val="00A028C0"/>
    <w:rsid w:val="00A033DA"/>
    <w:rsid w:val="00A05923"/>
    <w:rsid w:val="00A05DA4"/>
    <w:rsid w:val="00A063C0"/>
    <w:rsid w:val="00A06B10"/>
    <w:rsid w:val="00A0702D"/>
    <w:rsid w:val="00A07351"/>
    <w:rsid w:val="00A10FE1"/>
    <w:rsid w:val="00A111C8"/>
    <w:rsid w:val="00A11F2D"/>
    <w:rsid w:val="00A127F3"/>
    <w:rsid w:val="00A141D1"/>
    <w:rsid w:val="00A16016"/>
    <w:rsid w:val="00A20265"/>
    <w:rsid w:val="00A206B7"/>
    <w:rsid w:val="00A21098"/>
    <w:rsid w:val="00A2203E"/>
    <w:rsid w:val="00A245A2"/>
    <w:rsid w:val="00A27F6E"/>
    <w:rsid w:val="00A301F5"/>
    <w:rsid w:val="00A314E5"/>
    <w:rsid w:val="00A32398"/>
    <w:rsid w:val="00A327D4"/>
    <w:rsid w:val="00A32EAB"/>
    <w:rsid w:val="00A3365A"/>
    <w:rsid w:val="00A34113"/>
    <w:rsid w:val="00A353ED"/>
    <w:rsid w:val="00A36293"/>
    <w:rsid w:val="00A36482"/>
    <w:rsid w:val="00A37210"/>
    <w:rsid w:val="00A434D2"/>
    <w:rsid w:val="00A45309"/>
    <w:rsid w:val="00A45704"/>
    <w:rsid w:val="00A45ACB"/>
    <w:rsid w:val="00A45EB2"/>
    <w:rsid w:val="00A4701F"/>
    <w:rsid w:val="00A4716A"/>
    <w:rsid w:val="00A47D29"/>
    <w:rsid w:val="00A52A60"/>
    <w:rsid w:val="00A5367E"/>
    <w:rsid w:val="00A53C88"/>
    <w:rsid w:val="00A56BAB"/>
    <w:rsid w:val="00A57140"/>
    <w:rsid w:val="00A57F9A"/>
    <w:rsid w:val="00A63288"/>
    <w:rsid w:val="00A64D09"/>
    <w:rsid w:val="00A658CB"/>
    <w:rsid w:val="00A65E37"/>
    <w:rsid w:val="00A663CD"/>
    <w:rsid w:val="00A6751F"/>
    <w:rsid w:val="00A7127D"/>
    <w:rsid w:val="00A71559"/>
    <w:rsid w:val="00A7196C"/>
    <w:rsid w:val="00A725D5"/>
    <w:rsid w:val="00A74478"/>
    <w:rsid w:val="00A7500A"/>
    <w:rsid w:val="00A76461"/>
    <w:rsid w:val="00A76E28"/>
    <w:rsid w:val="00A7769F"/>
    <w:rsid w:val="00A803D1"/>
    <w:rsid w:val="00A81645"/>
    <w:rsid w:val="00A82B63"/>
    <w:rsid w:val="00A83B8E"/>
    <w:rsid w:val="00A84A44"/>
    <w:rsid w:val="00A86B11"/>
    <w:rsid w:val="00A9077A"/>
    <w:rsid w:val="00A90CFC"/>
    <w:rsid w:val="00A92663"/>
    <w:rsid w:val="00A9282D"/>
    <w:rsid w:val="00A92BEC"/>
    <w:rsid w:val="00A93BEB"/>
    <w:rsid w:val="00A93F35"/>
    <w:rsid w:val="00A94BB3"/>
    <w:rsid w:val="00A96245"/>
    <w:rsid w:val="00A97039"/>
    <w:rsid w:val="00AA00F9"/>
    <w:rsid w:val="00AA07C0"/>
    <w:rsid w:val="00AA0C87"/>
    <w:rsid w:val="00AA4ED2"/>
    <w:rsid w:val="00AA5D00"/>
    <w:rsid w:val="00AA6997"/>
    <w:rsid w:val="00AA74DA"/>
    <w:rsid w:val="00AA7559"/>
    <w:rsid w:val="00AB07E6"/>
    <w:rsid w:val="00AB1300"/>
    <w:rsid w:val="00AB6240"/>
    <w:rsid w:val="00AB63C9"/>
    <w:rsid w:val="00AB69AF"/>
    <w:rsid w:val="00AB7993"/>
    <w:rsid w:val="00AC0847"/>
    <w:rsid w:val="00AC1B28"/>
    <w:rsid w:val="00AC28B6"/>
    <w:rsid w:val="00AC2AA2"/>
    <w:rsid w:val="00AC4303"/>
    <w:rsid w:val="00AC44EA"/>
    <w:rsid w:val="00AC51CE"/>
    <w:rsid w:val="00AD2B64"/>
    <w:rsid w:val="00AD3C58"/>
    <w:rsid w:val="00AD4288"/>
    <w:rsid w:val="00AD4641"/>
    <w:rsid w:val="00AD5632"/>
    <w:rsid w:val="00AD6226"/>
    <w:rsid w:val="00AD65BE"/>
    <w:rsid w:val="00AD71E9"/>
    <w:rsid w:val="00AE0A21"/>
    <w:rsid w:val="00AE0F8D"/>
    <w:rsid w:val="00AE13A0"/>
    <w:rsid w:val="00AE1575"/>
    <w:rsid w:val="00AE1C7E"/>
    <w:rsid w:val="00AE33CC"/>
    <w:rsid w:val="00AE6E77"/>
    <w:rsid w:val="00AF03D4"/>
    <w:rsid w:val="00AF0D1D"/>
    <w:rsid w:val="00AF442E"/>
    <w:rsid w:val="00AF5D95"/>
    <w:rsid w:val="00AF6325"/>
    <w:rsid w:val="00AF76D8"/>
    <w:rsid w:val="00B005A1"/>
    <w:rsid w:val="00B00D42"/>
    <w:rsid w:val="00B025D4"/>
    <w:rsid w:val="00B02F81"/>
    <w:rsid w:val="00B03030"/>
    <w:rsid w:val="00B0378B"/>
    <w:rsid w:val="00B04D28"/>
    <w:rsid w:val="00B06BDB"/>
    <w:rsid w:val="00B06F1E"/>
    <w:rsid w:val="00B103ED"/>
    <w:rsid w:val="00B1071C"/>
    <w:rsid w:val="00B10FCA"/>
    <w:rsid w:val="00B12A65"/>
    <w:rsid w:val="00B1348A"/>
    <w:rsid w:val="00B169FB"/>
    <w:rsid w:val="00B16BE8"/>
    <w:rsid w:val="00B17D55"/>
    <w:rsid w:val="00B21649"/>
    <w:rsid w:val="00B21BC8"/>
    <w:rsid w:val="00B2584C"/>
    <w:rsid w:val="00B276F7"/>
    <w:rsid w:val="00B30E9B"/>
    <w:rsid w:val="00B3124B"/>
    <w:rsid w:val="00B31301"/>
    <w:rsid w:val="00B315E8"/>
    <w:rsid w:val="00B331D7"/>
    <w:rsid w:val="00B33201"/>
    <w:rsid w:val="00B33C2C"/>
    <w:rsid w:val="00B374D6"/>
    <w:rsid w:val="00B41F1F"/>
    <w:rsid w:val="00B42F46"/>
    <w:rsid w:val="00B4365D"/>
    <w:rsid w:val="00B43F41"/>
    <w:rsid w:val="00B443DD"/>
    <w:rsid w:val="00B445A4"/>
    <w:rsid w:val="00B448AD"/>
    <w:rsid w:val="00B45205"/>
    <w:rsid w:val="00B461E5"/>
    <w:rsid w:val="00B4699E"/>
    <w:rsid w:val="00B47294"/>
    <w:rsid w:val="00B47BC9"/>
    <w:rsid w:val="00B50B1D"/>
    <w:rsid w:val="00B51D1A"/>
    <w:rsid w:val="00B53877"/>
    <w:rsid w:val="00B55422"/>
    <w:rsid w:val="00B56CE2"/>
    <w:rsid w:val="00B60913"/>
    <w:rsid w:val="00B64291"/>
    <w:rsid w:val="00B642DC"/>
    <w:rsid w:val="00B654C2"/>
    <w:rsid w:val="00B65DC3"/>
    <w:rsid w:val="00B66B68"/>
    <w:rsid w:val="00B70A66"/>
    <w:rsid w:val="00B71517"/>
    <w:rsid w:val="00B739CE"/>
    <w:rsid w:val="00B75605"/>
    <w:rsid w:val="00B75AB3"/>
    <w:rsid w:val="00B75D83"/>
    <w:rsid w:val="00B77C5B"/>
    <w:rsid w:val="00B8340D"/>
    <w:rsid w:val="00B844FE"/>
    <w:rsid w:val="00B85E84"/>
    <w:rsid w:val="00B87124"/>
    <w:rsid w:val="00B90C72"/>
    <w:rsid w:val="00B913AB"/>
    <w:rsid w:val="00B93427"/>
    <w:rsid w:val="00B93DB8"/>
    <w:rsid w:val="00B94248"/>
    <w:rsid w:val="00B94BEB"/>
    <w:rsid w:val="00B94F31"/>
    <w:rsid w:val="00B951D4"/>
    <w:rsid w:val="00B955C3"/>
    <w:rsid w:val="00B958B2"/>
    <w:rsid w:val="00B960FE"/>
    <w:rsid w:val="00B96AFE"/>
    <w:rsid w:val="00B96F35"/>
    <w:rsid w:val="00BA0329"/>
    <w:rsid w:val="00BA0DAA"/>
    <w:rsid w:val="00BA10C1"/>
    <w:rsid w:val="00BA1210"/>
    <w:rsid w:val="00BA1527"/>
    <w:rsid w:val="00BA1889"/>
    <w:rsid w:val="00BA1AE0"/>
    <w:rsid w:val="00BA1C44"/>
    <w:rsid w:val="00BA2BCD"/>
    <w:rsid w:val="00BA3C1B"/>
    <w:rsid w:val="00BA4084"/>
    <w:rsid w:val="00BA4F4E"/>
    <w:rsid w:val="00BA5134"/>
    <w:rsid w:val="00BA62C8"/>
    <w:rsid w:val="00BA6B2D"/>
    <w:rsid w:val="00BB00BA"/>
    <w:rsid w:val="00BB3FBA"/>
    <w:rsid w:val="00BB5CA9"/>
    <w:rsid w:val="00BB60D0"/>
    <w:rsid w:val="00BB6725"/>
    <w:rsid w:val="00BC2039"/>
    <w:rsid w:val="00BC32D2"/>
    <w:rsid w:val="00BC6206"/>
    <w:rsid w:val="00BD1A2F"/>
    <w:rsid w:val="00BD2D85"/>
    <w:rsid w:val="00BD3AF6"/>
    <w:rsid w:val="00BD3FB7"/>
    <w:rsid w:val="00BD4D15"/>
    <w:rsid w:val="00BD6B0C"/>
    <w:rsid w:val="00BE02F4"/>
    <w:rsid w:val="00BE1AD9"/>
    <w:rsid w:val="00BE1B00"/>
    <w:rsid w:val="00BE3A71"/>
    <w:rsid w:val="00BE3B2D"/>
    <w:rsid w:val="00BE3D97"/>
    <w:rsid w:val="00BE428E"/>
    <w:rsid w:val="00BE4B5E"/>
    <w:rsid w:val="00BE4C85"/>
    <w:rsid w:val="00BE5DB6"/>
    <w:rsid w:val="00BE76D6"/>
    <w:rsid w:val="00BE7A00"/>
    <w:rsid w:val="00BE7C5A"/>
    <w:rsid w:val="00BF04FC"/>
    <w:rsid w:val="00BF0DB1"/>
    <w:rsid w:val="00BF104C"/>
    <w:rsid w:val="00BF461D"/>
    <w:rsid w:val="00BF4D6E"/>
    <w:rsid w:val="00BF57F2"/>
    <w:rsid w:val="00BF7DB6"/>
    <w:rsid w:val="00C00A1E"/>
    <w:rsid w:val="00C00A52"/>
    <w:rsid w:val="00C00B4B"/>
    <w:rsid w:val="00C02011"/>
    <w:rsid w:val="00C0220E"/>
    <w:rsid w:val="00C035BC"/>
    <w:rsid w:val="00C05C80"/>
    <w:rsid w:val="00C0653E"/>
    <w:rsid w:val="00C06D11"/>
    <w:rsid w:val="00C10296"/>
    <w:rsid w:val="00C10426"/>
    <w:rsid w:val="00C104E7"/>
    <w:rsid w:val="00C10A54"/>
    <w:rsid w:val="00C117FE"/>
    <w:rsid w:val="00C11C44"/>
    <w:rsid w:val="00C129F1"/>
    <w:rsid w:val="00C12DB8"/>
    <w:rsid w:val="00C15D1E"/>
    <w:rsid w:val="00C1648E"/>
    <w:rsid w:val="00C24A3A"/>
    <w:rsid w:val="00C25251"/>
    <w:rsid w:val="00C30FD8"/>
    <w:rsid w:val="00C317D3"/>
    <w:rsid w:val="00C3220D"/>
    <w:rsid w:val="00C329F3"/>
    <w:rsid w:val="00C33ABB"/>
    <w:rsid w:val="00C34EA1"/>
    <w:rsid w:val="00C35728"/>
    <w:rsid w:val="00C3583C"/>
    <w:rsid w:val="00C37412"/>
    <w:rsid w:val="00C37CED"/>
    <w:rsid w:val="00C44203"/>
    <w:rsid w:val="00C446A2"/>
    <w:rsid w:val="00C449AA"/>
    <w:rsid w:val="00C44E7D"/>
    <w:rsid w:val="00C45DBE"/>
    <w:rsid w:val="00C46C59"/>
    <w:rsid w:val="00C46D84"/>
    <w:rsid w:val="00C50E65"/>
    <w:rsid w:val="00C513E2"/>
    <w:rsid w:val="00C5205A"/>
    <w:rsid w:val="00C52698"/>
    <w:rsid w:val="00C53321"/>
    <w:rsid w:val="00C53B7A"/>
    <w:rsid w:val="00C55DE3"/>
    <w:rsid w:val="00C55EBE"/>
    <w:rsid w:val="00C5726A"/>
    <w:rsid w:val="00C57956"/>
    <w:rsid w:val="00C605FC"/>
    <w:rsid w:val="00C60B19"/>
    <w:rsid w:val="00C6177A"/>
    <w:rsid w:val="00C61AD2"/>
    <w:rsid w:val="00C62F72"/>
    <w:rsid w:val="00C65E0F"/>
    <w:rsid w:val="00C6774C"/>
    <w:rsid w:val="00C67EF8"/>
    <w:rsid w:val="00C711CB"/>
    <w:rsid w:val="00C71829"/>
    <w:rsid w:val="00C7216A"/>
    <w:rsid w:val="00C73D68"/>
    <w:rsid w:val="00C752CB"/>
    <w:rsid w:val="00C75669"/>
    <w:rsid w:val="00C75E3C"/>
    <w:rsid w:val="00C77353"/>
    <w:rsid w:val="00C774C1"/>
    <w:rsid w:val="00C77D41"/>
    <w:rsid w:val="00C82093"/>
    <w:rsid w:val="00C837B4"/>
    <w:rsid w:val="00C83B12"/>
    <w:rsid w:val="00C84BDC"/>
    <w:rsid w:val="00C863B5"/>
    <w:rsid w:val="00C86D6A"/>
    <w:rsid w:val="00C90C1B"/>
    <w:rsid w:val="00C91970"/>
    <w:rsid w:val="00C9228E"/>
    <w:rsid w:val="00C9467D"/>
    <w:rsid w:val="00C954C5"/>
    <w:rsid w:val="00C959DE"/>
    <w:rsid w:val="00CA1233"/>
    <w:rsid w:val="00CA2014"/>
    <w:rsid w:val="00CA292C"/>
    <w:rsid w:val="00CA4888"/>
    <w:rsid w:val="00CA551F"/>
    <w:rsid w:val="00CA59CC"/>
    <w:rsid w:val="00CA6AA1"/>
    <w:rsid w:val="00CA7E44"/>
    <w:rsid w:val="00CB03DB"/>
    <w:rsid w:val="00CB0D3A"/>
    <w:rsid w:val="00CB101C"/>
    <w:rsid w:val="00CB1DF5"/>
    <w:rsid w:val="00CB2910"/>
    <w:rsid w:val="00CB3030"/>
    <w:rsid w:val="00CB3080"/>
    <w:rsid w:val="00CB3194"/>
    <w:rsid w:val="00CB362E"/>
    <w:rsid w:val="00CB57CA"/>
    <w:rsid w:val="00CB59F4"/>
    <w:rsid w:val="00CB669F"/>
    <w:rsid w:val="00CC1523"/>
    <w:rsid w:val="00CC44FD"/>
    <w:rsid w:val="00CC4603"/>
    <w:rsid w:val="00CC56F5"/>
    <w:rsid w:val="00CC6B33"/>
    <w:rsid w:val="00CC6F43"/>
    <w:rsid w:val="00CD28C3"/>
    <w:rsid w:val="00CD2910"/>
    <w:rsid w:val="00CD2A90"/>
    <w:rsid w:val="00CD588D"/>
    <w:rsid w:val="00CD5BE2"/>
    <w:rsid w:val="00CD6A53"/>
    <w:rsid w:val="00CD7B2D"/>
    <w:rsid w:val="00CE0B63"/>
    <w:rsid w:val="00CE19BC"/>
    <w:rsid w:val="00CE2245"/>
    <w:rsid w:val="00CE3D53"/>
    <w:rsid w:val="00CE645E"/>
    <w:rsid w:val="00CE67EE"/>
    <w:rsid w:val="00CE7254"/>
    <w:rsid w:val="00CE7C68"/>
    <w:rsid w:val="00CE7D68"/>
    <w:rsid w:val="00CF0666"/>
    <w:rsid w:val="00CF0AF1"/>
    <w:rsid w:val="00CF1107"/>
    <w:rsid w:val="00CF19DE"/>
    <w:rsid w:val="00CF3CD2"/>
    <w:rsid w:val="00CF5032"/>
    <w:rsid w:val="00CF5877"/>
    <w:rsid w:val="00CF60D9"/>
    <w:rsid w:val="00CF71B8"/>
    <w:rsid w:val="00CF77D8"/>
    <w:rsid w:val="00CF7AA2"/>
    <w:rsid w:val="00CF7C14"/>
    <w:rsid w:val="00D01231"/>
    <w:rsid w:val="00D012A4"/>
    <w:rsid w:val="00D01531"/>
    <w:rsid w:val="00D01D00"/>
    <w:rsid w:val="00D01D7E"/>
    <w:rsid w:val="00D04000"/>
    <w:rsid w:val="00D0500F"/>
    <w:rsid w:val="00D05CFA"/>
    <w:rsid w:val="00D071E1"/>
    <w:rsid w:val="00D10118"/>
    <w:rsid w:val="00D10CC9"/>
    <w:rsid w:val="00D11CAB"/>
    <w:rsid w:val="00D1203C"/>
    <w:rsid w:val="00D14FFC"/>
    <w:rsid w:val="00D1501D"/>
    <w:rsid w:val="00D151BB"/>
    <w:rsid w:val="00D15633"/>
    <w:rsid w:val="00D158B9"/>
    <w:rsid w:val="00D15D12"/>
    <w:rsid w:val="00D16640"/>
    <w:rsid w:val="00D16B23"/>
    <w:rsid w:val="00D17337"/>
    <w:rsid w:val="00D17DF9"/>
    <w:rsid w:val="00D204D9"/>
    <w:rsid w:val="00D225D6"/>
    <w:rsid w:val="00D2314A"/>
    <w:rsid w:val="00D243A1"/>
    <w:rsid w:val="00D24992"/>
    <w:rsid w:val="00D24CFE"/>
    <w:rsid w:val="00D2526D"/>
    <w:rsid w:val="00D269FE"/>
    <w:rsid w:val="00D324ED"/>
    <w:rsid w:val="00D338D1"/>
    <w:rsid w:val="00D34BCD"/>
    <w:rsid w:val="00D35219"/>
    <w:rsid w:val="00D35483"/>
    <w:rsid w:val="00D3652C"/>
    <w:rsid w:val="00D372CB"/>
    <w:rsid w:val="00D37688"/>
    <w:rsid w:val="00D410FF"/>
    <w:rsid w:val="00D4300B"/>
    <w:rsid w:val="00D4380D"/>
    <w:rsid w:val="00D43F5A"/>
    <w:rsid w:val="00D444D4"/>
    <w:rsid w:val="00D445C4"/>
    <w:rsid w:val="00D45858"/>
    <w:rsid w:val="00D46217"/>
    <w:rsid w:val="00D46942"/>
    <w:rsid w:val="00D46DB9"/>
    <w:rsid w:val="00D46EC6"/>
    <w:rsid w:val="00D476AC"/>
    <w:rsid w:val="00D50768"/>
    <w:rsid w:val="00D51795"/>
    <w:rsid w:val="00D53467"/>
    <w:rsid w:val="00D53E8E"/>
    <w:rsid w:val="00D54204"/>
    <w:rsid w:val="00D55201"/>
    <w:rsid w:val="00D55E3F"/>
    <w:rsid w:val="00D55E89"/>
    <w:rsid w:val="00D57530"/>
    <w:rsid w:val="00D602F7"/>
    <w:rsid w:val="00D60CA4"/>
    <w:rsid w:val="00D6272F"/>
    <w:rsid w:val="00D62C51"/>
    <w:rsid w:val="00D672CC"/>
    <w:rsid w:val="00D7121F"/>
    <w:rsid w:val="00D7261E"/>
    <w:rsid w:val="00D72D89"/>
    <w:rsid w:val="00D72FD9"/>
    <w:rsid w:val="00D7357F"/>
    <w:rsid w:val="00D7363D"/>
    <w:rsid w:val="00D759EB"/>
    <w:rsid w:val="00D7739C"/>
    <w:rsid w:val="00D80F5C"/>
    <w:rsid w:val="00D829BA"/>
    <w:rsid w:val="00D82DBF"/>
    <w:rsid w:val="00D82F85"/>
    <w:rsid w:val="00D830C9"/>
    <w:rsid w:val="00D83E41"/>
    <w:rsid w:val="00D8541B"/>
    <w:rsid w:val="00D858E6"/>
    <w:rsid w:val="00D85D59"/>
    <w:rsid w:val="00D86594"/>
    <w:rsid w:val="00D8775A"/>
    <w:rsid w:val="00D87F1F"/>
    <w:rsid w:val="00D87FE3"/>
    <w:rsid w:val="00D90595"/>
    <w:rsid w:val="00D91948"/>
    <w:rsid w:val="00D91F26"/>
    <w:rsid w:val="00D94146"/>
    <w:rsid w:val="00D950A4"/>
    <w:rsid w:val="00D9576F"/>
    <w:rsid w:val="00D960DD"/>
    <w:rsid w:val="00D971EF"/>
    <w:rsid w:val="00D97710"/>
    <w:rsid w:val="00DA030F"/>
    <w:rsid w:val="00DA0D6B"/>
    <w:rsid w:val="00DA1014"/>
    <w:rsid w:val="00DA1019"/>
    <w:rsid w:val="00DA37DD"/>
    <w:rsid w:val="00DA4F4B"/>
    <w:rsid w:val="00DA5168"/>
    <w:rsid w:val="00DA72E1"/>
    <w:rsid w:val="00DB04ED"/>
    <w:rsid w:val="00DB060C"/>
    <w:rsid w:val="00DB19E0"/>
    <w:rsid w:val="00DB27F8"/>
    <w:rsid w:val="00DB6BC6"/>
    <w:rsid w:val="00DB7BA2"/>
    <w:rsid w:val="00DC08F3"/>
    <w:rsid w:val="00DC4545"/>
    <w:rsid w:val="00DC564D"/>
    <w:rsid w:val="00DC6982"/>
    <w:rsid w:val="00DC7386"/>
    <w:rsid w:val="00DD0435"/>
    <w:rsid w:val="00DD083E"/>
    <w:rsid w:val="00DD1985"/>
    <w:rsid w:val="00DD1A2B"/>
    <w:rsid w:val="00DD1C70"/>
    <w:rsid w:val="00DD32A6"/>
    <w:rsid w:val="00DD46C3"/>
    <w:rsid w:val="00DD51D0"/>
    <w:rsid w:val="00DD7761"/>
    <w:rsid w:val="00DE05A1"/>
    <w:rsid w:val="00DE2B09"/>
    <w:rsid w:val="00DE2D4D"/>
    <w:rsid w:val="00DE4297"/>
    <w:rsid w:val="00DE47E9"/>
    <w:rsid w:val="00DE4E7A"/>
    <w:rsid w:val="00DE552C"/>
    <w:rsid w:val="00DE5648"/>
    <w:rsid w:val="00DE611B"/>
    <w:rsid w:val="00DE6E2D"/>
    <w:rsid w:val="00DE729D"/>
    <w:rsid w:val="00DE74D3"/>
    <w:rsid w:val="00DF08F9"/>
    <w:rsid w:val="00DF1268"/>
    <w:rsid w:val="00DF5503"/>
    <w:rsid w:val="00DF647A"/>
    <w:rsid w:val="00DF7174"/>
    <w:rsid w:val="00E005E3"/>
    <w:rsid w:val="00E00EEE"/>
    <w:rsid w:val="00E03850"/>
    <w:rsid w:val="00E03B23"/>
    <w:rsid w:val="00E04130"/>
    <w:rsid w:val="00E079C2"/>
    <w:rsid w:val="00E11AA8"/>
    <w:rsid w:val="00E150FA"/>
    <w:rsid w:val="00E17605"/>
    <w:rsid w:val="00E21560"/>
    <w:rsid w:val="00E216FE"/>
    <w:rsid w:val="00E21ED8"/>
    <w:rsid w:val="00E22482"/>
    <w:rsid w:val="00E225BB"/>
    <w:rsid w:val="00E24A4E"/>
    <w:rsid w:val="00E24E80"/>
    <w:rsid w:val="00E251A3"/>
    <w:rsid w:val="00E25B4F"/>
    <w:rsid w:val="00E2709E"/>
    <w:rsid w:val="00E272DD"/>
    <w:rsid w:val="00E273DB"/>
    <w:rsid w:val="00E279E9"/>
    <w:rsid w:val="00E30195"/>
    <w:rsid w:val="00E30521"/>
    <w:rsid w:val="00E32B00"/>
    <w:rsid w:val="00E32F5C"/>
    <w:rsid w:val="00E33080"/>
    <w:rsid w:val="00E33B3D"/>
    <w:rsid w:val="00E3543D"/>
    <w:rsid w:val="00E36BF2"/>
    <w:rsid w:val="00E37A4F"/>
    <w:rsid w:val="00E40109"/>
    <w:rsid w:val="00E40C5E"/>
    <w:rsid w:val="00E410BA"/>
    <w:rsid w:val="00E41150"/>
    <w:rsid w:val="00E41742"/>
    <w:rsid w:val="00E426A9"/>
    <w:rsid w:val="00E42D41"/>
    <w:rsid w:val="00E4306A"/>
    <w:rsid w:val="00E44C1F"/>
    <w:rsid w:val="00E454E2"/>
    <w:rsid w:val="00E45BB6"/>
    <w:rsid w:val="00E46160"/>
    <w:rsid w:val="00E46A67"/>
    <w:rsid w:val="00E46D8C"/>
    <w:rsid w:val="00E50487"/>
    <w:rsid w:val="00E51D3C"/>
    <w:rsid w:val="00E523D6"/>
    <w:rsid w:val="00E525F5"/>
    <w:rsid w:val="00E53A1B"/>
    <w:rsid w:val="00E54620"/>
    <w:rsid w:val="00E54A10"/>
    <w:rsid w:val="00E54A54"/>
    <w:rsid w:val="00E569BF"/>
    <w:rsid w:val="00E57105"/>
    <w:rsid w:val="00E609DC"/>
    <w:rsid w:val="00E61CFC"/>
    <w:rsid w:val="00E61D0C"/>
    <w:rsid w:val="00E623DE"/>
    <w:rsid w:val="00E627B2"/>
    <w:rsid w:val="00E62C36"/>
    <w:rsid w:val="00E6454F"/>
    <w:rsid w:val="00E652B6"/>
    <w:rsid w:val="00E65883"/>
    <w:rsid w:val="00E6610A"/>
    <w:rsid w:val="00E665B8"/>
    <w:rsid w:val="00E66904"/>
    <w:rsid w:val="00E67E0E"/>
    <w:rsid w:val="00E70A36"/>
    <w:rsid w:val="00E73303"/>
    <w:rsid w:val="00E7582E"/>
    <w:rsid w:val="00E804CC"/>
    <w:rsid w:val="00E80C3E"/>
    <w:rsid w:val="00E81C59"/>
    <w:rsid w:val="00E829D4"/>
    <w:rsid w:val="00E83003"/>
    <w:rsid w:val="00E853FD"/>
    <w:rsid w:val="00E86F46"/>
    <w:rsid w:val="00E90689"/>
    <w:rsid w:val="00E91095"/>
    <w:rsid w:val="00E9125C"/>
    <w:rsid w:val="00E92E8C"/>
    <w:rsid w:val="00E9371D"/>
    <w:rsid w:val="00E93CF7"/>
    <w:rsid w:val="00E94CAF"/>
    <w:rsid w:val="00E95A86"/>
    <w:rsid w:val="00E95B18"/>
    <w:rsid w:val="00EA15FE"/>
    <w:rsid w:val="00EA16BF"/>
    <w:rsid w:val="00EA4037"/>
    <w:rsid w:val="00EA6AF2"/>
    <w:rsid w:val="00EA6C95"/>
    <w:rsid w:val="00EA7089"/>
    <w:rsid w:val="00EA7D82"/>
    <w:rsid w:val="00EA7FFD"/>
    <w:rsid w:val="00EB0617"/>
    <w:rsid w:val="00EB0770"/>
    <w:rsid w:val="00EB0862"/>
    <w:rsid w:val="00EB2409"/>
    <w:rsid w:val="00EB27B0"/>
    <w:rsid w:val="00EB280A"/>
    <w:rsid w:val="00EB28D2"/>
    <w:rsid w:val="00EB324B"/>
    <w:rsid w:val="00EB396D"/>
    <w:rsid w:val="00EB4330"/>
    <w:rsid w:val="00EB4D72"/>
    <w:rsid w:val="00EB4F5B"/>
    <w:rsid w:val="00EB5E0F"/>
    <w:rsid w:val="00EB5FBE"/>
    <w:rsid w:val="00EB7C9B"/>
    <w:rsid w:val="00EC3263"/>
    <w:rsid w:val="00EC40E4"/>
    <w:rsid w:val="00EC6D2F"/>
    <w:rsid w:val="00EC7B99"/>
    <w:rsid w:val="00EC7ED6"/>
    <w:rsid w:val="00ED1227"/>
    <w:rsid w:val="00ED3C2A"/>
    <w:rsid w:val="00ED55A1"/>
    <w:rsid w:val="00ED5ED4"/>
    <w:rsid w:val="00ED6187"/>
    <w:rsid w:val="00ED75F0"/>
    <w:rsid w:val="00ED7BE1"/>
    <w:rsid w:val="00EE0917"/>
    <w:rsid w:val="00EE159C"/>
    <w:rsid w:val="00EE15C1"/>
    <w:rsid w:val="00EE4CAA"/>
    <w:rsid w:val="00EE5F4D"/>
    <w:rsid w:val="00EE6A70"/>
    <w:rsid w:val="00EE7982"/>
    <w:rsid w:val="00EF270E"/>
    <w:rsid w:val="00EF3880"/>
    <w:rsid w:val="00EF4029"/>
    <w:rsid w:val="00EF411F"/>
    <w:rsid w:val="00EF45D0"/>
    <w:rsid w:val="00EF4BD6"/>
    <w:rsid w:val="00EF5322"/>
    <w:rsid w:val="00EF5F5B"/>
    <w:rsid w:val="00F00907"/>
    <w:rsid w:val="00F00BCC"/>
    <w:rsid w:val="00F02323"/>
    <w:rsid w:val="00F026EC"/>
    <w:rsid w:val="00F05467"/>
    <w:rsid w:val="00F05532"/>
    <w:rsid w:val="00F0727F"/>
    <w:rsid w:val="00F077B0"/>
    <w:rsid w:val="00F07B2A"/>
    <w:rsid w:val="00F07C61"/>
    <w:rsid w:val="00F10567"/>
    <w:rsid w:val="00F10700"/>
    <w:rsid w:val="00F10B0E"/>
    <w:rsid w:val="00F14EB6"/>
    <w:rsid w:val="00F16E65"/>
    <w:rsid w:val="00F16FB1"/>
    <w:rsid w:val="00F170F6"/>
    <w:rsid w:val="00F17B55"/>
    <w:rsid w:val="00F17ECD"/>
    <w:rsid w:val="00F244E3"/>
    <w:rsid w:val="00F24535"/>
    <w:rsid w:val="00F24F89"/>
    <w:rsid w:val="00F2533C"/>
    <w:rsid w:val="00F25610"/>
    <w:rsid w:val="00F26148"/>
    <w:rsid w:val="00F27BD7"/>
    <w:rsid w:val="00F27EC0"/>
    <w:rsid w:val="00F30C7D"/>
    <w:rsid w:val="00F30DC4"/>
    <w:rsid w:val="00F312F9"/>
    <w:rsid w:val="00F337FE"/>
    <w:rsid w:val="00F33C0E"/>
    <w:rsid w:val="00F341F3"/>
    <w:rsid w:val="00F3471E"/>
    <w:rsid w:val="00F34F4F"/>
    <w:rsid w:val="00F358E9"/>
    <w:rsid w:val="00F36559"/>
    <w:rsid w:val="00F36CB3"/>
    <w:rsid w:val="00F36D34"/>
    <w:rsid w:val="00F37620"/>
    <w:rsid w:val="00F377E9"/>
    <w:rsid w:val="00F4084D"/>
    <w:rsid w:val="00F40923"/>
    <w:rsid w:val="00F409F3"/>
    <w:rsid w:val="00F430AD"/>
    <w:rsid w:val="00F45E0C"/>
    <w:rsid w:val="00F52AD5"/>
    <w:rsid w:val="00F52D49"/>
    <w:rsid w:val="00F52D7A"/>
    <w:rsid w:val="00F535FD"/>
    <w:rsid w:val="00F54152"/>
    <w:rsid w:val="00F55240"/>
    <w:rsid w:val="00F55270"/>
    <w:rsid w:val="00F56382"/>
    <w:rsid w:val="00F56407"/>
    <w:rsid w:val="00F57E3C"/>
    <w:rsid w:val="00F604B0"/>
    <w:rsid w:val="00F61A9C"/>
    <w:rsid w:val="00F62602"/>
    <w:rsid w:val="00F62BE6"/>
    <w:rsid w:val="00F646EC"/>
    <w:rsid w:val="00F65849"/>
    <w:rsid w:val="00F66405"/>
    <w:rsid w:val="00F67184"/>
    <w:rsid w:val="00F67BFD"/>
    <w:rsid w:val="00F702A5"/>
    <w:rsid w:val="00F729F9"/>
    <w:rsid w:val="00F72C2E"/>
    <w:rsid w:val="00F758C7"/>
    <w:rsid w:val="00F76312"/>
    <w:rsid w:val="00F768C8"/>
    <w:rsid w:val="00F769BC"/>
    <w:rsid w:val="00F769F2"/>
    <w:rsid w:val="00F80ADB"/>
    <w:rsid w:val="00F810FB"/>
    <w:rsid w:val="00F81CEF"/>
    <w:rsid w:val="00F82377"/>
    <w:rsid w:val="00F82598"/>
    <w:rsid w:val="00F82919"/>
    <w:rsid w:val="00F842FE"/>
    <w:rsid w:val="00F8697E"/>
    <w:rsid w:val="00F86BDE"/>
    <w:rsid w:val="00F870F0"/>
    <w:rsid w:val="00F87B95"/>
    <w:rsid w:val="00F907B0"/>
    <w:rsid w:val="00F91EE6"/>
    <w:rsid w:val="00F92A1B"/>
    <w:rsid w:val="00F97632"/>
    <w:rsid w:val="00F976DD"/>
    <w:rsid w:val="00FA05AB"/>
    <w:rsid w:val="00FA198F"/>
    <w:rsid w:val="00FA4EFC"/>
    <w:rsid w:val="00FA65D7"/>
    <w:rsid w:val="00FB0894"/>
    <w:rsid w:val="00FB1AC8"/>
    <w:rsid w:val="00FB22A5"/>
    <w:rsid w:val="00FB40D3"/>
    <w:rsid w:val="00FB51A4"/>
    <w:rsid w:val="00FB5CD3"/>
    <w:rsid w:val="00FB6804"/>
    <w:rsid w:val="00FB74D2"/>
    <w:rsid w:val="00FB76CE"/>
    <w:rsid w:val="00FC1217"/>
    <w:rsid w:val="00FC26A7"/>
    <w:rsid w:val="00FC2E9E"/>
    <w:rsid w:val="00FC349D"/>
    <w:rsid w:val="00FC3D77"/>
    <w:rsid w:val="00FC4C1F"/>
    <w:rsid w:val="00FC52FB"/>
    <w:rsid w:val="00FC7D1E"/>
    <w:rsid w:val="00FC7E44"/>
    <w:rsid w:val="00FD0583"/>
    <w:rsid w:val="00FD05BE"/>
    <w:rsid w:val="00FD15DC"/>
    <w:rsid w:val="00FD3A90"/>
    <w:rsid w:val="00FD5D6D"/>
    <w:rsid w:val="00FD6D03"/>
    <w:rsid w:val="00FD745F"/>
    <w:rsid w:val="00FD798E"/>
    <w:rsid w:val="00FE0926"/>
    <w:rsid w:val="00FE1819"/>
    <w:rsid w:val="00FE1B2D"/>
    <w:rsid w:val="00FE1BE7"/>
    <w:rsid w:val="00FE1E6C"/>
    <w:rsid w:val="00FE2884"/>
    <w:rsid w:val="00FE36E0"/>
    <w:rsid w:val="00FE3C26"/>
    <w:rsid w:val="00FE3CF0"/>
    <w:rsid w:val="00FE472A"/>
    <w:rsid w:val="00FE60EF"/>
    <w:rsid w:val="00FF06E0"/>
    <w:rsid w:val="00FF0F4C"/>
    <w:rsid w:val="00FF1F47"/>
    <w:rsid w:val="00FF3129"/>
    <w:rsid w:val="00FF3440"/>
    <w:rsid w:val="00FF4324"/>
    <w:rsid w:val="00FF4C57"/>
    <w:rsid w:val="00FF602F"/>
    <w:rsid w:val="00FF77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B0C030"/>
  <w15:docId w15:val="{6A043CE8-B3E8-465D-A567-0893B621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F19"/>
    <w:rPr>
      <w:rFonts w:ascii="Times New Roman" w:hAnsi="Times New Roman"/>
      <w:sz w:val="24"/>
    </w:rPr>
  </w:style>
  <w:style w:type="paragraph" w:styleId="Heading1">
    <w:name w:val="heading 1"/>
    <w:basedOn w:val="Normal"/>
    <w:next w:val="Normal"/>
    <w:link w:val="Heading1Char"/>
    <w:uiPriority w:val="9"/>
    <w:qFormat/>
    <w:rsid w:val="00225BD8"/>
    <w:pPr>
      <w:keepNext/>
      <w:spacing w:before="480" w:after="240" w:line="240" w:lineRule="auto"/>
      <w:outlineLvl w:val="0"/>
    </w:pPr>
    <w:rPr>
      <w:rFonts w:cs="Times New Roman"/>
      <w:b/>
      <w:i/>
      <w:sz w:val="28"/>
      <w:szCs w:val="28"/>
    </w:rPr>
  </w:style>
  <w:style w:type="paragraph" w:styleId="Heading2">
    <w:name w:val="heading 2"/>
    <w:basedOn w:val="Bullet"/>
    <w:next w:val="Normal"/>
    <w:link w:val="Heading2Char"/>
    <w:uiPriority w:val="9"/>
    <w:unhideWhenUsed/>
    <w:qFormat/>
    <w:rsid w:val="008276D4"/>
    <w:pPr>
      <w:keepNext/>
      <w:numPr>
        <w:numId w:val="0"/>
      </w:numPr>
      <w:spacing w:line="240" w:lineRule="auto"/>
      <w:outlineLvl w:val="1"/>
    </w:pPr>
    <w:rPr>
      <w:rFonts w:cs="Times New Roman"/>
      <w:b/>
      <w:i/>
    </w:rPr>
  </w:style>
  <w:style w:type="paragraph" w:styleId="Heading3">
    <w:name w:val="heading 3"/>
    <w:basedOn w:val="Heading2"/>
    <w:next w:val="Normal"/>
    <w:link w:val="Heading3Char"/>
    <w:uiPriority w:val="9"/>
    <w:unhideWhenUsed/>
    <w:qFormat/>
    <w:rsid w:val="008276D4"/>
    <w:pPr>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7F2"/>
    <w:rPr>
      <w:color w:val="0000FF"/>
      <w:u w:val="single"/>
    </w:rPr>
  </w:style>
  <w:style w:type="paragraph" w:styleId="ListParagraph">
    <w:name w:val="List Paragraph"/>
    <w:aliases w:val="L,List Paragraph1,Bullet points,List Paragraph11,Content descriptions,Bullet Point,Bullet point,Recommendation,Dot pt,F5 List Paragraph,No Spacing1,List Paragraph Char Char Char,Indicator Text,Numbered Para 1,Bullet 1,List Paragraph12,列出段"/>
    <w:basedOn w:val="Normal"/>
    <w:uiPriority w:val="34"/>
    <w:qFormat/>
    <w:rsid w:val="009A4B08"/>
    <w:pPr>
      <w:spacing w:after="0"/>
      <w:ind w:left="720"/>
    </w:pPr>
    <w:rPr>
      <w:rFonts w:cs="Times New Roman"/>
    </w:rPr>
  </w:style>
  <w:style w:type="paragraph" w:customStyle="1" w:styleId="Body">
    <w:name w:val="Body"/>
    <w:basedOn w:val="Normal"/>
    <w:qFormat/>
    <w:rsid w:val="00DB04ED"/>
    <w:pPr>
      <w:spacing w:after="0" w:line="240" w:lineRule="auto"/>
    </w:pPr>
    <w:rPr>
      <w:rFonts w:ascii="Helvetica" w:hAnsi="Helvetica" w:cs="Helvetica"/>
      <w:color w:val="000000"/>
      <w:lang w:eastAsia="en-AU"/>
    </w:rPr>
  </w:style>
  <w:style w:type="paragraph" w:customStyle="1" w:styleId="Bullet">
    <w:name w:val="Bullet"/>
    <w:aliases w:val="b,b1,b + line,level 1,Bullet + line"/>
    <w:basedOn w:val="Normal"/>
    <w:link w:val="BulletChar"/>
    <w:qFormat/>
    <w:rsid w:val="00DB04ED"/>
    <w:pPr>
      <w:numPr>
        <w:numId w:val="1"/>
      </w:numPr>
      <w:spacing w:after="240"/>
    </w:pPr>
  </w:style>
  <w:style w:type="character" w:customStyle="1" w:styleId="BulletChar">
    <w:name w:val="Bullet Char"/>
    <w:aliases w:val="b + line Char Char,b Char,b Char Char,b1 Char,b + line Char,Body Char,L Char,List Paragraph Char,List Paragraph1 Char,List Paragraph11 Char,Number Char,Recommendation Char,level 1 Char,Bullet + line Char,Bullets Char,List Paragraph2 Char"/>
    <w:basedOn w:val="DefaultParagraphFont"/>
    <w:link w:val="Bullet"/>
    <w:qFormat/>
    <w:rsid w:val="00DB04ED"/>
    <w:rPr>
      <w:rFonts w:ascii="Times New Roman" w:hAnsi="Times New Roman"/>
      <w:sz w:val="24"/>
    </w:rPr>
  </w:style>
  <w:style w:type="paragraph" w:customStyle="1" w:styleId="Dash">
    <w:name w:val="Dash"/>
    <w:basedOn w:val="Normal"/>
    <w:link w:val="DashChar"/>
    <w:qFormat/>
    <w:rsid w:val="00DB04ED"/>
    <w:pPr>
      <w:numPr>
        <w:ilvl w:val="1"/>
        <w:numId w:val="1"/>
      </w:numPr>
      <w:spacing w:after="240"/>
    </w:pPr>
  </w:style>
  <w:style w:type="character" w:customStyle="1" w:styleId="DashChar">
    <w:name w:val="Dash Char"/>
    <w:basedOn w:val="DefaultParagraphFont"/>
    <w:link w:val="Dash"/>
    <w:rsid w:val="00DB04ED"/>
    <w:rPr>
      <w:rFonts w:ascii="Times New Roman" w:hAnsi="Times New Roman"/>
      <w:sz w:val="24"/>
    </w:rPr>
  </w:style>
  <w:style w:type="paragraph" w:customStyle="1" w:styleId="DoubleDot">
    <w:name w:val="Double Dot"/>
    <w:basedOn w:val="Normal"/>
    <w:link w:val="DoubleDotChar"/>
    <w:qFormat/>
    <w:rsid w:val="00DB04ED"/>
    <w:pPr>
      <w:numPr>
        <w:ilvl w:val="2"/>
        <w:numId w:val="1"/>
      </w:numPr>
      <w:spacing w:after="240"/>
    </w:pPr>
  </w:style>
  <w:style w:type="character" w:customStyle="1" w:styleId="DoubleDotChar">
    <w:name w:val="Double Dot Char"/>
    <w:basedOn w:val="DefaultParagraphFont"/>
    <w:link w:val="DoubleDot"/>
    <w:rsid w:val="00DB04ED"/>
    <w:rPr>
      <w:rFonts w:ascii="Times New Roman" w:hAnsi="Times New Roman"/>
      <w:sz w:val="24"/>
    </w:rPr>
  </w:style>
  <w:style w:type="paragraph" w:styleId="BalloonText">
    <w:name w:val="Balloon Text"/>
    <w:basedOn w:val="Normal"/>
    <w:link w:val="BalloonTextChar"/>
    <w:uiPriority w:val="99"/>
    <w:semiHidden/>
    <w:unhideWhenUsed/>
    <w:rsid w:val="00711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DA"/>
    <w:rPr>
      <w:rFonts w:ascii="Tahoma" w:hAnsi="Tahoma" w:cs="Tahoma"/>
      <w:sz w:val="16"/>
      <w:szCs w:val="16"/>
    </w:rPr>
  </w:style>
  <w:style w:type="character" w:styleId="CommentReference">
    <w:name w:val="annotation reference"/>
    <w:basedOn w:val="DefaultParagraphFont"/>
    <w:uiPriority w:val="99"/>
    <w:semiHidden/>
    <w:unhideWhenUsed/>
    <w:rsid w:val="007113DA"/>
    <w:rPr>
      <w:sz w:val="16"/>
      <w:szCs w:val="16"/>
    </w:rPr>
  </w:style>
  <w:style w:type="paragraph" w:styleId="CommentText">
    <w:name w:val="annotation text"/>
    <w:basedOn w:val="Normal"/>
    <w:link w:val="CommentTextChar"/>
    <w:uiPriority w:val="99"/>
    <w:unhideWhenUsed/>
    <w:rsid w:val="007113DA"/>
    <w:pPr>
      <w:spacing w:line="240" w:lineRule="auto"/>
    </w:pPr>
    <w:rPr>
      <w:sz w:val="20"/>
      <w:szCs w:val="20"/>
    </w:rPr>
  </w:style>
  <w:style w:type="character" w:customStyle="1" w:styleId="CommentTextChar">
    <w:name w:val="Comment Text Char"/>
    <w:basedOn w:val="DefaultParagraphFont"/>
    <w:link w:val="CommentText"/>
    <w:uiPriority w:val="99"/>
    <w:rsid w:val="007113DA"/>
    <w:rPr>
      <w:sz w:val="20"/>
      <w:szCs w:val="20"/>
    </w:rPr>
  </w:style>
  <w:style w:type="paragraph" w:styleId="CommentSubject">
    <w:name w:val="annotation subject"/>
    <w:basedOn w:val="CommentText"/>
    <w:next w:val="CommentText"/>
    <w:link w:val="CommentSubjectChar"/>
    <w:uiPriority w:val="99"/>
    <w:semiHidden/>
    <w:unhideWhenUsed/>
    <w:rsid w:val="007113DA"/>
    <w:rPr>
      <w:b/>
      <w:bCs/>
    </w:rPr>
  </w:style>
  <w:style w:type="character" w:customStyle="1" w:styleId="CommentSubjectChar">
    <w:name w:val="Comment Subject Char"/>
    <w:basedOn w:val="CommentTextChar"/>
    <w:link w:val="CommentSubject"/>
    <w:uiPriority w:val="99"/>
    <w:semiHidden/>
    <w:rsid w:val="007113DA"/>
    <w:rPr>
      <w:b/>
      <w:bCs/>
      <w:sz w:val="20"/>
      <w:szCs w:val="20"/>
    </w:rPr>
  </w:style>
  <w:style w:type="character" w:customStyle="1" w:styleId="italic">
    <w:name w:val="italic"/>
    <w:basedOn w:val="DefaultParagraphFont"/>
    <w:rsid w:val="002100E6"/>
    <w:rPr>
      <w:i/>
      <w:iCs/>
    </w:rPr>
  </w:style>
  <w:style w:type="numbering" w:customStyle="1" w:styleId="BulletedList">
    <w:name w:val="Bulleted List"/>
    <w:uiPriority w:val="99"/>
    <w:rsid w:val="002100E6"/>
    <w:pPr>
      <w:numPr>
        <w:numId w:val="2"/>
      </w:numPr>
    </w:pPr>
  </w:style>
  <w:style w:type="paragraph" w:styleId="PlainText">
    <w:name w:val="Plain Text"/>
    <w:basedOn w:val="Normal"/>
    <w:link w:val="PlainTextChar"/>
    <w:uiPriority w:val="99"/>
    <w:semiHidden/>
    <w:unhideWhenUsed/>
    <w:rsid w:val="00A56BA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56BAB"/>
    <w:rPr>
      <w:rFonts w:ascii="Calibri" w:hAnsi="Calibri"/>
      <w:szCs w:val="21"/>
    </w:rPr>
  </w:style>
  <w:style w:type="paragraph" w:customStyle="1" w:styleId="CABNETParagraph">
    <w:name w:val="CABNET Paragraph"/>
    <w:basedOn w:val="Normal"/>
    <w:link w:val="CABNETParagraphChar"/>
    <w:qFormat/>
    <w:rsid w:val="00C10426"/>
    <w:pPr>
      <w:spacing w:before="120" w:after="120" w:line="240" w:lineRule="auto"/>
      <w:ind w:left="4046" w:hanging="360"/>
    </w:pPr>
  </w:style>
  <w:style w:type="character" w:customStyle="1" w:styleId="CABNETParagraphChar">
    <w:name w:val="CABNET Paragraph Char"/>
    <w:basedOn w:val="DefaultParagraphFont"/>
    <w:link w:val="CABNETParagraph"/>
    <w:rsid w:val="00C10426"/>
    <w:rPr>
      <w:rFonts w:ascii="Times New Roman" w:hAnsi="Times New Roman"/>
      <w:sz w:val="24"/>
    </w:rPr>
  </w:style>
  <w:style w:type="character" w:customStyle="1" w:styleId="Heading2Char">
    <w:name w:val="Heading 2 Char"/>
    <w:basedOn w:val="DefaultParagraphFont"/>
    <w:link w:val="Heading2"/>
    <w:uiPriority w:val="9"/>
    <w:rsid w:val="008276D4"/>
    <w:rPr>
      <w:rFonts w:ascii="Times New Roman" w:hAnsi="Times New Roman" w:cs="Times New Roman"/>
      <w:b/>
      <w:i/>
    </w:rPr>
  </w:style>
  <w:style w:type="paragraph" w:styleId="FootnoteText">
    <w:name w:val="footnote text"/>
    <w:basedOn w:val="Normal"/>
    <w:link w:val="FootnoteTextChar"/>
    <w:uiPriority w:val="99"/>
    <w:unhideWhenUsed/>
    <w:rsid w:val="002325B2"/>
    <w:pPr>
      <w:spacing w:after="0" w:line="240" w:lineRule="auto"/>
    </w:pPr>
    <w:rPr>
      <w:sz w:val="20"/>
      <w:szCs w:val="20"/>
    </w:rPr>
  </w:style>
  <w:style w:type="character" w:customStyle="1" w:styleId="FootnoteTextChar">
    <w:name w:val="Footnote Text Char"/>
    <w:basedOn w:val="DefaultParagraphFont"/>
    <w:link w:val="FootnoteText"/>
    <w:uiPriority w:val="99"/>
    <w:rsid w:val="002325B2"/>
    <w:rPr>
      <w:sz w:val="20"/>
      <w:szCs w:val="20"/>
    </w:rPr>
  </w:style>
  <w:style w:type="character" w:styleId="FootnoteReference">
    <w:name w:val="footnote reference"/>
    <w:basedOn w:val="DefaultParagraphFont"/>
    <w:uiPriority w:val="99"/>
    <w:unhideWhenUsed/>
    <w:rsid w:val="002325B2"/>
    <w:rPr>
      <w:vertAlign w:val="superscript"/>
    </w:rPr>
  </w:style>
  <w:style w:type="paragraph" w:customStyle="1" w:styleId="Default">
    <w:name w:val="Default"/>
    <w:rsid w:val="00D830C9"/>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935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DA2"/>
  </w:style>
  <w:style w:type="paragraph" w:styleId="Footer">
    <w:name w:val="footer"/>
    <w:basedOn w:val="Normal"/>
    <w:link w:val="FooterChar"/>
    <w:uiPriority w:val="99"/>
    <w:unhideWhenUsed/>
    <w:rsid w:val="00935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A2"/>
  </w:style>
  <w:style w:type="paragraph" w:styleId="NormalWeb">
    <w:name w:val="Normal (Web)"/>
    <w:basedOn w:val="Normal"/>
    <w:uiPriority w:val="99"/>
    <w:unhideWhenUsed/>
    <w:rsid w:val="00114B2D"/>
    <w:pPr>
      <w:spacing w:before="100" w:beforeAutospacing="1" w:after="100" w:afterAutospacing="1" w:line="240" w:lineRule="auto"/>
    </w:pPr>
    <w:rPr>
      <w:rFonts w:eastAsia="Times New Roman" w:cs="Times New Roman"/>
      <w:szCs w:val="24"/>
      <w:lang w:val="en-CA" w:eastAsia="en-CA"/>
    </w:rPr>
  </w:style>
  <w:style w:type="paragraph" w:customStyle="1" w:styleId="USE-GreyTalkingPoints1">
    <w:name w:val="USE - Grey Talking Points 1"/>
    <w:basedOn w:val="Normal"/>
    <w:link w:val="USE-GreyTalkingPoints1Char"/>
    <w:qFormat/>
    <w:rsid w:val="000A3BB0"/>
    <w:pPr>
      <w:numPr>
        <w:numId w:val="4"/>
      </w:numPr>
      <w:spacing w:after="60" w:line="360" w:lineRule="auto"/>
    </w:pPr>
    <w:rPr>
      <w:rFonts w:ascii="Calibri" w:eastAsia="Calibri" w:hAnsi="Calibri" w:cs="Calibri"/>
      <w:color w:val="58595B"/>
      <w:kern w:val="20"/>
      <w:sz w:val="28"/>
      <w:szCs w:val="32"/>
      <w:lang w:val="en-US" w:eastAsia="ja-JP"/>
    </w:rPr>
  </w:style>
  <w:style w:type="character" w:customStyle="1" w:styleId="USE-GreyTalkingPoints1Char">
    <w:name w:val="USE - Grey Talking Points 1 Char"/>
    <w:basedOn w:val="DefaultParagraphFont"/>
    <w:link w:val="USE-GreyTalkingPoints1"/>
    <w:locked/>
    <w:rsid w:val="000A3BB0"/>
    <w:rPr>
      <w:rFonts w:ascii="Calibri" w:eastAsia="Calibri" w:hAnsi="Calibri" w:cs="Calibri"/>
      <w:color w:val="58595B"/>
      <w:kern w:val="20"/>
      <w:sz w:val="28"/>
      <w:szCs w:val="32"/>
      <w:lang w:val="en-US" w:eastAsia="ja-JP"/>
    </w:rPr>
  </w:style>
  <w:style w:type="paragraph" w:customStyle="1" w:styleId="USE-GreyTalkingPoints2">
    <w:name w:val="USE - Grey Talking Points 2"/>
    <w:basedOn w:val="Normal"/>
    <w:link w:val="USE-GreyTalkingPoints2Char"/>
    <w:qFormat/>
    <w:rsid w:val="000A3BB0"/>
    <w:pPr>
      <w:numPr>
        <w:ilvl w:val="1"/>
        <w:numId w:val="3"/>
      </w:numPr>
      <w:spacing w:after="60" w:line="360" w:lineRule="auto"/>
    </w:pPr>
    <w:rPr>
      <w:rFonts w:ascii="Calibri" w:eastAsia="Calibri" w:hAnsi="Calibri" w:cs="Calibri"/>
      <w:color w:val="58595B"/>
      <w:kern w:val="20"/>
      <w:sz w:val="28"/>
      <w:szCs w:val="30"/>
      <w:lang w:val="en-US" w:eastAsia="ja-JP"/>
    </w:rPr>
  </w:style>
  <w:style w:type="character" w:customStyle="1" w:styleId="USE-GreyTalkingPoints2Char">
    <w:name w:val="USE - Grey Talking Points 2 Char"/>
    <w:basedOn w:val="DefaultParagraphFont"/>
    <w:link w:val="USE-GreyTalkingPoints2"/>
    <w:rsid w:val="000A3BB0"/>
    <w:rPr>
      <w:rFonts w:ascii="Calibri" w:eastAsia="Calibri" w:hAnsi="Calibri" w:cs="Calibri"/>
      <w:color w:val="58595B"/>
      <w:kern w:val="20"/>
      <w:sz w:val="28"/>
      <w:szCs w:val="30"/>
      <w:lang w:val="en-US" w:eastAsia="ja-JP"/>
    </w:rPr>
  </w:style>
  <w:style w:type="paragraph" w:customStyle="1" w:styleId="USE-GreyTalkingPointsSubheading1">
    <w:name w:val="USE - Grey Talking Points Subheading 1"/>
    <w:basedOn w:val="Normal"/>
    <w:link w:val="USE-GreyTalkingPointsSubheading1Char"/>
    <w:qFormat/>
    <w:rsid w:val="000A3BB0"/>
    <w:pPr>
      <w:keepNext/>
      <w:suppressAutoHyphens/>
      <w:spacing w:before="120" w:after="60" w:line="240" w:lineRule="auto"/>
    </w:pPr>
    <w:rPr>
      <w:rFonts w:ascii="Calibri" w:eastAsia="Calibri" w:hAnsi="Calibri" w:cs="Arial"/>
      <w:color w:val="58595B"/>
      <w:sz w:val="28"/>
      <w:szCs w:val="20"/>
      <w:u w:val="single"/>
      <w:lang w:val="en-BZ" w:eastAsia="ja-JP"/>
    </w:rPr>
  </w:style>
  <w:style w:type="character" w:customStyle="1" w:styleId="USE-GreyTalkingPointsSubheading1Char">
    <w:name w:val="USE - Grey Talking Points Subheading 1 Char"/>
    <w:basedOn w:val="DefaultParagraphFont"/>
    <w:link w:val="USE-GreyTalkingPointsSubheading1"/>
    <w:rsid w:val="000A3BB0"/>
    <w:rPr>
      <w:rFonts w:ascii="Calibri" w:eastAsia="Calibri" w:hAnsi="Calibri" w:cs="Arial"/>
      <w:color w:val="58595B"/>
      <w:sz w:val="28"/>
      <w:szCs w:val="20"/>
      <w:u w:val="single"/>
      <w:lang w:val="en-BZ" w:eastAsia="ja-JP"/>
    </w:rPr>
  </w:style>
  <w:style w:type="character" w:customStyle="1" w:styleId="USE-GreyKeyPointsSubheading1Char">
    <w:name w:val="USE - Grey Key Points Subheading 1 Char"/>
    <w:basedOn w:val="DefaultParagraphFont"/>
    <w:link w:val="USE-GreyKeyPointsSubheading1"/>
    <w:locked/>
    <w:rsid w:val="000A3BB0"/>
    <w:rPr>
      <w:rFonts w:eastAsia="Calibri" w:cs="Arial"/>
      <w:color w:val="58595B"/>
      <w:sz w:val="24"/>
      <w:u w:val="single"/>
      <w:lang w:val="en-BZ"/>
    </w:rPr>
  </w:style>
  <w:style w:type="paragraph" w:customStyle="1" w:styleId="USE-GreyKeyPointsSubheading1">
    <w:name w:val="USE - Grey Key Points Subheading 1"/>
    <w:link w:val="USE-GreyKeyPointsSubheading1Char"/>
    <w:qFormat/>
    <w:rsid w:val="000A3BB0"/>
    <w:pPr>
      <w:keepNext/>
      <w:suppressAutoHyphens/>
      <w:spacing w:before="120" w:after="60" w:line="240" w:lineRule="auto"/>
    </w:pPr>
    <w:rPr>
      <w:rFonts w:eastAsia="Calibri" w:cs="Arial"/>
      <w:color w:val="58595B"/>
      <w:sz w:val="24"/>
      <w:u w:val="single"/>
      <w:lang w:val="en-BZ"/>
    </w:rPr>
  </w:style>
  <w:style w:type="paragraph" w:customStyle="1" w:styleId="USE-GreyBulletPoint1">
    <w:name w:val="USE - Grey Bullet Point 1"/>
    <w:basedOn w:val="ListParagraph"/>
    <w:link w:val="USE-GreyBulletPoint1Char"/>
    <w:qFormat/>
    <w:rsid w:val="000A3BB0"/>
    <w:pPr>
      <w:spacing w:after="60"/>
      <w:ind w:left="360" w:hanging="360"/>
    </w:pPr>
    <w:rPr>
      <w:rFonts w:eastAsia="Calibri" w:cs="Calibri"/>
      <w:color w:val="58595B"/>
      <w:kern w:val="20"/>
      <w:szCs w:val="20"/>
      <w:lang w:val="en-US" w:eastAsia="ja-JP"/>
    </w:rPr>
  </w:style>
  <w:style w:type="character" w:customStyle="1" w:styleId="USE-GreyBulletPoint1Char">
    <w:name w:val="USE - Grey Bullet Point 1 Char"/>
    <w:basedOn w:val="DefaultParagraphFont"/>
    <w:link w:val="USE-GreyBulletPoint1"/>
    <w:rsid w:val="000A3BB0"/>
    <w:rPr>
      <w:rFonts w:ascii="Times New Roman" w:eastAsia="Calibri" w:hAnsi="Times New Roman" w:cs="Calibri"/>
      <w:color w:val="58595B"/>
      <w:kern w:val="20"/>
      <w:sz w:val="24"/>
      <w:szCs w:val="20"/>
      <w:lang w:val="en-US" w:eastAsia="ja-JP"/>
    </w:rPr>
  </w:style>
  <w:style w:type="character" w:customStyle="1" w:styleId="Heading1Char">
    <w:name w:val="Heading 1 Char"/>
    <w:basedOn w:val="DefaultParagraphFont"/>
    <w:link w:val="Heading1"/>
    <w:uiPriority w:val="9"/>
    <w:rsid w:val="00225BD8"/>
    <w:rPr>
      <w:rFonts w:ascii="Times New Roman" w:hAnsi="Times New Roman" w:cs="Times New Roman"/>
      <w:b/>
      <w:i/>
      <w:sz w:val="28"/>
      <w:szCs w:val="28"/>
    </w:rPr>
  </w:style>
  <w:style w:type="character" w:customStyle="1" w:styleId="Heading3Char">
    <w:name w:val="Heading 3 Char"/>
    <w:basedOn w:val="DefaultParagraphFont"/>
    <w:link w:val="Heading3"/>
    <w:uiPriority w:val="9"/>
    <w:rsid w:val="008276D4"/>
    <w:rPr>
      <w:rFonts w:ascii="Times New Roman" w:hAnsi="Times New Roman" w:cs="Times New Roman"/>
      <w:i/>
    </w:rPr>
  </w:style>
  <w:style w:type="paragraph" w:styleId="NoSpacing">
    <w:name w:val="No Spacing"/>
    <w:uiPriority w:val="1"/>
    <w:qFormat/>
    <w:rsid w:val="00181DCA"/>
    <w:pPr>
      <w:spacing w:after="0" w:line="240" w:lineRule="auto"/>
    </w:pPr>
  </w:style>
  <w:style w:type="table" w:styleId="TableGrid">
    <w:name w:val="Table Grid"/>
    <w:basedOn w:val="TableNormal"/>
    <w:uiPriority w:val="39"/>
    <w:rsid w:val="00827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09BC"/>
    <w:pPr>
      <w:keepLines/>
      <w:spacing w:after="0" w:line="259" w:lineRule="auto"/>
      <w:outlineLvl w:val="9"/>
    </w:pPr>
    <w:rPr>
      <w:rFonts w:asciiTheme="majorHAnsi" w:eastAsiaTheme="majorEastAsia" w:hAnsiTheme="majorHAnsi" w:cstheme="majorBidi"/>
      <w:b w:val="0"/>
      <w:i w:val="0"/>
      <w:color w:val="365F91" w:themeColor="accent1" w:themeShade="BF"/>
      <w:sz w:val="32"/>
      <w:szCs w:val="32"/>
      <w:lang w:val="en-US"/>
    </w:rPr>
  </w:style>
  <w:style w:type="paragraph" w:styleId="TOC1">
    <w:name w:val="toc 1"/>
    <w:basedOn w:val="Normal"/>
    <w:next w:val="Normal"/>
    <w:autoRedefine/>
    <w:uiPriority w:val="39"/>
    <w:unhideWhenUsed/>
    <w:rsid w:val="00E150FA"/>
    <w:pPr>
      <w:tabs>
        <w:tab w:val="right" w:leader="dot" w:pos="9628"/>
      </w:tabs>
      <w:spacing w:after="0" w:line="240" w:lineRule="auto"/>
    </w:pPr>
    <w:rPr>
      <w:b/>
      <w:noProof/>
    </w:rPr>
  </w:style>
  <w:style w:type="paragraph" w:styleId="TOC2">
    <w:name w:val="toc 2"/>
    <w:basedOn w:val="Normal"/>
    <w:next w:val="Normal"/>
    <w:autoRedefine/>
    <w:uiPriority w:val="39"/>
    <w:unhideWhenUsed/>
    <w:rsid w:val="006209BC"/>
    <w:pPr>
      <w:spacing w:after="100"/>
      <w:ind w:left="220"/>
    </w:pPr>
  </w:style>
  <w:style w:type="paragraph" w:styleId="TOC3">
    <w:name w:val="toc 3"/>
    <w:basedOn w:val="Normal"/>
    <w:next w:val="Normal"/>
    <w:autoRedefine/>
    <w:uiPriority w:val="39"/>
    <w:unhideWhenUsed/>
    <w:rsid w:val="006209BC"/>
    <w:pPr>
      <w:spacing w:after="100"/>
      <w:ind w:left="440"/>
    </w:pPr>
  </w:style>
  <w:style w:type="table" w:customStyle="1" w:styleId="ListTable1Light-Accent11">
    <w:name w:val="List Table 1 Light - Accent 11"/>
    <w:basedOn w:val="TableNormal"/>
    <w:uiPriority w:val="46"/>
    <w:rsid w:val="006011A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3">
    <w:name w:val="A3"/>
    <w:uiPriority w:val="99"/>
    <w:rsid w:val="000D06C3"/>
    <w:rPr>
      <w:rFonts w:cs="AGDHL G+ Gotham"/>
      <w:color w:val="000000"/>
      <w:sz w:val="12"/>
      <w:szCs w:val="12"/>
    </w:rPr>
  </w:style>
  <w:style w:type="paragraph" w:customStyle="1" w:styleId="Pa6">
    <w:name w:val="Pa6"/>
    <w:basedOn w:val="Default"/>
    <w:next w:val="Default"/>
    <w:uiPriority w:val="99"/>
    <w:rsid w:val="000D06C3"/>
    <w:pPr>
      <w:spacing w:line="121" w:lineRule="atLeast"/>
    </w:pPr>
    <w:rPr>
      <w:rFonts w:ascii="AGDHL G+ Gotham" w:hAnsi="AGDHL G+ Gotham" w:cstheme="minorBidi"/>
      <w:color w:val="auto"/>
    </w:rPr>
  </w:style>
  <w:style w:type="paragraph" w:customStyle="1" w:styleId="Pa13">
    <w:name w:val="Pa13"/>
    <w:basedOn w:val="Default"/>
    <w:next w:val="Default"/>
    <w:uiPriority w:val="99"/>
    <w:rsid w:val="000D06C3"/>
    <w:pPr>
      <w:spacing w:line="121" w:lineRule="atLeast"/>
    </w:pPr>
    <w:rPr>
      <w:rFonts w:ascii="AGDHL G+ Gotham" w:hAnsi="AGDHL G+ Gotham" w:cstheme="minorBidi"/>
      <w:color w:val="auto"/>
    </w:rPr>
  </w:style>
  <w:style w:type="paragraph" w:styleId="EndnoteText">
    <w:name w:val="endnote text"/>
    <w:basedOn w:val="Normal"/>
    <w:link w:val="EndnoteTextChar"/>
    <w:uiPriority w:val="99"/>
    <w:semiHidden/>
    <w:unhideWhenUsed/>
    <w:rsid w:val="000E2B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2B11"/>
    <w:rPr>
      <w:rFonts w:ascii="Times New Roman" w:hAnsi="Times New Roman"/>
      <w:sz w:val="20"/>
      <w:szCs w:val="20"/>
    </w:rPr>
  </w:style>
  <w:style w:type="character" w:styleId="EndnoteReference">
    <w:name w:val="endnote reference"/>
    <w:basedOn w:val="DefaultParagraphFont"/>
    <w:uiPriority w:val="99"/>
    <w:semiHidden/>
    <w:unhideWhenUsed/>
    <w:rsid w:val="000E2B11"/>
    <w:rPr>
      <w:vertAlign w:val="superscript"/>
    </w:rPr>
  </w:style>
  <w:style w:type="table" w:customStyle="1" w:styleId="PlainTable41">
    <w:name w:val="Plain Table 41"/>
    <w:basedOn w:val="TableNormal"/>
    <w:uiPriority w:val="44"/>
    <w:rsid w:val="00AB79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rief-BULLET">
    <w:name w:val="Brief - BULLET"/>
    <w:basedOn w:val="Normal"/>
    <w:uiPriority w:val="99"/>
    <w:rsid w:val="00312EB2"/>
    <w:pPr>
      <w:numPr>
        <w:numId w:val="7"/>
      </w:numPr>
      <w:spacing w:after="0" w:line="230" w:lineRule="exact"/>
    </w:pPr>
    <w:rPr>
      <w:rFonts w:cs="Times New Roman"/>
      <w:sz w:val="22"/>
      <w:lang w:eastAsia="en-AU"/>
    </w:rPr>
  </w:style>
  <w:style w:type="character" w:customStyle="1" w:styleId="xn-location">
    <w:name w:val="xn-location"/>
    <w:basedOn w:val="DefaultParagraphFont"/>
    <w:rsid w:val="00977C84"/>
  </w:style>
  <w:style w:type="table" w:customStyle="1" w:styleId="ListTable1Light-Accent110">
    <w:name w:val="List Table 1 Light - Accent 11"/>
    <w:basedOn w:val="TableNormal"/>
    <w:uiPriority w:val="46"/>
    <w:rsid w:val="007D251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410">
    <w:name w:val="Plain Table 41"/>
    <w:basedOn w:val="TableNormal"/>
    <w:uiPriority w:val="44"/>
    <w:rsid w:val="007D25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D2519"/>
    <w:rPr>
      <w:color w:val="800080" w:themeColor="followedHyperlink"/>
      <w:u w:val="single"/>
    </w:rPr>
  </w:style>
  <w:style w:type="character" w:styleId="PlaceholderText">
    <w:name w:val="Placeholder Text"/>
    <w:basedOn w:val="DefaultParagraphFont"/>
    <w:uiPriority w:val="99"/>
    <w:semiHidden/>
    <w:rsid w:val="00D04000"/>
    <w:rPr>
      <w:color w:val="808080"/>
    </w:rPr>
  </w:style>
  <w:style w:type="paragraph" w:styleId="Revision">
    <w:name w:val="Revision"/>
    <w:hidden/>
    <w:uiPriority w:val="99"/>
    <w:semiHidden/>
    <w:rsid w:val="00636BE7"/>
    <w:pPr>
      <w:spacing w:after="0" w:line="240" w:lineRule="auto"/>
    </w:pPr>
    <w:rPr>
      <w:rFonts w:ascii="Times New Roman" w:hAnsi="Times New Roman"/>
      <w:sz w:val="24"/>
    </w:rPr>
  </w:style>
  <w:style w:type="table" w:customStyle="1" w:styleId="ListTable1Light-Accent111">
    <w:name w:val="List Table 1 Light - Accent 111"/>
    <w:basedOn w:val="TableNormal"/>
    <w:uiPriority w:val="46"/>
    <w:rsid w:val="00636FEA"/>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6085">
      <w:bodyDiv w:val="1"/>
      <w:marLeft w:val="0"/>
      <w:marRight w:val="0"/>
      <w:marTop w:val="0"/>
      <w:marBottom w:val="0"/>
      <w:divBdr>
        <w:top w:val="none" w:sz="0" w:space="0" w:color="auto"/>
        <w:left w:val="none" w:sz="0" w:space="0" w:color="auto"/>
        <w:bottom w:val="none" w:sz="0" w:space="0" w:color="auto"/>
        <w:right w:val="none" w:sz="0" w:space="0" w:color="auto"/>
      </w:divBdr>
      <w:divsChild>
        <w:div w:id="1042637508">
          <w:marLeft w:val="547"/>
          <w:marRight w:val="0"/>
          <w:marTop w:val="0"/>
          <w:marBottom w:val="0"/>
          <w:divBdr>
            <w:top w:val="none" w:sz="0" w:space="0" w:color="auto"/>
            <w:left w:val="none" w:sz="0" w:space="0" w:color="auto"/>
            <w:bottom w:val="none" w:sz="0" w:space="0" w:color="auto"/>
            <w:right w:val="none" w:sz="0" w:space="0" w:color="auto"/>
          </w:divBdr>
        </w:div>
        <w:div w:id="1841962379">
          <w:marLeft w:val="547"/>
          <w:marRight w:val="0"/>
          <w:marTop w:val="0"/>
          <w:marBottom w:val="0"/>
          <w:divBdr>
            <w:top w:val="none" w:sz="0" w:space="0" w:color="auto"/>
            <w:left w:val="none" w:sz="0" w:space="0" w:color="auto"/>
            <w:bottom w:val="none" w:sz="0" w:space="0" w:color="auto"/>
            <w:right w:val="none" w:sz="0" w:space="0" w:color="auto"/>
          </w:divBdr>
        </w:div>
        <w:div w:id="1705327207">
          <w:marLeft w:val="547"/>
          <w:marRight w:val="0"/>
          <w:marTop w:val="0"/>
          <w:marBottom w:val="0"/>
          <w:divBdr>
            <w:top w:val="none" w:sz="0" w:space="0" w:color="auto"/>
            <w:left w:val="none" w:sz="0" w:space="0" w:color="auto"/>
            <w:bottom w:val="none" w:sz="0" w:space="0" w:color="auto"/>
            <w:right w:val="none" w:sz="0" w:space="0" w:color="auto"/>
          </w:divBdr>
        </w:div>
        <w:div w:id="696545754">
          <w:marLeft w:val="547"/>
          <w:marRight w:val="0"/>
          <w:marTop w:val="0"/>
          <w:marBottom w:val="0"/>
          <w:divBdr>
            <w:top w:val="none" w:sz="0" w:space="0" w:color="auto"/>
            <w:left w:val="none" w:sz="0" w:space="0" w:color="auto"/>
            <w:bottom w:val="none" w:sz="0" w:space="0" w:color="auto"/>
            <w:right w:val="none" w:sz="0" w:space="0" w:color="auto"/>
          </w:divBdr>
        </w:div>
        <w:div w:id="159544337">
          <w:marLeft w:val="547"/>
          <w:marRight w:val="0"/>
          <w:marTop w:val="0"/>
          <w:marBottom w:val="0"/>
          <w:divBdr>
            <w:top w:val="none" w:sz="0" w:space="0" w:color="auto"/>
            <w:left w:val="none" w:sz="0" w:space="0" w:color="auto"/>
            <w:bottom w:val="none" w:sz="0" w:space="0" w:color="auto"/>
            <w:right w:val="none" w:sz="0" w:space="0" w:color="auto"/>
          </w:divBdr>
        </w:div>
        <w:div w:id="1065303872">
          <w:marLeft w:val="547"/>
          <w:marRight w:val="0"/>
          <w:marTop w:val="0"/>
          <w:marBottom w:val="0"/>
          <w:divBdr>
            <w:top w:val="none" w:sz="0" w:space="0" w:color="auto"/>
            <w:left w:val="none" w:sz="0" w:space="0" w:color="auto"/>
            <w:bottom w:val="none" w:sz="0" w:space="0" w:color="auto"/>
            <w:right w:val="none" w:sz="0" w:space="0" w:color="auto"/>
          </w:divBdr>
        </w:div>
      </w:divsChild>
    </w:div>
    <w:div w:id="59519934">
      <w:bodyDiv w:val="1"/>
      <w:marLeft w:val="0"/>
      <w:marRight w:val="0"/>
      <w:marTop w:val="0"/>
      <w:marBottom w:val="0"/>
      <w:divBdr>
        <w:top w:val="none" w:sz="0" w:space="0" w:color="auto"/>
        <w:left w:val="none" w:sz="0" w:space="0" w:color="auto"/>
        <w:bottom w:val="none" w:sz="0" w:space="0" w:color="auto"/>
        <w:right w:val="none" w:sz="0" w:space="0" w:color="auto"/>
      </w:divBdr>
    </w:div>
    <w:div w:id="87583778">
      <w:bodyDiv w:val="1"/>
      <w:marLeft w:val="0"/>
      <w:marRight w:val="0"/>
      <w:marTop w:val="0"/>
      <w:marBottom w:val="0"/>
      <w:divBdr>
        <w:top w:val="none" w:sz="0" w:space="0" w:color="auto"/>
        <w:left w:val="none" w:sz="0" w:space="0" w:color="auto"/>
        <w:bottom w:val="none" w:sz="0" w:space="0" w:color="auto"/>
        <w:right w:val="none" w:sz="0" w:space="0" w:color="auto"/>
      </w:divBdr>
    </w:div>
    <w:div w:id="136068596">
      <w:bodyDiv w:val="1"/>
      <w:marLeft w:val="0"/>
      <w:marRight w:val="0"/>
      <w:marTop w:val="0"/>
      <w:marBottom w:val="0"/>
      <w:divBdr>
        <w:top w:val="none" w:sz="0" w:space="0" w:color="auto"/>
        <w:left w:val="none" w:sz="0" w:space="0" w:color="auto"/>
        <w:bottom w:val="none" w:sz="0" w:space="0" w:color="auto"/>
        <w:right w:val="none" w:sz="0" w:space="0" w:color="auto"/>
      </w:divBdr>
      <w:divsChild>
        <w:div w:id="375852881">
          <w:marLeft w:val="274"/>
          <w:marRight w:val="0"/>
          <w:marTop w:val="86"/>
          <w:marBottom w:val="0"/>
          <w:divBdr>
            <w:top w:val="none" w:sz="0" w:space="0" w:color="auto"/>
            <w:left w:val="none" w:sz="0" w:space="0" w:color="auto"/>
            <w:bottom w:val="none" w:sz="0" w:space="0" w:color="auto"/>
            <w:right w:val="none" w:sz="0" w:space="0" w:color="auto"/>
          </w:divBdr>
        </w:div>
        <w:div w:id="324165916">
          <w:marLeft w:val="274"/>
          <w:marRight w:val="0"/>
          <w:marTop w:val="86"/>
          <w:marBottom w:val="0"/>
          <w:divBdr>
            <w:top w:val="none" w:sz="0" w:space="0" w:color="auto"/>
            <w:left w:val="none" w:sz="0" w:space="0" w:color="auto"/>
            <w:bottom w:val="none" w:sz="0" w:space="0" w:color="auto"/>
            <w:right w:val="none" w:sz="0" w:space="0" w:color="auto"/>
          </w:divBdr>
        </w:div>
        <w:div w:id="1668902764">
          <w:marLeft w:val="274"/>
          <w:marRight w:val="0"/>
          <w:marTop w:val="86"/>
          <w:marBottom w:val="0"/>
          <w:divBdr>
            <w:top w:val="none" w:sz="0" w:space="0" w:color="auto"/>
            <w:left w:val="none" w:sz="0" w:space="0" w:color="auto"/>
            <w:bottom w:val="none" w:sz="0" w:space="0" w:color="auto"/>
            <w:right w:val="none" w:sz="0" w:space="0" w:color="auto"/>
          </w:divBdr>
        </w:div>
        <w:div w:id="1666670369">
          <w:marLeft w:val="274"/>
          <w:marRight w:val="0"/>
          <w:marTop w:val="86"/>
          <w:marBottom w:val="0"/>
          <w:divBdr>
            <w:top w:val="none" w:sz="0" w:space="0" w:color="auto"/>
            <w:left w:val="none" w:sz="0" w:space="0" w:color="auto"/>
            <w:bottom w:val="none" w:sz="0" w:space="0" w:color="auto"/>
            <w:right w:val="none" w:sz="0" w:space="0" w:color="auto"/>
          </w:divBdr>
        </w:div>
      </w:divsChild>
    </w:div>
    <w:div w:id="142477775">
      <w:bodyDiv w:val="1"/>
      <w:marLeft w:val="0"/>
      <w:marRight w:val="0"/>
      <w:marTop w:val="0"/>
      <w:marBottom w:val="0"/>
      <w:divBdr>
        <w:top w:val="none" w:sz="0" w:space="0" w:color="auto"/>
        <w:left w:val="none" w:sz="0" w:space="0" w:color="auto"/>
        <w:bottom w:val="none" w:sz="0" w:space="0" w:color="auto"/>
        <w:right w:val="none" w:sz="0" w:space="0" w:color="auto"/>
      </w:divBdr>
      <w:divsChild>
        <w:div w:id="758067791">
          <w:marLeft w:val="547"/>
          <w:marRight w:val="0"/>
          <w:marTop w:val="86"/>
          <w:marBottom w:val="0"/>
          <w:divBdr>
            <w:top w:val="none" w:sz="0" w:space="0" w:color="auto"/>
            <w:left w:val="none" w:sz="0" w:space="0" w:color="auto"/>
            <w:bottom w:val="none" w:sz="0" w:space="0" w:color="auto"/>
            <w:right w:val="none" w:sz="0" w:space="0" w:color="auto"/>
          </w:divBdr>
        </w:div>
        <w:div w:id="251596006">
          <w:marLeft w:val="547"/>
          <w:marRight w:val="0"/>
          <w:marTop w:val="86"/>
          <w:marBottom w:val="0"/>
          <w:divBdr>
            <w:top w:val="none" w:sz="0" w:space="0" w:color="auto"/>
            <w:left w:val="none" w:sz="0" w:space="0" w:color="auto"/>
            <w:bottom w:val="none" w:sz="0" w:space="0" w:color="auto"/>
            <w:right w:val="none" w:sz="0" w:space="0" w:color="auto"/>
          </w:divBdr>
        </w:div>
        <w:div w:id="144712360">
          <w:marLeft w:val="547"/>
          <w:marRight w:val="0"/>
          <w:marTop w:val="86"/>
          <w:marBottom w:val="0"/>
          <w:divBdr>
            <w:top w:val="none" w:sz="0" w:space="0" w:color="auto"/>
            <w:left w:val="none" w:sz="0" w:space="0" w:color="auto"/>
            <w:bottom w:val="none" w:sz="0" w:space="0" w:color="auto"/>
            <w:right w:val="none" w:sz="0" w:space="0" w:color="auto"/>
          </w:divBdr>
        </w:div>
      </w:divsChild>
    </w:div>
    <w:div w:id="147403103">
      <w:bodyDiv w:val="1"/>
      <w:marLeft w:val="0"/>
      <w:marRight w:val="0"/>
      <w:marTop w:val="0"/>
      <w:marBottom w:val="0"/>
      <w:divBdr>
        <w:top w:val="none" w:sz="0" w:space="0" w:color="auto"/>
        <w:left w:val="none" w:sz="0" w:space="0" w:color="auto"/>
        <w:bottom w:val="none" w:sz="0" w:space="0" w:color="auto"/>
        <w:right w:val="none" w:sz="0" w:space="0" w:color="auto"/>
      </w:divBdr>
    </w:div>
    <w:div w:id="154339192">
      <w:bodyDiv w:val="1"/>
      <w:marLeft w:val="0"/>
      <w:marRight w:val="0"/>
      <w:marTop w:val="0"/>
      <w:marBottom w:val="0"/>
      <w:divBdr>
        <w:top w:val="none" w:sz="0" w:space="0" w:color="auto"/>
        <w:left w:val="none" w:sz="0" w:space="0" w:color="auto"/>
        <w:bottom w:val="none" w:sz="0" w:space="0" w:color="auto"/>
        <w:right w:val="none" w:sz="0" w:space="0" w:color="auto"/>
      </w:divBdr>
    </w:div>
    <w:div w:id="176623432">
      <w:bodyDiv w:val="1"/>
      <w:marLeft w:val="0"/>
      <w:marRight w:val="0"/>
      <w:marTop w:val="0"/>
      <w:marBottom w:val="0"/>
      <w:divBdr>
        <w:top w:val="none" w:sz="0" w:space="0" w:color="auto"/>
        <w:left w:val="none" w:sz="0" w:space="0" w:color="auto"/>
        <w:bottom w:val="none" w:sz="0" w:space="0" w:color="auto"/>
        <w:right w:val="none" w:sz="0" w:space="0" w:color="auto"/>
      </w:divBdr>
    </w:div>
    <w:div w:id="177500490">
      <w:bodyDiv w:val="1"/>
      <w:marLeft w:val="0"/>
      <w:marRight w:val="0"/>
      <w:marTop w:val="0"/>
      <w:marBottom w:val="0"/>
      <w:divBdr>
        <w:top w:val="none" w:sz="0" w:space="0" w:color="auto"/>
        <w:left w:val="none" w:sz="0" w:space="0" w:color="auto"/>
        <w:bottom w:val="none" w:sz="0" w:space="0" w:color="auto"/>
        <w:right w:val="none" w:sz="0" w:space="0" w:color="auto"/>
      </w:divBdr>
    </w:div>
    <w:div w:id="188104543">
      <w:bodyDiv w:val="1"/>
      <w:marLeft w:val="0"/>
      <w:marRight w:val="0"/>
      <w:marTop w:val="0"/>
      <w:marBottom w:val="0"/>
      <w:divBdr>
        <w:top w:val="none" w:sz="0" w:space="0" w:color="auto"/>
        <w:left w:val="none" w:sz="0" w:space="0" w:color="auto"/>
        <w:bottom w:val="none" w:sz="0" w:space="0" w:color="auto"/>
        <w:right w:val="none" w:sz="0" w:space="0" w:color="auto"/>
      </w:divBdr>
    </w:div>
    <w:div w:id="207882770">
      <w:bodyDiv w:val="1"/>
      <w:marLeft w:val="0"/>
      <w:marRight w:val="0"/>
      <w:marTop w:val="0"/>
      <w:marBottom w:val="0"/>
      <w:divBdr>
        <w:top w:val="none" w:sz="0" w:space="0" w:color="auto"/>
        <w:left w:val="none" w:sz="0" w:space="0" w:color="auto"/>
        <w:bottom w:val="none" w:sz="0" w:space="0" w:color="auto"/>
        <w:right w:val="none" w:sz="0" w:space="0" w:color="auto"/>
      </w:divBdr>
      <w:divsChild>
        <w:div w:id="773136464">
          <w:marLeft w:val="0"/>
          <w:marRight w:val="0"/>
          <w:marTop w:val="0"/>
          <w:marBottom w:val="0"/>
          <w:divBdr>
            <w:top w:val="none" w:sz="0" w:space="0" w:color="auto"/>
            <w:left w:val="none" w:sz="0" w:space="0" w:color="auto"/>
            <w:bottom w:val="none" w:sz="0" w:space="0" w:color="auto"/>
            <w:right w:val="none" w:sz="0" w:space="0" w:color="auto"/>
          </w:divBdr>
          <w:divsChild>
            <w:div w:id="872963132">
              <w:marLeft w:val="0"/>
              <w:marRight w:val="0"/>
              <w:marTop w:val="0"/>
              <w:marBottom w:val="0"/>
              <w:divBdr>
                <w:top w:val="none" w:sz="0" w:space="0" w:color="auto"/>
                <w:left w:val="none" w:sz="0" w:space="0" w:color="auto"/>
                <w:bottom w:val="none" w:sz="0" w:space="0" w:color="auto"/>
                <w:right w:val="none" w:sz="0" w:space="0" w:color="auto"/>
              </w:divBdr>
              <w:divsChild>
                <w:div w:id="499388675">
                  <w:marLeft w:val="0"/>
                  <w:marRight w:val="0"/>
                  <w:marTop w:val="0"/>
                  <w:marBottom w:val="0"/>
                  <w:divBdr>
                    <w:top w:val="none" w:sz="0" w:space="0" w:color="auto"/>
                    <w:left w:val="none" w:sz="0" w:space="0" w:color="auto"/>
                    <w:bottom w:val="none" w:sz="0" w:space="0" w:color="auto"/>
                    <w:right w:val="none" w:sz="0" w:space="0" w:color="auto"/>
                  </w:divBdr>
                  <w:divsChild>
                    <w:div w:id="869606723">
                      <w:marLeft w:val="150"/>
                      <w:marRight w:val="150"/>
                      <w:marTop w:val="0"/>
                      <w:marBottom w:val="0"/>
                      <w:divBdr>
                        <w:top w:val="none" w:sz="0" w:space="0" w:color="auto"/>
                        <w:left w:val="none" w:sz="0" w:space="0" w:color="auto"/>
                        <w:bottom w:val="none" w:sz="0" w:space="0" w:color="auto"/>
                        <w:right w:val="none" w:sz="0" w:space="0" w:color="auto"/>
                      </w:divBdr>
                      <w:divsChild>
                        <w:div w:id="293759602">
                          <w:marLeft w:val="0"/>
                          <w:marRight w:val="0"/>
                          <w:marTop w:val="0"/>
                          <w:marBottom w:val="0"/>
                          <w:divBdr>
                            <w:top w:val="none" w:sz="0" w:space="0" w:color="auto"/>
                            <w:left w:val="none" w:sz="0" w:space="0" w:color="auto"/>
                            <w:bottom w:val="none" w:sz="0" w:space="0" w:color="auto"/>
                            <w:right w:val="none" w:sz="0" w:space="0" w:color="auto"/>
                          </w:divBdr>
                          <w:divsChild>
                            <w:div w:id="484322842">
                              <w:marLeft w:val="0"/>
                              <w:marRight w:val="0"/>
                              <w:marTop w:val="0"/>
                              <w:marBottom w:val="0"/>
                              <w:divBdr>
                                <w:top w:val="none" w:sz="0" w:space="0" w:color="auto"/>
                                <w:left w:val="none" w:sz="0" w:space="0" w:color="auto"/>
                                <w:bottom w:val="none" w:sz="0" w:space="0" w:color="auto"/>
                                <w:right w:val="none" w:sz="0" w:space="0" w:color="auto"/>
                              </w:divBdr>
                              <w:divsChild>
                                <w:div w:id="680550244">
                                  <w:marLeft w:val="0"/>
                                  <w:marRight w:val="0"/>
                                  <w:marTop w:val="0"/>
                                  <w:marBottom w:val="0"/>
                                  <w:divBdr>
                                    <w:top w:val="none" w:sz="0" w:space="0" w:color="auto"/>
                                    <w:left w:val="none" w:sz="0" w:space="0" w:color="auto"/>
                                    <w:bottom w:val="none" w:sz="0" w:space="0" w:color="auto"/>
                                    <w:right w:val="none" w:sz="0" w:space="0" w:color="auto"/>
                                  </w:divBdr>
                                  <w:divsChild>
                                    <w:div w:id="1056899286">
                                      <w:marLeft w:val="0"/>
                                      <w:marRight w:val="0"/>
                                      <w:marTop w:val="0"/>
                                      <w:marBottom w:val="0"/>
                                      <w:divBdr>
                                        <w:top w:val="none" w:sz="0" w:space="0" w:color="auto"/>
                                        <w:left w:val="none" w:sz="0" w:space="0" w:color="auto"/>
                                        <w:bottom w:val="none" w:sz="0" w:space="0" w:color="auto"/>
                                        <w:right w:val="none" w:sz="0" w:space="0" w:color="auto"/>
                                      </w:divBdr>
                                      <w:divsChild>
                                        <w:div w:id="469445747">
                                          <w:marLeft w:val="0"/>
                                          <w:marRight w:val="0"/>
                                          <w:marTop w:val="0"/>
                                          <w:marBottom w:val="0"/>
                                          <w:divBdr>
                                            <w:top w:val="none" w:sz="0" w:space="0" w:color="auto"/>
                                            <w:left w:val="none" w:sz="0" w:space="0" w:color="auto"/>
                                            <w:bottom w:val="none" w:sz="0" w:space="0" w:color="auto"/>
                                            <w:right w:val="none" w:sz="0" w:space="0" w:color="auto"/>
                                          </w:divBdr>
                                          <w:divsChild>
                                            <w:div w:id="1074161458">
                                              <w:marLeft w:val="0"/>
                                              <w:marRight w:val="0"/>
                                              <w:marTop w:val="0"/>
                                              <w:marBottom w:val="0"/>
                                              <w:divBdr>
                                                <w:top w:val="none" w:sz="0" w:space="0" w:color="auto"/>
                                                <w:left w:val="none" w:sz="0" w:space="0" w:color="auto"/>
                                                <w:bottom w:val="none" w:sz="0" w:space="0" w:color="auto"/>
                                                <w:right w:val="none" w:sz="0" w:space="0" w:color="auto"/>
                                              </w:divBdr>
                                              <w:divsChild>
                                                <w:div w:id="497961714">
                                                  <w:marLeft w:val="0"/>
                                                  <w:marRight w:val="0"/>
                                                  <w:marTop w:val="0"/>
                                                  <w:marBottom w:val="0"/>
                                                  <w:divBdr>
                                                    <w:top w:val="none" w:sz="0" w:space="0" w:color="auto"/>
                                                    <w:left w:val="none" w:sz="0" w:space="0" w:color="auto"/>
                                                    <w:bottom w:val="none" w:sz="0" w:space="0" w:color="auto"/>
                                                    <w:right w:val="none" w:sz="0" w:space="0" w:color="auto"/>
                                                  </w:divBdr>
                                                  <w:divsChild>
                                                    <w:div w:id="256599488">
                                                      <w:marLeft w:val="0"/>
                                                      <w:marRight w:val="0"/>
                                                      <w:marTop w:val="0"/>
                                                      <w:marBottom w:val="0"/>
                                                      <w:divBdr>
                                                        <w:top w:val="none" w:sz="0" w:space="0" w:color="auto"/>
                                                        <w:left w:val="none" w:sz="0" w:space="0" w:color="auto"/>
                                                        <w:bottom w:val="none" w:sz="0" w:space="0" w:color="auto"/>
                                                        <w:right w:val="none" w:sz="0" w:space="0" w:color="auto"/>
                                                      </w:divBdr>
                                                      <w:divsChild>
                                                        <w:div w:id="1284578997">
                                                          <w:marLeft w:val="0"/>
                                                          <w:marRight w:val="0"/>
                                                          <w:marTop w:val="0"/>
                                                          <w:marBottom w:val="0"/>
                                                          <w:divBdr>
                                                            <w:top w:val="none" w:sz="0" w:space="0" w:color="auto"/>
                                                            <w:left w:val="none" w:sz="0" w:space="0" w:color="auto"/>
                                                            <w:bottom w:val="none" w:sz="0" w:space="0" w:color="auto"/>
                                                            <w:right w:val="none" w:sz="0" w:space="0" w:color="auto"/>
                                                          </w:divBdr>
                                                          <w:divsChild>
                                                            <w:div w:id="844975049">
                                                              <w:marLeft w:val="0"/>
                                                              <w:marRight w:val="0"/>
                                                              <w:marTop w:val="0"/>
                                                              <w:marBottom w:val="0"/>
                                                              <w:divBdr>
                                                                <w:top w:val="none" w:sz="0" w:space="0" w:color="auto"/>
                                                                <w:left w:val="none" w:sz="0" w:space="0" w:color="auto"/>
                                                                <w:bottom w:val="none" w:sz="0" w:space="0" w:color="auto"/>
                                                                <w:right w:val="none" w:sz="0" w:space="0" w:color="auto"/>
                                                              </w:divBdr>
                                                            </w:div>
                                                            <w:div w:id="1804301533">
                                                              <w:marLeft w:val="0"/>
                                                              <w:marRight w:val="0"/>
                                                              <w:marTop w:val="0"/>
                                                              <w:marBottom w:val="0"/>
                                                              <w:divBdr>
                                                                <w:top w:val="none" w:sz="0" w:space="0" w:color="auto"/>
                                                                <w:left w:val="none" w:sz="0" w:space="0" w:color="auto"/>
                                                                <w:bottom w:val="none" w:sz="0" w:space="0" w:color="auto"/>
                                                                <w:right w:val="none" w:sz="0" w:space="0" w:color="auto"/>
                                                              </w:divBdr>
                                                            </w:div>
                                                            <w:div w:id="1975014505">
                                                              <w:marLeft w:val="0"/>
                                                              <w:marRight w:val="0"/>
                                                              <w:marTop w:val="0"/>
                                                              <w:marBottom w:val="0"/>
                                                              <w:divBdr>
                                                                <w:top w:val="none" w:sz="0" w:space="0" w:color="auto"/>
                                                                <w:left w:val="none" w:sz="0" w:space="0" w:color="auto"/>
                                                                <w:bottom w:val="none" w:sz="0" w:space="0" w:color="auto"/>
                                                                <w:right w:val="none" w:sz="0" w:space="0" w:color="auto"/>
                                                              </w:divBdr>
                                                            </w:div>
                                                            <w:div w:id="1859806045">
                                                              <w:marLeft w:val="0"/>
                                                              <w:marRight w:val="0"/>
                                                              <w:marTop w:val="0"/>
                                                              <w:marBottom w:val="0"/>
                                                              <w:divBdr>
                                                                <w:top w:val="none" w:sz="0" w:space="0" w:color="auto"/>
                                                                <w:left w:val="none" w:sz="0" w:space="0" w:color="auto"/>
                                                                <w:bottom w:val="none" w:sz="0" w:space="0" w:color="auto"/>
                                                                <w:right w:val="none" w:sz="0" w:space="0" w:color="auto"/>
                                                              </w:divBdr>
                                                            </w:div>
                                                            <w:div w:id="21103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475315">
                              <w:marLeft w:val="0"/>
                              <w:marRight w:val="0"/>
                              <w:marTop w:val="0"/>
                              <w:marBottom w:val="0"/>
                              <w:divBdr>
                                <w:top w:val="none" w:sz="0" w:space="0" w:color="auto"/>
                                <w:left w:val="none" w:sz="0" w:space="0" w:color="auto"/>
                                <w:bottom w:val="none" w:sz="0" w:space="0" w:color="auto"/>
                                <w:right w:val="none" w:sz="0" w:space="0" w:color="auto"/>
                              </w:divBdr>
                              <w:divsChild>
                                <w:div w:id="1428577743">
                                  <w:marLeft w:val="0"/>
                                  <w:marRight w:val="0"/>
                                  <w:marTop w:val="0"/>
                                  <w:marBottom w:val="0"/>
                                  <w:divBdr>
                                    <w:top w:val="none" w:sz="0" w:space="0" w:color="auto"/>
                                    <w:left w:val="none" w:sz="0" w:space="0" w:color="auto"/>
                                    <w:bottom w:val="none" w:sz="0" w:space="0" w:color="auto"/>
                                    <w:right w:val="none" w:sz="0" w:space="0" w:color="auto"/>
                                  </w:divBdr>
                                  <w:divsChild>
                                    <w:div w:id="7010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6110">
              <w:marLeft w:val="0"/>
              <w:marRight w:val="0"/>
              <w:marTop w:val="0"/>
              <w:marBottom w:val="0"/>
              <w:divBdr>
                <w:top w:val="none" w:sz="0" w:space="0" w:color="auto"/>
                <w:left w:val="none" w:sz="0" w:space="0" w:color="auto"/>
                <w:bottom w:val="none" w:sz="0" w:space="0" w:color="auto"/>
                <w:right w:val="none" w:sz="0" w:space="0" w:color="auto"/>
              </w:divBdr>
              <w:divsChild>
                <w:div w:id="1268004286">
                  <w:marLeft w:val="0"/>
                  <w:marRight w:val="0"/>
                  <w:marTop w:val="0"/>
                  <w:marBottom w:val="0"/>
                  <w:divBdr>
                    <w:top w:val="none" w:sz="0" w:space="0" w:color="auto"/>
                    <w:left w:val="none" w:sz="0" w:space="0" w:color="auto"/>
                    <w:bottom w:val="none" w:sz="0" w:space="0" w:color="auto"/>
                    <w:right w:val="none" w:sz="0" w:space="0" w:color="auto"/>
                  </w:divBdr>
                  <w:divsChild>
                    <w:div w:id="259878948">
                      <w:marLeft w:val="150"/>
                      <w:marRight w:val="150"/>
                      <w:marTop w:val="0"/>
                      <w:marBottom w:val="0"/>
                      <w:divBdr>
                        <w:top w:val="none" w:sz="0" w:space="0" w:color="auto"/>
                        <w:left w:val="none" w:sz="0" w:space="0" w:color="auto"/>
                        <w:bottom w:val="none" w:sz="0" w:space="0" w:color="auto"/>
                        <w:right w:val="none" w:sz="0" w:space="0" w:color="auto"/>
                      </w:divBdr>
                      <w:divsChild>
                        <w:div w:id="1968506097">
                          <w:marLeft w:val="0"/>
                          <w:marRight w:val="0"/>
                          <w:marTop w:val="0"/>
                          <w:marBottom w:val="0"/>
                          <w:divBdr>
                            <w:top w:val="none" w:sz="0" w:space="0" w:color="auto"/>
                            <w:left w:val="none" w:sz="0" w:space="0" w:color="auto"/>
                            <w:bottom w:val="none" w:sz="0" w:space="0" w:color="auto"/>
                            <w:right w:val="none" w:sz="0" w:space="0" w:color="auto"/>
                          </w:divBdr>
                          <w:divsChild>
                            <w:div w:id="177351320">
                              <w:marLeft w:val="0"/>
                              <w:marRight w:val="0"/>
                              <w:marTop w:val="0"/>
                              <w:marBottom w:val="0"/>
                              <w:divBdr>
                                <w:top w:val="none" w:sz="0" w:space="0" w:color="auto"/>
                                <w:left w:val="none" w:sz="0" w:space="0" w:color="auto"/>
                                <w:bottom w:val="none" w:sz="0" w:space="0" w:color="auto"/>
                                <w:right w:val="none" w:sz="0" w:space="0" w:color="auto"/>
                              </w:divBdr>
                              <w:divsChild>
                                <w:div w:id="1940940507">
                                  <w:marLeft w:val="0"/>
                                  <w:marRight w:val="0"/>
                                  <w:marTop w:val="0"/>
                                  <w:marBottom w:val="0"/>
                                  <w:divBdr>
                                    <w:top w:val="none" w:sz="0" w:space="0" w:color="auto"/>
                                    <w:left w:val="none" w:sz="0" w:space="0" w:color="auto"/>
                                    <w:bottom w:val="none" w:sz="0" w:space="0" w:color="auto"/>
                                    <w:right w:val="none" w:sz="0" w:space="0" w:color="auto"/>
                                  </w:divBdr>
                                  <w:divsChild>
                                    <w:div w:id="2565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8292">
                              <w:marLeft w:val="0"/>
                              <w:marRight w:val="0"/>
                              <w:marTop w:val="0"/>
                              <w:marBottom w:val="0"/>
                              <w:divBdr>
                                <w:top w:val="none" w:sz="0" w:space="0" w:color="auto"/>
                                <w:left w:val="none" w:sz="0" w:space="0" w:color="auto"/>
                                <w:bottom w:val="none" w:sz="0" w:space="0" w:color="auto"/>
                                <w:right w:val="none" w:sz="0" w:space="0" w:color="auto"/>
                              </w:divBdr>
                              <w:divsChild>
                                <w:div w:id="1820341752">
                                  <w:marLeft w:val="0"/>
                                  <w:marRight w:val="0"/>
                                  <w:marTop w:val="0"/>
                                  <w:marBottom w:val="0"/>
                                  <w:divBdr>
                                    <w:top w:val="none" w:sz="0" w:space="0" w:color="auto"/>
                                    <w:left w:val="none" w:sz="0" w:space="0" w:color="auto"/>
                                    <w:bottom w:val="none" w:sz="0" w:space="0" w:color="auto"/>
                                    <w:right w:val="none" w:sz="0" w:space="0" w:color="auto"/>
                                  </w:divBdr>
                                  <w:divsChild>
                                    <w:div w:id="6943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340">
                              <w:marLeft w:val="0"/>
                              <w:marRight w:val="0"/>
                              <w:marTop w:val="0"/>
                              <w:marBottom w:val="0"/>
                              <w:divBdr>
                                <w:top w:val="none" w:sz="0" w:space="0" w:color="auto"/>
                                <w:left w:val="none" w:sz="0" w:space="0" w:color="auto"/>
                                <w:bottom w:val="none" w:sz="0" w:space="0" w:color="auto"/>
                                <w:right w:val="none" w:sz="0" w:space="0" w:color="auto"/>
                              </w:divBdr>
                              <w:divsChild>
                                <w:div w:id="1940479237">
                                  <w:marLeft w:val="0"/>
                                  <w:marRight w:val="0"/>
                                  <w:marTop w:val="0"/>
                                  <w:marBottom w:val="0"/>
                                  <w:divBdr>
                                    <w:top w:val="none" w:sz="0" w:space="0" w:color="auto"/>
                                    <w:left w:val="none" w:sz="0" w:space="0" w:color="auto"/>
                                    <w:bottom w:val="none" w:sz="0" w:space="0" w:color="auto"/>
                                    <w:right w:val="none" w:sz="0" w:space="0" w:color="auto"/>
                                  </w:divBdr>
                                  <w:divsChild>
                                    <w:div w:id="11185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44090">
          <w:marLeft w:val="0"/>
          <w:marRight w:val="0"/>
          <w:marTop w:val="0"/>
          <w:marBottom w:val="0"/>
          <w:divBdr>
            <w:top w:val="single" w:sz="6" w:space="4" w:color="FFFFFF"/>
            <w:left w:val="single" w:sz="6" w:space="8" w:color="FFFFFF"/>
            <w:bottom w:val="single" w:sz="6" w:space="4" w:color="FFFFFF"/>
            <w:right w:val="single" w:sz="6" w:space="8" w:color="FFFFFF"/>
          </w:divBdr>
        </w:div>
      </w:divsChild>
    </w:div>
    <w:div w:id="237517450">
      <w:bodyDiv w:val="1"/>
      <w:marLeft w:val="0"/>
      <w:marRight w:val="0"/>
      <w:marTop w:val="0"/>
      <w:marBottom w:val="0"/>
      <w:divBdr>
        <w:top w:val="none" w:sz="0" w:space="0" w:color="auto"/>
        <w:left w:val="none" w:sz="0" w:space="0" w:color="auto"/>
        <w:bottom w:val="none" w:sz="0" w:space="0" w:color="auto"/>
        <w:right w:val="none" w:sz="0" w:space="0" w:color="auto"/>
      </w:divBdr>
    </w:div>
    <w:div w:id="265234733">
      <w:bodyDiv w:val="1"/>
      <w:marLeft w:val="0"/>
      <w:marRight w:val="0"/>
      <w:marTop w:val="0"/>
      <w:marBottom w:val="0"/>
      <w:divBdr>
        <w:top w:val="none" w:sz="0" w:space="0" w:color="auto"/>
        <w:left w:val="none" w:sz="0" w:space="0" w:color="auto"/>
        <w:bottom w:val="none" w:sz="0" w:space="0" w:color="auto"/>
        <w:right w:val="none" w:sz="0" w:space="0" w:color="auto"/>
      </w:divBdr>
    </w:div>
    <w:div w:id="274672957">
      <w:bodyDiv w:val="1"/>
      <w:marLeft w:val="0"/>
      <w:marRight w:val="0"/>
      <w:marTop w:val="0"/>
      <w:marBottom w:val="0"/>
      <w:divBdr>
        <w:top w:val="none" w:sz="0" w:space="0" w:color="auto"/>
        <w:left w:val="none" w:sz="0" w:space="0" w:color="auto"/>
        <w:bottom w:val="none" w:sz="0" w:space="0" w:color="auto"/>
        <w:right w:val="none" w:sz="0" w:space="0" w:color="auto"/>
      </w:divBdr>
      <w:divsChild>
        <w:div w:id="1987320854">
          <w:marLeft w:val="0"/>
          <w:marRight w:val="0"/>
          <w:marTop w:val="0"/>
          <w:marBottom w:val="0"/>
          <w:divBdr>
            <w:top w:val="none" w:sz="0" w:space="0" w:color="auto"/>
            <w:left w:val="none" w:sz="0" w:space="0" w:color="auto"/>
            <w:bottom w:val="none" w:sz="0" w:space="0" w:color="auto"/>
            <w:right w:val="none" w:sz="0" w:space="0" w:color="auto"/>
          </w:divBdr>
          <w:divsChild>
            <w:div w:id="1009915542">
              <w:marLeft w:val="0"/>
              <w:marRight w:val="0"/>
              <w:marTop w:val="0"/>
              <w:marBottom w:val="0"/>
              <w:divBdr>
                <w:top w:val="none" w:sz="0" w:space="0" w:color="auto"/>
                <w:left w:val="none" w:sz="0" w:space="0" w:color="auto"/>
                <w:bottom w:val="none" w:sz="0" w:space="0" w:color="auto"/>
                <w:right w:val="none" w:sz="0" w:space="0" w:color="auto"/>
              </w:divBdr>
              <w:divsChild>
                <w:div w:id="264774513">
                  <w:marLeft w:val="0"/>
                  <w:marRight w:val="0"/>
                  <w:marTop w:val="0"/>
                  <w:marBottom w:val="0"/>
                  <w:divBdr>
                    <w:top w:val="none" w:sz="0" w:space="0" w:color="auto"/>
                    <w:left w:val="none" w:sz="0" w:space="0" w:color="auto"/>
                    <w:bottom w:val="none" w:sz="0" w:space="0" w:color="auto"/>
                    <w:right w:val="none" w:sz="0" w:space="0" w:color="auto"/>
                  </w:divBdr>
                  <w:divsChild>
                    <w:div w:id="858738887">
                      <w:marLeft w:val="0"/>
                      <w:marRight w:val="0"/>
                      <w:marTop w:val="0"/>
                      <w:marBottom w:val="0"/>
                      <w:divBdr>
                        <w:top w:val="none" w:sz="0" w:space="0" w:color="auto"/>
                        <w:left w:val="none" w:sz="0" w:space="0" w:color="auto"/>
                        <w:bottom w:val="none" w:sz="0" w:space="0" w:color="auto"/>
                        <w:right w:val="none" w:sz="0" w:space="0" w:color="auto"/>
                      </w:divBdr>
                      <w:divsChild>
                        <w:div w:id="1436824094">
                          <w:marLeft w:val="0"/>
                          <w:marRight w:val="0"/>
                          <w:marTop w:val="0"/>
                          <w:marBottom w:val="0"/>
                          <w:divBdr>
                            <w:top w:val="none" w:sz="0" w:space="0" w:color="auto"/>
                            <w:left w:val="none" w:sz="0" w:space="0" w:color="auto"/>
                            <w:bottom w:val="none" w:sz="0" w:space="0" w:color="auto"/>
                            <w:right w:val="none" w:sz="0" w:space="0" w:color="auto"/>
                          </w:divBdr>
                          <w:divsChild>
                            <w:div w:id="1771122637">
                              <w:marLeft w:val="0"/>
                              <w:marRight w:val="0"/>
                              <w:marTop w:val="270"/>
                              <w:marBottom w:val="270"/>
                              <w:divBdr>
                                <w:top w:val="none" w:sz="0" w:space="0" w:color="auto"/>
                                <w:left w:val="none" w:sz="0" w:space="0" w:color="auto"/>
                                <w:bottom w:val="none" w:sz="0" w:space="0" w:color="auto"/>
                                <w:right w:val="none" w:sz="0" w:space="0" w:color="auto"/>
                              </w:divBdr>
                              <w:divsChild>
                                <w:div w:id="426581997">
                                  <w:marLeft w:val="0"/>
                                  <w:marRight w:val="0"/>
                                  <w:marTop w:val="0"/>
                                  <w:marBottom w:val="0"/>
                                  <w:divBdr>
                                    <w:top w:val="none" w:sz="0" w:space="0" w:color="auto"/>
                                    <w:left w:val="none" w:sz="0" w:space="0" w:color="auto"/>
                                    <w:bottom w:val="none" w:sz="0" w:space="0" w:color="auto"/>
                                    <w:right w:val="none" w:sz="0" w:space="0" w:color="auto"/>
                                  </w:divBdr>
                                  <w:divsChild>
                                    <w:div w:id="12001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48323">
      <w:bodyDiv w:val="1"/>
      <w:marLeft w:val="0"/>
      <w:marRight w:val="0"/>
      <w:marTop w:val="0"/>
      <w:marBottom w:val="0"/>
      <w:divBdr>
        <w:top w:val="none" w:sz="0" w:space="0" w:color="auto"/>
        <w:left w:val="none" w:sz="0" w:space="0" w:color="auto"/>
        <w:bottom w:val="none" w:sz="0" w:space="0" w:color="auto"/>
        <w:right w:val="none" w:sz="0" w:space="0" w:color="auto"/>
      </w:divBdr>
      <w:divsChild>
        <w:div w:id="721639431">
          <w:marLeft w:val="446"/>
          <w:marRight w:val="0"/>
          <w:marTop w:val="108"/>
          <w:marBottom w:val="0"/>
          <w:divBdr>
            <w:top w:val="none" w:sz="0" w:space="0" w:color="auto"/>
            <w:left w:val="none" w:sz="0" w:space="0" w:color="auto"/>
            <w:bottom w:val="none" w:sz="0" w:space="0" w:color="auto"/>
            <w:right w:val="none" w:sz="0" w:space="0" w:color="auto"/>
          </w:divBdr>
        </w:div>
        <w:div w:id="1448158648">
          <w:marLeft w:val="446"/>
          <w:marRight w:val="0"/>
          <w:marTop w:val="108"/>
          <w:marBottom w:val="0"/>
          <w:divBdr>
            <w:top w:val="none" w:sz="0" w:space="0" w:color="auto"/>
            <w:left w:val="none" w:sz="0" w:space="0" w:color="auto"/>
            <w:bottom w:val="none" w:sz="0" w:space="0" w:color="auto"/>
            <w:right w:val="none" w:sz="0" w:space="0" w:color="auto"/>
          </w:divBdr>
        </w:div>
      </w:divsChild>
    </w:div>
    <w:div w:id="448283888">
      <w:bodyDiv w:val="1"/>
      <w:marLeft w:val="0"/>
      <w:marRight w:val="0"/>
      <w:marTop w:val="0"/>
      <w:marBottom w:val="0"/>
      <w:divBdr>
        <w:top w:val="none" w:sz="0" w:space="0" w:color="auto"/>
        <w:left w:val="none" w:sz="0" w:space="0" w:color="auto"/>
        <w:bottom w:val="none" w:sz="0" w:space="0" w:color="auto"/>
        <w:right w:val="none" w:sz="0" w:space="0" w:color="auto"/>
      </w:divBdr>
      <w:divsChild>
        <w:div w:id="1561090637">
          <w:marLeft w:val="274"/>
          <w:marRight w:val="0"/>
          <w:marTop w:val="86"/>
          <w:marBottom w:val="0"/>
          <w:divBdr>
            <w:top w:val="none" w:sz="0" w:space="0" w:color="auto"/>
            <w:left w:val="none" w:sz="0" w:space="0" w:color="auto"/>
            <w:bottom w:val="none" w:sz="0" w:space="0" w:color="auto"/>
            <w:right w:val="none" w:sz="0" w:space="0" w:color="auto"/>
          </w:divBdr>
        </w:div>
        <w:div w:id="326712034">
          <w:marLeft w:val="274"/>
          <w:marRight w:val="0"/>
          <w:marTop w:val="86"/>
          <w:marBottom w:val="0"/>
          <w:divBdr>
            <w:top w:val="none" w:sz="0" w:space="0" w:color="auto"/>
            <w:left w:val="none" w:sz="0" w:space="0" w:color="auto"/>
            <w:bottom w:val="none" w:sz="0" w:space="0" w:color="auto"/>
            <w:right w:val="none" w:sz="0" w:space="0" w:color="auto"/>
          </w:divBdr>
        </w:div>
        <w:div w:id="163059160">
          <w:marLeft w:val="274"/>
          <w:marRight w:val="0"/>
          <w:marTop w:val="86"/>
          <w:marBottom w:val="0"/>
          <w:divBdr>
            <w:top w:val="none" w:sz="0" w:space="0" w:color="auto"/>
            <w:left w:val="none" w:sz="0" w:space="0" w:color="auto"/>
            <w:bottom w:val="none" w:sz="0" w:space="0" w:color="auto"/>
            <w:right w:val="none" w:sz="0" w:space="0" w:color="auto"/>
          </w:divBdr>
        </w:div>
        <w:div w:id="1393388973">
          <w:marLeft w:val="274"/>
          <w:marRight w:val="0"/>
          <w:marTop w:val="86"/>
          <w:marBottom w:val="0"/>
          <w:divBdr>
            <w:top w:val="none" w:sz="0" w:space="0" w:color="auto"/>
            <w:left w:val="none" w:sz="0" w:space="0" w:color="auto"/>
            <w:bottom w:val="none" w:sz="0" w:space="0" w:color="auto"/>
            <w:right w:val="none" w:sz="0" w:space="0" w:color="auto"/>
          </w:divBdr>
        </w:div>
        <w:div w:id="667169557">
          <w:marLeft w:val="274"/>
          <w:marRight w:val="0"/>
          <w:marTop w:val="86"/>
          <w:marBottom w:val="0"/>
          <w:divBdr>
            <w:top w:val="none" w:sz="0" w:space="0" w:color="auto"/>
            <w:left w:val="none" w:sz="0" w:space="0" w:color="auto"/>
            <w:bottom w:val="none" w:sz="0" w:space="0" w:color="auto"/>
            <w:right w:val="none" w:sz="0" w:space="0" w:color="auto"/>
          </w:divBdr>
        </w:div>
        <w:div w:id="1016073676">
          <w:marLeft w:val="274"/>
          <w:marRight w:val="0"/>
          <w:marTop w:val="86"/>
          <w:marBottom w:val="0"/>
          <w:divBdr>
            <w:top w:val="none" w:sz="0" w:space="0" w:color="auto"/>
            <w:left w:val="none" w:sz="0" w:space="0" w:color="auto"/>
            <w:bottom w:val="none" w:sz="0" w:space="0" w:color="auto"/>
            <w:right w:val="none" w:sz="0" w:space="0" w:color="auto"/>
          </w:divBdr>
        </w:div>
        <w:div w:id="1999990829">
          <w:marLeft w:val="274"/>
          <w:marRight w:val="0"/>
          <w:marTop w:val="86"/>
          <w:marBottom w:val="0"/>
          <w:divBdr>
            <w:top w:val="none" w:sz="0" w:space="0" w:color="auto"/>
            <w:left w:val="none" w:sz="0" w:space="0" w:color="auto"/>
            <w:bottom w:val="none" w:sz="0" w:space="0" w:color="auto"/>
            <w:right w:val="none" w:sz="0" w:space="0" w:color="auto"/>
          </w:divBdr>
        </w:div>
        <w:div w:id="1807351994">
          <w:marLeft w:val="274"/>
          <w:marRight w:val="0"/>
          <w:marTop w:val="86"/>
          <w:marBottom w:val="0"/>
          <w:divBdr>
            <w:top w:val="none" w:sz="0" w:space="0" w:color="auto"/>
            <w:left w:val="none" w:sz="0" w:space="0" w:color="auto"/>
            <w:bottom w:val="none" w:sz="0" w:space="0" w:color="auto"/>
            <w:right w:val="none" w:sz="0" w:space="0" w:color="auto"/>
          </w:divBdr>
        </w:div>
        <w:div w:id="1123577101">
          <w:marLeft w:val="274"/>
          <w:marRight w:val="0"/>
          <w:marTop w:val="86"/>
          <w:marBottom w:val="0"/>
          <w:divBdr>
            <w:top w:val="none" w:sz="0" w:space="0" w:color="auto"/>
            <w:left w:val="none" w:sz="0" w:space="0" w:color="auto"/>
            <w:bottom w:val="none" w:sz="0" w:space="0" w:color="auto"/>
            <w:right w:val="none" w:sz="0" w:space="0" w:color="auto"/>
          </w:divBdr>
        </w:div>
        <w:div w:id="200939755">
          <w:marLeft w:val="274"/>
          <w:marRight w:val="0"/>
          <w:marTop w:val="86"/>
          <w:marBottom w:val="0"/>
          <w:divBdr>
            <w:top w:val="none" w:sz="0" w:space="0" w:color="auto"/>
            <w:left w:val="none" w:sz="0" w:space="0" w:color="auto"/>
            <w:bottom w:val="none" w:sz="0" w:space="0" w:color="auto"/>
            <w:right w:val="none" w:sz="0" w:space="0" w:color="auto"/>
          </w:divBdr>
        </w:div>
        <w:div w:id="1598446607">
          <w:marLeft w:val="274"/>
          <w:marRight w:val="0"/>
          <w:marTop w:val="86"/>
          <w:marBottom w:val="0"/>
          <w:divBdr>
            <w:top w:val="none" w:sz="0" w:space="0" w:color="auto"/>
            <w:left w:val="none" w:sz="0" w:space="0" w:color="auto"/>
            <w:bottom w:val="none" w:sz="0" w:space="0" w:color="auto"/>
            <w:right w:val="none" w:sz="0" w:space="0" w:color="auto"/>
          </w:divBdr>
        </w:div>
        <w:div w:id="1964994190">
          <w:marLeft w:val="274"/>
          <w:marRight w:val="0"/>
          <w:marTop w:val="86"/>
          <w:marBottom w:val="0"/>
          <w:divBdr>
            <w:top w:val="none" w:sz="0" w:space="0" w:color="auto"/>
            <w:left w:val="none" w:sz="0" w:space="0" w:color="auto"/>
            <w:bottom w:val="none" w:sz="0" w:space="0" w:color="auto"/>
            <w:right w:val="none" w:sz="0" w:space="0" w:color="auto"/>
          </w:divBdr>
        </w:div>
        <w:div w:id="740450064">
          <w:marLeft w:val="274"/>
          <w:marRight w:val="0"/>
          <w:marTop w:val="86"/>
          <w:marBottom w:val="0"/>
          <w:divBdr>
            <w:top w:val="none" w:sz="0" w:space="0" w:color="auto"/>
            <w:left w:val="none" w:sz="0" w:space="0" w:color="auto"/>
            <w:bottom w:val="none" w:sz="0" w:space="0" w:color="auto"/>
            <w:right w:val="none" w:sz="0" w:space="0" w:color="auto"/>
          </w:divBdr>
        </w:div>
      </w:divsChild>
    </w:div>
    <w:div w:id="453445823">
      <w:bodyDiv w:val="1"/>
      <w:marLeft w:val="0"/>
      <w:marRight w:val="0"/>
      <w:marTop w:val="0"/>
      <w:marBottom w:val="0"/>
      <w:divBdr>
        <w:top w:val="none" w:sz="0" w:space="0" w:color="auto"/>
        <w:left w:val="none" w:sz="0" w:space="0" w:color="auto"/>
        <w:bottom w:val="none" w:sz="0" w:space="0" w:color="auto"/>
        <w:right w:val="none" w:sz="0" w:space="0" w:color="auto"/>
      </w:divBdr>
      <w:divsChild>
        <w:div w:id="248580591">
          <w:marLeft w:val="0"/>
          <w:marRight w:val="0"/>
          <w:marTop w:val="0"/>
          <w:marBottom w:val="0"/>
          <w:divBdr>
            <w:top w:val="none" w:sz="0" w:space="0" w:color="auto"/>
            <w:left w:val="none" w:sz="0" w:space="0" w:color="auto"/>
            <w:bottom w:val="none" w:sz="0" w:space="0" w:color="auto"/>
            <w:right w:val="none" w:sz="0" w:space="0" w:color="auto"/>
          </w:divBdr>
          <w:divsChild>
            <w:div w:id="154808564">
              <w:marLeft w:val="0"/>
              <w:marRight w:val="0"/>
              <w:marTop w:val="0"/>
              <w:marBottom w:val="0"/>
              <w:divBdr>
                <w:top w:val="none" w:sz="0" w:space="0" w:color="auto"/>
                <w:left w:val="none" w:sz="0" w:space="0" w:color="auto"/>
                <w:bottom w:val="none" w:sz="0" w:space="0" w:color="auto"/>
                <w:right w:val="none" w:sz="0" w:space="0" w:color="auto"/>
              </w:divBdr>
              <w:divsChild>
                <w:div w:id="1961571512">
                  <w:marLeft w:val="0"/>
                  <w:marRight w:val="0"/>
                  <w:marTop w:val="0"/>
                  <w:marBottom w:val="0"/>
                  <w:divBdr>
                    <w:top w:val="none" w:sz="0" w:space="0" w:color="auto"/>
                    <w:left w:val="none" w:sz="0" w:space="0" w:color="auto"/>
                    <w:bottom w:val="none" w:sz="0" w:space="0" w:color="auto"/>
                    <w:right w:val="none" w:sz="0" w:space="0" w:color="auto"/>
                  </w:divBdr>
                  <w:divsChild>
                    <w:div w:id="2008317377">
                      <w:marLeft w:val="0"/>
                      <w:marRight w:val="0"/>
                      <w:marTop w:val="0"/>
                      <w:marBottom w:val="0"/>
                      <w:divBdr>
                        <w:top w:val="none" w:sz="0" w:space="0" w:color="auto"/>
                        <w:left w:val="none" w:sz="0" w:space="0" w:color="auto"/>
                        <w:bottom w:val="none" w:sz="0" w:space="0" w:color="auto"/>
                        <w:right w:val="none" w:sz="0" w:space="0" w:color="auto"/>
                      </w:divBdr>
                      <w:divsChild>
                        <w:div w:id="1969621503">
                          <w:marLeft w:val="-225"/>
                          <w:marRight w:val="-225"/>
                          <w:marTop w:val="0"/>
                          <w:marBottom w:val="0"/>
                          <w:divBdr>
                            <w:top w:val="none" w:sz="0" w:space="0" w:color="auto"/>
                            <w:left w:val="none" w:sz="0" w:space="0" w:color="auto"/>
                            <w:bottom w:val="none" w:sz="0" w:space="0" w:color="auto"/>
                            <w:right w:val="none" w:sz="0" w:space="0" w:color="auto"/>
                          </w:divBdr>
                          <w:divsChild>
                            <w:div w:id="1483082392">
                              <w:marLeft w:val="0"/>
                              <w:marRight w:val="0"/>
                              <w:marTop w:val="0"/>
                              <w:marBottom w:val="0"/>
                              <w:divBdr>
                                <w:top w:val="none" w:sz="0" w:space="0" w:color="auto"/>
                                <w:left w:val="none" w:sz="0" w:space="0" w:color="auto"/>
                                <w:bottom w:val="none" w:sz="0" w:space="0" w:color="auto"/>
                                <w:right w:val="none" w:sz="0" w:space="0" w:color="auto"/>
                              </w:divBdr>
                              <w:divsChild>
                                <w:div w:id="833036733">
                                  <w:marLeft w:val="0"/>
                                  <w:marRight w:val="0"/>
                                  <w:marTop w:val="0"/>
                                  <w:marBottom w:val="0"/>
                                  <w:divBdr>
                                    <w:top w:val="none" w:sz="0" w:space="0" w:color="auto"/>
                                    <w:left w:val="none" w:sz="0" w:space="0" w:color="auto"/>
                                    <w:bottom w:val="none" w:sz="0" w:space="0" w:color="auto"/>
                                    <w:right w:val="none" w:sz="0" w:space="0" w:color="auto"/>
                                  </w:divBdr>
                                  <w:divsChild>
                                    <w:div w:id="1251960924">
                                      <w:marLeft w:val="0"/>
                                      <w:marRight w:val="0"/>
                                      <w:marTop w:val="0"/>
                                      <w:marBottom w:val="0"/>
                                      <w:divBdr>
                                        <w:top w:val="none" w:sz="0" w:space="0" w:color="auto"/>
                                        <w:left w:val="none" w:sz="0" w:space="0" w:color="auto"/>
                                        <w:bottom w:val="none" w:sz="0" w:space="0" w:color="auto"/>
                                        <w:right w:val="none" w:sz="0" w:space="0" w:color="auto"/>
                                      </w:divBdr>
                                      <w:divsChild>
                                        <w:div w:id="1014917376">
                                          <w:marLeft w:val="-225"/>
                                          <w:marRight w:val="-225"/>
                                          <w:marTop w:val="0"/>
                                          <w:marBottom w:val="0"/>
                                          <w:divBdr>
                                            <w:top w:val="none" w:sz="0" w:space="0" w:color="auto"/>
                                            <w:left w:val="none" w:sz="0" w:space="0" w:color="auto"/>
                                            <w:bottom w:val="none" w:sz="0" w:space="0" w:color="auto"/>
                                            <w:right w:val="none" w:sz="0" w:space="0" w:color="auto"/>
                                          </w:divBdr>
                                          <w:divsChild>
                                            <w:div w:id="527380468">
                                              <w:marLeft w:val="0"/>
                                              <w:marRight w:val="0"/>
                                              <w:marTop w:val="0"/>
                                              <w:marBottom w:val="0"/>
                                              <w:divBdr>
                                                <w:top w:val="none" w:sz="0" w:space="0" w:color="auto"/>
                                                <w:left w:val="none" w:sz="0" w:space="0" w:color="auto"/>
                                                <w:bottom w:val="none" w:sz="0" w:space="0" w:color="auto"/>
                                                <w:right w:val="none" w:sz="0" w:space="0" w:color="auto"/>
                                              </w:divBdr>
                                              <w:divsChild>
                                                <w:div w:id="165023139">
                                                  <w:marLeft w:val="0"/>
                                                  <w:marRight w:val="0"/>
                                                  <w:marTop w:val="0"/>
                                                  <w:marBottom w:val="0"/>
                                                  <w:divBdr>
                                                    <w:top w:val="none" w:sz="0" w:space="0" w:color="auto"/>
                                                    <w:left w:val="none" w:sz="0" w:space="0" w:color="auto"/>
                                                    <w:bottom w:val="none" w:sz="0" w:space="0" w:color="auto"/>
                                                    <w:right w:val="none" w:sz="0" w:space="0" w:color="auto"/>
                                                  </w:divBdr>
                                                  <w:divsChild>
                                                    <w:div w:id="947617281">
                                                      <w:marLeft w:val="0"/>
                                                      <w:marRight w:val="0"/>
                                                      <w:marTop w:val="0"/>
                                                      <w:marBottom w:val="0"/>
                                                      <w:divBdr>
                                                        <w:top w:val="none" w:sz="0" w:space="0" w:color="auto"/>
                                                        <w:left w:val="none" w:sz="0" w:space="0" w:color="auto"/>
                                                        <w:bottom w:val="none" w:sz="0" w:space="0" w:color="auto"/>
                                                        <w:right w:val="none" w:sz="0" w:space="0" w:color="auto"/>
                                                      </w:divBdr>
                                                      <w:divsChild>
                                                        <w:div w:id="227424939">
                                                          <w:marLeft w:val="0"/>
                                                          <w:marRight w:val="0"/>
                                                          <w:marTop w:val="0"/>
                                                          <w:marBottom w:val="0"/>
                                                          <w:divBdr>
                                                            <w:top w:val="none" w:sz="0" w:space="0" w:color="auto"/>
                                                            <w:left w:val="none" w:sz="0" w:space="0" w:color="auto"/>
                                                            <w:bottom w:val="none" w:sz="0" w:space="0" w:color="auto"/>
                                                            <w:right w:val="none" w:sz="0" w:space="0" w:color="auto"/>
                                                          </w:divBdr>
                                                          <w:divsChild>
                                                            <w:div w:id="1730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3402762">
      <w:bodyDiv w:val="1"/>
      <w:marLeft w:val="0"/>
      <w:marRight w:val="0"/>
      <w:marTop w:val="0"/>
      <w:marBottom w:val="0"/>
      <w:divBdr>
        <w:top w:val="none" w:sz="0" w:space="0" w:color="auto"/>
        <w:left w:val="none" w:sz="0" w:space="0" w:color="auto"/>
        <w:bottom w:val="none" w:sz="0" w:space="0" w:color="auto"/>
        <w:right w:val="none" w:sz="0" w:space="0" w:color="auto"/>
      </w:divBdr>
    </w:div>
    <w:div w:id="552690707">
      <w:bodyDiv w:val="1"/>
      <w:marLeft w:val="0"/>
      <w:marRight w:val="0"/>
      <w:marTop w:val="0"/>
      <w:marBottom w:val="0"/>
      <w:divBdr>
        <w:top w:val="none" w:sz="0" w:space="0" w:color="auto"/>
        <w:left w:val="none" w:sz="0" w:space="0" w:color="auto"/>
        <w:bottom w:val="none" w:sz="0" w:space="0" w:color="auto"/>
        <w:right w:val="none" w:sz="0" w:space="0" w:color="auto"/>
      </w:divBdr>
      <w:divsChild>
        <w:div w:id="623195647">
          <w:marLeft w:val="0"/>
          <w:marRight w:val="0"/>
          <w:marTop w:val="0"/>
          <w:marBottom w:val="0"/>
          <w:divBdr>
            <w:top w:val="none" w:sz="0" w:space="0" w:color="auto"/>
            <w:left w:val="none" w:sz="0" w:space="0" w:color="auto"/>
            <w:bottom w:val="none" w:sz="0" w:space="0" w:color="auto"/>
            <w:right w:val="none" w:sz="0" w:space="0" w:color="auto"/>
          </w:divBdr>
          <w:divsChild>
            <w:div w:id="1622685767">
              <w:marLeft w:val="0"/>
              <w:marRight w:val="0"/>
              <w:marTop w:val="0"/>
              <w:marBottom w:val="0"/>
              <w:divBdr>
                <w:top w:val="none" w:sz="0" w:space="0" w:color="auto"/>
                <w:left w:val="none" w:sz="0" w:space="0" w:color="auto"/>
                <w:bottom w:val="none" w:sz="0" w:space="0" w:color="auto"/>
                <w:right w:val="none" w:sz="0" w:space="0" w:color="auto"/>
              </w:divBdr>
              <w:divsChild>
                <w:div w:id="601954058">
                  <w:marLeft w:val="0"/>
                  <w:marRight w:val="0"/>
                  <w:marTop w:val="0"/>
                  <w:marBottom w:val="0"/>
                  <w:divBdr>
                    <w:top w:val="none" w:sz="0" w:space="0" w:color="auto"/>
                    <w:left w:val="none" w:sz="0" w:space="0" w:color="auto"/>
                    <w:bottom w:val="none" w:sz="0" w:space="0" w:color="auto"/>
                    <w:right w:val="none" w:sz="0" w:space="0" w:color="auto"/>
                  </w:divBdr>
                  <w:divsChild>
                    <w:div w:id="1085607497">
                      <w:marLeft w:val="150"/>
                      <w:marRight w:val="150"/>
                      <w:marTop w:val="0"/>
                      <w:marBottom w:val="0"/>
                      <w:divBdr>
                        <w:top w:val="none" w:sz="0" w:space="0" w:color="auto"/>
                        <w:left w:val="none" w:sz="0" w:space="0" w:color="auto"/>
                        <w:bottom w:val="none" w:sz="0" w:space="0" w:color="auto"/>
                        <w:right w:val="none" w:sz="0" w:space="0" w:color="auto"/>
                      </w:divBdr>
                      <w:divsChild>
                        <w:div w:id="1356929231">
                          <w:marLeft w:val="0"/>
                          <w:marRight w:val="0"/>
                          <w:marTop w:val="0"/>
                          <w:marBottom w:val="0"/>
                          <w:divBdr>
                            <w:top w:val="none" w:sz="0" w:space="0" w:color="auto"/>
                            <w:left w:val="none" w:sz="0" w:space="0" w:color="auto"/>
                            <w:bottom w:val="none" w:sz="0" w:space="0" w:color="auto"/>
                            <w:right w:val="none" w:sz="0" w:space="0" w:color="auto"/>
                          </w:divBdr>
                          <w:divsChild>
                            <w:div w:id="2074616299">
                              <w:marLeft w:val="0"/>
                              <w:marRight w:val="0"/>
                              <w:marTop w:val="0"/>
                              <w:marBottom w:val="0"/>
                              <w:divBdr>
                                <w:top w:val="none" w:sz="0" w:space="0" w:color="auto"/>
                                <w:left w:val="none" w:sz="0" w:space="0" w:color="auto"/>
                                <w:bottom w:val="none" w:sz="0" w:space="0" w:color="auto"/>
                                <w:right w:val="none" w:sz="0" w:space="0" w:color="auto"/>
                              </w:divBdr>
                              <w:divsChild>
                                <w:div w:id="1984577644">
                                  <w:marLeft w:val="0"/>
                                  <w:marRight w:val="0"/>
                                  <w:marTop w:val="0"/>
                                  <w:marBottom w:val="0"/>
                                  <w:divBdr>
                                    <w:top w:val="none" w:sz="0" w:space="0" w:color="auto"/>
                                    <w:left w:val="none" w:sz="0" w:space="0" w:color="auto"/>
                                    <w:bottom w:val="none" w:sz="0" w:space="0" w:color="auto"/>
                                    <w:right w:val="none" w:sz="0" w:space="0" w:color="auto"/>
                                  </w:divBdr>
                                  <w:divsChild>
                                    <w:div w:id="698355649">
                                      <w:marLeft w:val="0"/>
                                      <w:marRight w:val="0"/>
                                      <w:marTop w:val="0"/>
                                      <w:marBottom w:val="0"/>
                                      <w:divBdr>
                                        <w:top w:val="none" w:sz="0" w:space="0" w:color="auto"/>
                                        <w:left w:val="none" w:sz="0" w:space="0" w:color="auto"/>
                                        <w:bottom w:val="none" w:sz="0" w:space="0" w:color="auto"/>
                                        <w:right w:val="none" w:sz="0" w:space="0" w:color="auto"/>
                                      </w:divBdr>
                                      <w:divsChild>
                                        <w:div w:id="2038582418">
                                          <w:marLeft w:val="0"/>
                                          <w:marRight w:val="0"/>
                                          <w:marTop w:val="0"/>
                                          <w:marBottom w:val="0"/>
                                          <w:divBdr>
                                            <w:top w:val="none" w:sz="0" w:space="0" w:color="auto"/>
                                            <w:left w:val="none" w:sz="0" w:space="0" w:color="auto"/>
                                            <w:bottom w:val="none" w:sz="0" w:space="0" w:color="auto"/>
                                            <w:right w:val="none" w:sz="0" w:space="0" w:color="auto"/>
                                          </w:divBdr>
                                          <w:divsChild>
                                            <w:div w:id="718169445">
                                              <w:marLeft w:val="0"/>
                                              <w:marRight w:val="0"/>
                                              <w:marTop w:val="0"/>
                                              <w:marBottom w:val="0"/>
                                              <w:divBdr>
                                                <w:top w:val="none" w:sz="0" w:space="0" w:color="auto"/>
                                                <w:left w:val="none" w:sz="0" w:space="0" w:color="auto"/>
                                                <w:bottom w:val="none" w:sz="0" w:space="0" w:color="auto"/>
                                                <w:right w:val="none" w:sz="0" w:space="0" w:color="auto"/>
                                              </w:divBdr>
                                              <w:divsChild>
                                                <w:div w:id="1883667015">
                                                  <w:marLeft w:val="0"/>
                                                  <w:marRight w:val="0"/>
                                                  <w:marTop w:val="0"/>
                                                  <w:marBottom w:val="0"/>
                                                  <w:divBdr>
                                                    <w:top w:val="none" w:sz="0" w:space="0" w:color="auto"/>
                                                    <w:left w:val="none" w:sz="0" w:space="0" w:color="auto"/>
                                                    <w:bottom w:val="none" w:sz="0" w:space="0" w:color="auto"/>
                                                    <w:right w:val="none" w:sz="0" w:space="0" w:color="auto"/>
                                                  </w:divBdr>
                                                  <w:divsChild>
                                                    <w:div w:id="11626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77020">
      <w:bodyDiv w:val="1"/>
      <w:marLeft w:val="0"/>
      <w:marRight w:val="0"/>
      <w:marTop w:val="0"/>
      <w:marBottom w:val="0"/>
      <w:divBdr>
        <w:top w:val="none" w:sz="0" w:space="0" w:color="auto"/>
        <w:left w:val="none" w:sz="0" w:space="0" w:color="auto"/>
        <w:bottom w:val="none" w:sz="0" w:space="0" w:color="auto"/>
        <w:right w:val="none" w:sz="0" w:space="0" w:color="auto"/>
      </w:divBdr>
      <w:divsChild>
        <w:div w:id="188836929">
          <w:marLeft w:val="446"/>
          <w:marRight w:val="0"/>
          <w:marTop w:val="108"/>
          <w:marBottom w:val="0"/>
          <w:divBdr>
            <w:top w:val="none" w:sz="0" w:space="0" w:color="auto"/>
            <w:left w:val="none" w:sz="0" w:space="0" w:color="auto"/>
            <w:bottom w:val="none" w:sz="0" w:space="0" w:color="auto"/>
            <w:right w:val="none" w:sz="0" w:space="0" w:color="auto"/>
          </w:divBdr>
        </w:div>
      </w:divsChild>
    </w:div>
    <w:div w:id="613446229">
      <w:bodyDiv w:val="1"/>
      <w:marLeft w:val="0"/>
      <w:marRight w:val="0"/>
      <w:marTop w:val="0"/>
      <w:marBottom w:val="0"/>
      <w:divBdr>
        <w:top w:val="none" w:sz="0" w:space="0" w:color="auto"/>
        <w:left w:val="none" w:sz="0" w:space="0" w:color="auto"/>
        <w:bottom w:val="none" w:sz="0" w:space="0" w:color="auto"/>
        <w:right w:val="none" w:sz="0" w:space="0" w:color="auto"/>
      </w:divBdr>
    </w:div>
    <w:div w:id="662975366">
      <w:bodyDiv w:val="1"/>
      <w:marLeft w:val="0"/>
      <w:marRight w:val="0"/>
      <w:marTop w:val="0"/>
      <w:marBottom w:val="0"/>
      <w:divBdr>
        <w:top w:val="none" w:sz="0" w:space="0" w:color="auto"/>
        <w:left w:val="none" w:sz="0" w:space="0" w:color="auto"/>
        <w:bottom w:val="none" w:sz="0" w:space="0" w:color="auto"/>
        <w:right w:val="none" w:sz="0" w:space="0" w:color="auto"/>
      </w:divBdr>
    </w:div>
    <w:div w:id="679045059">
      <w:bodyDiv w:val="1"/>
      <w:marLeft w:val="0"/>
      <w:marRight w:val="0"/>
      <w:marTop w:val="0"/>
      <w:marBottom w:val="0"/>
      <w:divBdr>
        <w:top w:val="none" w:sz="0" w:space="0" w:color="auto"/>
        <w:left w:val="none" w:sz="0" w:space="0" w:color="auto"/>
        <w:bottom w:val="none" w:sz="0" w:space="0" w:color="auto"/>
        <w:right w:val="none" w:sz="0" w:space="0" w:color="auto"/>
      </w:divBdr>
      <w:divsChild>
        <w:div w:id="609699027">
          <w:marLeft w:val="994"/>
          <w:marRight w:val="0"/>
          <w:marTop w:val="86"/>
          <w:marBottom w:val="0"/>
          <w:divBdr>
            <w:top w:val="none" w:sz="0" w:space="0" w:color="auto"/>
            <w:left w:val="none" w:sz="0" w:space="0" w:color="auto"/>
            <w:bottom w:val="none" w:sz="0" w:space="0" w:color="auto"/>
            <w:right w:val="none" w:sz="0" w:space="0" w:color="auto"/>
          </w:divBdr>
        </w:div>
        <w:div w:id="1884097121">
          <w:marLeft w:val="994"/>
          <w:marRight w:val="0"/>
          <w:marTop w:val="86"/>
          <w:marBottom w:val="0"/>
          <w:divBdr>
            <w:top w:val="none" w:sz="0" w:space="0" w:color="auto"/>
            <w:left w:val="none" w:sz="0" w:space="0" w:color="auto"/>
            <w:bottom w:val="none" w:sz="0" w:space="0" w:color="auto"/>
            <w:right w:val="none" w:sz="0" w:space="0" w:color="auto"/>
          </w:divBdr>
        </w:div>
        <w:div w:id="1055086119">
          <w:marLeft w:val="994"/>
          <w:marRight w:val="0"/>
          <w:marTop w:val="86"/>
          <w:marBottom w:val="0"/>
          <w:divBdr>
            <w:top w:val="none" w:sz="0" w:space="0" w:color="auto"/>
            <w:left w:val="none" w:sz="0" w:space="0" w:color="auto"/>
            <w:bottom w:val="none" w:sz="0" w:space="0" w:color="auto"/>
            <w:right w:val="none" w:sz="0" w:space="0" w:color="auto"/>
          </w:divBdr>
        </w:div>
        <w:div w:id="1579753849">
          <w:marLeft w:val="994"/>
          <w:marRight w:val="0"/>
          <w:marTop w:val="86"/>
          <w:marBottom w:val="0"/>
          <w:divBdr>
            <w:top w:val="none" w:sz="0" w:space="0" w:color="auto"/>
            <w:left w:val="none" w:sz="0" w:space="0" w:color="auto"/>
            <w:bottom w:val="none" w:sz="0" w:space="0" w:color="auto"/>
            <w:right w:val="none" w:sz="0" w:space="0" w:color="auto"/>
          </w:divBdr>
        </w:div>
        <w:div w:id="1469518087">
          <w:marLeft w:val="994"/>
          <w:marRight w:val="0"/>
          <w:marTop w:val="86"/>
          <w:marBottom w:val="0"/>
          <w:divBdr>
            <w:top w:val="none" w:sz="0" w:space="0" w:color="auto"/>
            <w:left w:val="none" w:sz="0" w:space="0" w:color="auto"/>
            <w:bottom w:val="none" w:sz="0" w:space="0" w:color="auto"/>
            <w:right w:val="none" w:sz="0" w:space="0" w:color="auto"/>
          </w:divBdr>
        </w:div>
        <w:div w:id="1796561502">
          <w:marLeft w:val="994"/>
          <w:marRight w:val="0"/>
          <w:marTop w:val="86"/>
          <w:marBottom w:val="0"/>
          <w:divBdr>
            <w:top w:val="none" w:sz="0" w:space="0" w:color="auto"/>
            <w:left w:val="none" w:sz="0" w:space="0" w:color="auto"/>
            <w:bottom w:val="none" w:sz="0" w:space="0" w:color="auto"/>
            <w:right w:val="none" w:sz="0" w:space="0" w:color="auto"/>
          </w:divBdr>
        </w:div>
        <w:div w:id="195896446">
          <w:marLeft w:val="994"/>
          <w:marRight w:val="0"/>
          <w:marTop w:val="86"/>
          <w:marBottom w:val="0"/>
          <w:divBdr>
            <w:top w:val="none" w:sz="0" w:space="0" w:color="auto"/>
            <w:left w:val="none" w:sz="0" w:space="0" w:color="auto"/>
            <w:bottom w:val="none" w:sz="0" w:space="0" w:color="auto"/>
            <w:right w:val="none" w:sz="0" w:space="0" w:color="auto"/>
          </w:divBdr>
        </w:div>
        <w:div w:id="1249458134">
          <w:marLeft w:val="994"/>
          <w:marRight w:val="0"/>
          <w:marTop w:val="86"/>
          <w:marBottom w:val="0"/>
          <w:divBdr>
            <w:top w:val="none" w:sz="0" w:space="0" w:color="auto"/>
            <w:left w:val="none" w:sz="0" w:space="0" w:color="auto"/>
            <w:bottom w:val="none" w:sz="0" w:space="0" w:color="auto"/>
            <w:right w:val="none" w:sz="0" w:space="0" w:color="auto"/>
          </w:divBdr>
        </w:div>
      </w:divsChild>
    </w:div>
    <w:div w:id="718020064">
      <w:bodyDiv w:val="1"/>
      <w:marLeft w:val="0"/>
      <w:marRight w:val="0"/>
      <w:marTop w:val="0"/>
      <w:marBottom w:val="0"/>
      <w:divBdr>
        <w:top w:val="none" w:sz="0" w:space="0" w:color="auto"/>
        <w:left w:val="none" w:sz="0" w:space="0" w:color="auto"/>
        <w:bottom w:val="none" w:sz="0" w:space="0" w:color="auto"/>
        <w:right w:val="none" w:sz="0" w:space="0" w:color="auto"/>
      </w:divBdr>
      <w:divsChild>
        <w:div w:id="64449758">
          <w:marLeft w:val="0"/>
          <w:marRight w:val="0"/>
          <w:marTop w:val="0"/>
          <w:marBottom w:val="0"/>
          <w:divBdr>
            <w:top w:val="none" w:sz="0" w:space="0" w:color="auto"/>
            <w:left w:val="none" w:sz="0" w:space="0" w:color="auto"/>
            <w:bottom w:val="none" w:sz="0" w:space="0" w:color="auto"/>
            <w:right w:val="none" w:sz="0" w:space="0" w:color="auto"/>
          </w:divBdr>
          <w:divsChild>
            <w:div w:id="1793354232">
              <w:marLeft w:val="0"/>
              <w:marRight w:val="0"/>
              <w:marTop w:val="0"/>
              <w:marBottom w:val="0"/>
              <w:divBdr>
                <w:top w:val="none" w:sz="0" w:space="0" w:color="auto"/>
                <w:left w:val="none" w:sz="0" w:space="0" w:color="auto"/>
                <w:bottom w:val="none" w:sz="0" w:space="0" w:color="auto"/>
                <w:right w:val="none" w:sz="0" w:space="0" w:color="auto"/>
              </w:divBdr>
              <w:divsChild>
                <w:div w:id="1862013692">
                  <w:marLeft w:val="0"/>
                  <w:marRight w:val="0"/>
                  <w:marTop w:val="0"/>
                  <w:marBottom w:val="0"/>
                  <w:divBdr>
                    <w:top w:val="none" w:sz="0" w:space="0" w:color="auto"/>
                    <w:left w:val="none" w:sz="0" w:space="0" w:color="auto"/>
                    <w:bottom w:val="none" w:sz="0" w:space="0" w:color="auto"/>
                    <w:right w:val="none" w:sz="0" w:space="0" w:color="auto"/>
                  </w:divBdr>
                  <w:divsChild>
                    <w:div w:id="515972194">
                      <w:marLeft w:val="0"/>
                      <w:marRight w:val="0"/>
                      <w:marTop w:val="0"/>
                      <w:marBottom w:val="0"/>
                      <w:divBdr>
                        <w:top w:val="none" w:sz="0" w:space="0" w:color="auto"/>
                        <w:left w:val="none" w:sz="0" w:space="0" w:color="auto"/>
                        <w:bottom w:val="none" w:sz="0" w:space="0" w:color="auto"/>
                        <w:right w:val="none" w:sz="0" w:space="0" w:color="auto"/>
                      </w:divBdr>
                      <w:divsChild>
                        <w:div w:id="382564348">
                          <w:marLeft w:val="0"/>
                          <w:marRight w:val="0"/>
                          <w:marTop w:val="0"/>
                          <w:marBottom w:val="0"/>
                          <w:divBdr>
                            <w:top w:val="none" w:sz="0" w:space="0" w:color="auto"/>
                            <w:left w:val="none" w:sz="0" w:space="0" w:color="auto"/>
                            <w:bottom w:val="none" w:sz="0" w:space="0" w:color="auto"/>
                            <w:right w:val="none" w:sz="0" w:space="0" w:color="auto"/>
                          </w:divBdr>
                          <w:divsChild>
                            <w:div w:id="9786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2710">
      <w:bodyDiv w:val="1"/>
      <w:marLeft w:val="0"/>
      <w:marRight w:val="0"/>
      <w:marTop w:val="0"/>
      <w:marBottom w:val="0"/>
      <w:divBdr>
        <w:top w:val="none" w:sz="0" w:space="0" w:color="auto"/>
        <w:left w:val="none" w:sz="0" w:space="0" w:color="auto"/>
        <w:bottom w:val="none" w:sz="0" w:space="0" w:color="auto"/>
        <w:right w:val="none" w:sz="0" w:space="0" w:color="auto"/>
      </w:divBdr>
    </w:div>
    <w:div w:id="724839558">
      <w:bodyDiv w:val="1"/>
      <w:marLeft w:val="0"/>
      <w:marRight w:val="0"/>
      <w:marTop w:val="0"/>
      <w:marBottom w:val="0"/>
      <w:divBdr>
        <w:top w:val="none" w:sz="0" w:space="0" w:color="auto"/>
        <w:left w:val="none" w:sz="0" w:space="0" w:color="auto"/>
        <w:bottom w:val="none" w:sz="0" w:space="0" w:color="auto"/>
        <w:right w:val="none" w:sz="0" w:space="0" w:color="auto"/>
      </w:divBdr>
      <w:divsChild>
        <w:div w:id="1272593783">
          <w:marLeft w:val="0"/>
          <w:marRight w:val="0"/>
          <w:marTop w:val="0"/>
          <w:marBottom w:val="0"/>
          <w:divBdr>
            <w:top w:val="none" w:sz="0" w:space="0" w:color="auto"/>
            <w:left w:val="none" w:sz="0" w:space="0" w:color="auto"/>
            <w:bottom w:val="none" w:sz="0" w:space="0" w:color="auto"/>
            <w:right w:val="none" w:sz="0" w:space="0" w:color="auto"/>
          </w:divBdr>
          <w:divsChild>
            <w:div w:id="690379981">
              <w:marLeft w:val="0"/>
              <w:marRight w:val="0"/>
              <w:marTop w:val="0"/>
              <w:marBottom w:val="0"/>
              <w:divBdr>
                <w:top w:val="none" w:sz="0" w:space="0" w:color="auto"/>
                <w:left w:val="none" w:sz="0" w:space="0" w:color="auto"/>
                <w:bottom w:val="none" w:sz="0" w:space="0" w:color="auto"/>
                <w:right w:val="none" w:sz="0" w:space="0" w:color="auto"/>
              </w:divBdr>
              <w:divsChild>
                <w:div w:id="11391">
                  <w:marLeft w:val="0"/>
                  <w:marRight w:val="0"/>
                  <w:marTop w:val="0"/>
                  <w:marBottom w:val="0"/>
                  <w:divBdr>
                    <w:top w:val="none" w:sz="0" w:space="0" w:color="auto"/>
                    <w:left w:val="none" w:sz="0" w:space="0" w:color="auto"/>
                    <w:bottom w:val="none" w:sz="0" w:space="0" w:color="auto"/>
                    <w:right w:val="none" w:sz="0" w:space="0" w:color="auto"/>
                  </w:divBdr>
                  <w:divsChild>
                    <w:div w:id="1139496769">
                      <w:marLeft w:val="0"/>
                      <w:marRight w:val="0"/>
                      <w:marTop w:val="0"/>
                      <w:marBottom w:val="0"/>
                      <w:divBdr>
                        <w:top w:val="none" w:sz="0" w:space="0" w:color="auto"/>
                        <w:left w:val="none" w:sz="0" w:space="0" w:color="auto"/>
                        <w:bottom w:val="none" w:sz="0" w:space="0" w:color="auto"/>
                        <w:right w:val="none" w:sz="0" w:space="0" w:color="auto"/>
                      </w:divBdr>
                      <w:divsChild>
                        <w:div w:id="1639219084">
                          <w:marLeft w:val="-225"/>
                          <w:marRight w:val="-225"/>
                          <w:marTop w:val="0"/>
                          <w:marBottom w:val="0"/>
                          <w:divBdr>
                            <w:top w:val="none" w:sz="0" w:space="0" w:color="auto"/>
                            <w:left w:val="none" w:sz="0" w:space="0" w:color="auto"/>
                            <w:bottom w:val="none" w:sz="0" w:space="0" w:color="auto"/>
                            <w:right w:val="none" w:sz="0" w:space="0" w:color="auto"/>
                          </w:divBdr>
                          <w:divsChild>
                            <w:div w:id="1491169350">
                              <w:marLeft w:val="0"/>
                              <w:marRight w:val="0"/>
                              <w:marTop w:val="0"/>
                              <w:marBottom w:val="0"/>
                              <w:divBdr>
                                <w:top w:val="none" w:sz="0" w:space="0" w:color="auto"/>
                                <w:left w:val="none" w:sz="0" w:space="0" w:color="auto"/>
                                <w:bottom w:val="none" w:sz="0" w:space="0" w:color="auto"/>
                                <w:right w:val="none" w:sz="0" w:space="0" w:color="auto"/>
                              </w:divBdr>
                              <w:divsChild>
                                <w:div w:id="1912739710">
                                  <w:marLeft w:val="0"/>
                                  <w:marRight w:val="0"/>
                                  <w:marTop w:val="0"/>
                                  <w:marBottom w:val="0"/>
                                  <w:divBdr>
                                    <w:top w:val="none" w:sz="0" w:space="0" w:color="auto"/>
                                    <w:left w:val="none" w:sz="0" w:space="0" w:color="auto"/>
                                    <w:bottom w:val="none" w:sz="0" w:space="0" w:color="auto"/>
                                    <w:right w:val="none" w:sz="0" w:space="0" w:color="auto"/>
                                  </w:divBdr>
                                  <w:divsChild>
                                    <w:div w:id="387846415">
                                      <w:marLeft w:val="0"/>
                                      <w:marRight w:val="0"/>
                                      <w:marTop w:val="0"/>
                                      <w:marBottom w:val="0"/>
                                      <w:divBdr>
                                        <w:top w:val="none" w:sz="0" w:space="0" w:color="auto"/>
                                        <w:left w:val="none" w:sz="0" w:space="0" w:color="auto"/>
                                        <w:bottom w:val="none" w:sz="0" w:space="0" w:color="auto"/>
                                        <w:right w:val="none" w:sz="0" w:space="0" w:color="auto"/>
                                      </w:divBdr>
                                      <w:divsChild>
                                        <w:div w:id="1448819463">
                                          <w:marLeft w:val="-225"/>
                                          <w:marRight w:val="-225"/>
                                          <w:marTop w:val="0"/>
                                          <w:marBottom w:val="0"/>
                                          <w:divBdr>
                                            <w:top w:val="none" w:sz="0" w:space="0" w:color="auto"/>
                                            <w:left w:val="none" w:sz="0" w:space="0" w:color="auto"/>
                                            <w:bottom w:val="none" w:sz="0" w:space="0" w:color="auto"/>
                                            <w:right w:val="none" w:sz="0" w:space="0" w:color="auto"/>
                                          </w:divBdr>
                                          <w:divsChild>
                                            <w:div w:id="136916364">
                                              <w:marLeft w:val="0"/>
                                              <w:marRight w:val="0"/>
                                              <w:marTop w:val="0"/>
                                              <w:marBottom w:val="0"/>
                                              <w:divBdr>
                                                <w:top w:val="none" w:sz="0" w:space="0" w:color="auto"/>
                                                <w:left w:val="none" w:sz="0" w:space="0" w:color="auto"/>
                                                <w:bottom w:val="none" w:sz="0" w:space="0" w:color="auto"/>
                                                <w:right w:val="none" w:sz="0" w:space="0" w:color="auto"/>
                                              </w:divBdr>
                                              <w:divsChild>
                                                <w:div w:id="1623076430">
                                                  <w:marLeft w:val="0"/>
                                                  <w:marRight w:val="0"/>
                                                  <w:marTop w:val="0"/>
                                                  <w:marBottom w:val="0"/>
                                                  <w:divBdr>
                                                    <w:top w:val="none" w:sz="0" w:space="0" w:color="auto"/>
                                                    <w:left w:val="none" w:sz="0" w:space="0" w:color="auto"/>
                                                    <w:bottom w:val="none" w:sz="0" w:space="0" w:color="auto"/>
                                                    <w:right w:val="none" w:sz="0" w:space="0" w:color="auto"/>
                                                  </w:divBdr>
                                                  <w:divsChild>
                                                    <w:div w:id="795291600">
                                                      <w:marLeft w:val="0"/>
                                                      <w:marRight w:val="0"/>
                                                      <w:marTop w:val="0"/>
                                                      <w:marBottom w:val="0"/>
                                                      <w:divBdr>
                                                        <w:top w:val="none" w:sz="0" w:space="0" w:color="auto"/>
                                                        <w:left w:val="none" w:sz="0" w:space="0" w:color="auto"/>
                                                        <w:bottom w:val="none" w:sz="0" w:space="0" w:color="auto"/>
                                                        <w:right w:val="none" w:sz="0" w:space="0" w:color="auto"/>
                                                      </w:divBdr>
                                                      <w:divsChild>
                                                        <w:div w:id="1080063783">
                                                          <w:marLeft w:val="0"/>
                                                          <w:marRight w:val="0"/>
                                                          <w:marTop w:val="0"/>
                                                          <w:marBottom w:val="0"/>
                                                          <w:divBdr>
                                                            <w:top w:val="none" w:sz="0" w:space="0" w:color="auto"/>
                                                            <w:left w:val="none" w:sz="0" w:space="0" w:color="auto"/>
                                                            <w:bottom w:val="none" w:sz="0" w:space="0" w:color="auto"/>
                                                            <w:right w:val="none" w:sz="0" w:space="0" w:color="auto"/>
                                                          </w:divBdr>
                                                          <w:divsChild>
                                                            <w:div w:id="11641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2624287">
      <w:bodyDiv w:val="1"/>
      <w:marLeft w:val="0"/>
      <w:marRight w:val="0"/>
      <w:marTop w:val="0"/>
      <w:marBottom w:val="0"/>
      <w:divBdr>
        <w:top w:val="none" w:sz="0" w:space="0" w:color="auto"/>
        <w:left w:val="none" w:sz="0" w:space="0" w:color="auto"/>
        <w:bottom w:val="none" w:sz="0" w:space="0" w:color="auto"/>
        <w:right w:val="none" w:sz="0" w:space="0" w:color="auto"/>
      </w:divBdr>
    </w:div>
    <w:div w:id="766081805">
      <w:bodyDiv w:val="1"/>
      <w:marLeft w:val="0"/>
      <w:marRight w:val="0"/>
      <w:marTop w:val="0"/>
      <w:marBottom w:val="0"/>
      <w:divBdr>
        <w:top w:val="none" w:sz="0" w:space="0" w:color="auto"/>
        <w:left w:val="none" w:sz="0" w:space="0" w:color="auto"/>
        <w:bottom w:val="none" w:sz="0" w:space="0" w:color="auto"/>
        <w:right w:val="none" w:sz="0" w:space="0" w:color="auto"/>
      </w:divBdr>
    </w:div>
    <w:div w:id="884489466">
      <w:bodyDiv w:val="1"/>
      <w:marLeft w:val="0"/>
      <w:marRight w:val="0"/>
      <w:marTop w:val="0"/>
      <w:marBottom w:val="0"/>
      <w:divBdr>
        <w:top w:val="none" w:sz="0" w:space="0" w:color="auto"/>
        <w:left w:val="none" w:sz="0" w:space="0" w:color="auto"/>
        <w:bottom w:val="none" w:sz="0" w:space="0" w:color="auto"/>
        <w:right w:val="none" w:sz="0" w:space="0" w:color="auto"/>
      </w:divBdr>
      <w:divsChild>
        <w:div w:id="749810266">
          <w:marLeft w:val="0"/>
          <w:marRight w:val="0"/>
          <w:marTop w:val="0"/>
          <w:marBottom w:val="0"/>
          <w:divBdr>
            <w:top w:val="none" w:sz="0" w:space="0" w:color="auto"/>
            <w:left w:val="none" w:sz="0" w:space="0" w:color="auto"/>
            <w:bottom w:val="none" w:sz="0" w:space="0" w:color="auto"/>
            <w:right w:val="none" w:sz="0" w:space="0" w:color="auto"/>
          </w:divBdr>
          <w:divsChild>
            <w:div w:id="20985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8060">
      <w:bodyDiv w:val="1"/>
      <w:marLeft w:val="0"/>
      <w:marRight w:val="0"/>
      <w:marTop w:val="0"/>
      <w:marBottom w:val="0"/>
      <w:divBdr>
        <w:top w:val="none" w:sz="0" w:space="0" w:color="auto"/>
        <w:left w:val="none" w:sz="0" w:space="0" w:color="auto"/>
        <w:bottom w:val="none" w:sz="0" w:space="0" w:color="auto"/>
        <w:right w:val="none" w:sz="0" w:space="0" w:color="auto"/>
      </w:divBdr>
      <w:divsChild>
        <w:div w:id="261838605">
          <w:marLeft w:val="0"/>
          <w:marRight w:val="0"/>
          <w:marTop w:val="0"/>
          <w:marBottom w:val="0"/>
          <w:divBdr>
            <w:top w:val="none" w:sz="0" w:space="0" w:color="auto"/>
            <w:left w:val="none" w:sz="0" w:space="0" w:color="auto"/>
            <w:bottom w:val="none" w:sz="0" w:space="0" w:color="auto"/>
            <w:right w:val="none" w:sz="0" w:space="0" w:color="auto"/>
          </w:divBdr>
          <w:divsChild>
            <w:div w:id="2017150434">
              <w:marLeft w:val="0"/>
              <w:marRight w:val="0"/>
              <w:marTop w:val="0"/>
              <w:marBottom w:val="0"/>
              <w:divBdr>
                <w:top w:val="none" w:sz="0" w:space="0" w:color="auto"/>
                <w:left w:val="none" w:sz="0" w:space="0" w:color="auto"/>
                <w:bottom w:val="none" w:sz="0" w:space="0" w:color="auto"/>
                <w:right w:val="none" w:sz="0" w:space="0" w:color="auto"/>
              </w:divBdr>
              <w:divsChild>
                <w:div w:id="507409519">
                  <w:marLeft w:val="0"/>
                  <w:marRight w:val="0"/>
                  <w:marTop w:val="0"/>
                  <w:marBottom w:val="0"/>
                  <w:divBdr>
                    <w:top w:val="none" w:sz="0" w:space="0" w:color="auto"/>
                    <w:left w:val="none" w:sz="0" w:space="0" w:color="auto"/>
                    <w:bottom w:val="none" w:sz="0" w:space="0" w:color="auto"/>
                    <w:right w:val="none" w:sz="0" w:space="0" w:color="auto"/>
                  </w:divBdr>
                  <w:divsChild>
                    <w:div w:id="1336566895">
                      <w:marLeft w:val="0"/>
                      <w:marRight w:val="0"/>
                      <w:marTop w:val="0"/>
                      <w:marBottom w:val="0"/>
                      <w:divBdr>
                        <w:top w:val="none" w:sz="0" w:space="0" w:color="auto"/>
                        <w:left w:val="none" w:sz="0" w:space="0" w:color="auto"/>
                        <w:bottom w:val="none" w:sz="0" w:space="0" w:color="auto"/>
                        <w:right w:val="none" w:sz="0" w:space="0" w:color="auto"/>
                      </w:divBdr>
                      <w:divsChild>
                        <w:div w:id="2138837599">
                          <w:marLeft w:val="-225"/>
                          <w:marRight w:val="-225"/>
                          <w:marTop w:val="0"/>
                          <w:marBottom w:val="0"/>
                          <w:divBdr>
                            <w:top w:val="none" w:sz="0" w:space="0" w:color="auto"/>
                            <w:left w:val="none" w:sz="0" w:space="0" w:color="auto"/>
                            <w:bottom w:val="none" w:sz="0" w:space="0" w:color="auto"/>
                            <w:right w:val="none" w:sz="0" w:space="0" w:color="auto"/>
                          </w:divBdr>
                          <w:divsChild>
                            <w:div w:id="1087731106">
                              <w:marLeft w:val="0"/>
                              <w:marRight w:val="0"/>
                              <w:marTop w:val="0"/>
                              <w:marBottom w:val="0"/>
                              <w:divBdr>
                                <w:top w:val="none" w:sz="0" w:space="0" w:color="auto"/>
                                <w:left w:val="none" w:sz="0" w:space="0" w:color="auto"/>
                                <w:bottom w:val="none" w:sz="0" w:space="0" w:color="auto"/>
                                <w:right w:val="none" w:sz="0" w:space="0" w:color="auto"/>
                              </w:divBdr>
                              <w:divsChild>
                                <w:div w:id="1743675230">
                                  <w:marLeft w:val="0"/>
                                  <w:marRight w:val="0"/>
                                  <w:marTop w:val="0"/>
                                  <w:marBottom w:val="0"/>
                                  <w:divBdr>
                                    <w:top w:val="none" w:sz="0" w:space="0" w:color="auto"/>
                                    <w:left w:val="none" w:sz="0" w:space="0" w:color="auto"/>
                                    <w:bottom w:val="none" w:sz="0" w:space="0" w:color="auto"/>
                                    <w:right w:val="none" w:sz="0" w:space="0" w:color="auto"/>
                                  </w:divBdr>
                                  <w:divsChild>
                                    <w:div w:id="1428188057">
                                      <w:marLeft w:val="0"/>
                                      <w:marRight w:val="0"/>
                                      <w:marTop w:val="0"/>
                                      <w:marBottom w:val="0"/>
                                      <w:divBdr>
                                        <w:top w:val="none" w:sz="0" w:space="0" w:color="auto"/>
                                        <w:left w:val="none" w:sz="0" w:space="0" w:color="auto"/>
                                        <w:bottom w:val="none" w:sz="0" w:space="0" w:color="auto"/>
                                        <w:right w:val="none" w:sz="0" w:space="0" w:color="auto"/>
                                      </w:divBdr>
                                      <w:divsChild>
                                        <w:div w:id="1684211428">
                                          <w:marLeft w:val="-225"/>
                                          <w:marRight w:val="-225"/>
                                          <w:marTop w:val="0"/>
                                          <w:marBottom w:val="0"/>
                                          <w:divBdr>
                                            <w:top w:val="none" w:sz="0" w:space="0" w:color="auto"/>
                                            <w:left w:val="none" w:sz="0" w:space="0" w:color="auto"/>
                                            <w:bottom w:val="none" w:sz="0" w:space="0" w:color="auto"/>
                                            <w:right w:val="none" w:sz="0" w:space="0" w:color="auto"/>
                                          </w:divBdr>
                                          <w:divsChild>
                                            <w:div w:id="1508402432">
                                              <w:marLeft w:val="0"/>
                                              <w:marRight w:val="0"/>
                                              <w:marTop w:val="0"/>
                                              <w:marBottom w:val="0"/>
                                              <w:divBdr>
                                                <w:top w:val="none" w:sz="0" w:space="0" w:color="auto"/>
                                                <w:left w:val="none" w:sz="0" w:space="0" w:color="auto"/>
                                                <w:bottom w:val="none" w:sz="0" w:space="0" w:color="auto"/>
                                                <w:right w:val="none" w:sz="0" w:space="0" w:color="auto"/>
                                              </w:divBdr>
                                              <w:divsChild>
                                                <w:div w:id="1513572109">
                                                  <w:marLeft w:val="0"/>
                                                  <w:marRight w:val="0"/>
                                                  <w:marTop w:val="0"/>
                                                  <w:marBottom w:val="0"/>
                                                  <w:divBdr>
                                                    <w:top w:val="none" w:sz="0" w:space="0" w:color="auto"/>
                                                    <w:left w:val="none" w:sz="0" w:space="0" w:color="auto"/>
                                                    <w:bottom w:val="none" w:sz="0" w:space="0" w:color="auto"/>
                                                    <w:right w:val="none" w:sz="0" w:space="0" w:color="auto"/>
                                                  </w:divBdr>
                                                  <w:divsChild>
                                                    <w:div w:id="515459103">
                                                      <w:marLeft w:val="0"/>
                                                      <w:marRight w:val="0"/>
                                                      <w:marTop w:val="0"/>
                                                      <w:marBottom w:val="0"/>
                                                      <w:divBdr>
                                                        <w:top w:val="none" w:sz="0" w:space="0" w:color="auto"/>
                                                        <w:left w:val="none" w:sz="0" w:space="0" w:color="auto"/>
                                                        <w:bottom w:val="none" w:sz="0" w:space="0" w:color="auto"/>
                                                        <w:right w:val="none" w:sz="0" w:space="0" w:color="auto"/>
                                                      </w:divBdr>
                                                      <w:divsChild>
                                                        <w:div w:id="2143040016">
                                                          <w:marLeft w:val="0"/>
                                                          <w:marRight w:val="0"/>
                                                          <w:marTop w:val="0"/>
                                                          <w:marBottom w:val="0"/>
                                                          <w:divBdr>
                                                            <w:top w:val="none" w:sz="0" w:space="0" w:color="auto"/>
                                                            <w:left w:val="none" w:sz="0" w:space="0" w:color="auto"/>
                                                            <w:bottom w:val="none" w:sz="0" w:space="0" w:color="auto"/>
                                                            <w:right w:val="none" w:sz="0" w:space="0" w:color="auto"/>
                                                          </w:divBdr>
                                                          <w:divsChild>
                                                            <w:div w:id="7004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081588">
      <w:bodyDiv w:val="1"/>
      <w:marLeft w:val="0"/>
      <w:marRight w:val="0"/>
      <w:marTop w:val="0"/>
      <w:marBottom w:val="0"/>
      <w:divBdr>
        <w:top w:val="none" w:sz="0" w:space="0" w:color="auto"/>
        <w:left w:val="none" w:sz="0" w:space="0" w:color="auto"/>
        <w:bottom w:val="none" w:sz="0" w:space="0" w:color="auto"/>
        <w:right w:val="none" w:sz="0" w:space="0" w:color="auto"/>
      </w:divBdr>
    </w:div>
    <w:div w:id="994182106">
      <w:bodyDiv w:val="1"/>
      <w:marLeft w:val="0"/>
      <w:marRight w:val="0"/>
      <w:marTop w:val="0"/>
      <w:marBottom w:val="0"/>
      <w:divBdr>
        <w:top w:val="none" w:sz="0" w:space="0" w:color="auto"/>
        <w:left w:val="none" w:sz="0" w:space="0" w:color="auto"/>
        <w:bottom w:val="none" w:sz="0" w:space="0" w:color="auto"/>
        <w:right w:val="none" w:sz="0" w:space="0" w:color="auto"/>
      </w:divBdr>
    </w:div>
    <w:div w:id="1000276142">
      <w:bodyDiv w:val="1"/>
      <w:marLeft w:val="0"/>
      <w:marRight w:val="0"/>
      <w:marTop w:val="0"/>
      <w:marBottom w:val="0"/>
      <w:divBdr>
        <w:top w:val="none" w:sz="0" w:space="0" w:color="auto"/>
        <w:left w:val="none" w:sz="0" w:space="0" w:color="auto"/>
        <w:bottom w:val="none" w:sz="0" w:space="0" w:color="auto"/>
        <w:right w:val="none" w:sz="0" w:space="0" w:color="auto"/>
      </w:divBdr>
    </w:div>
    <w:div w:id="1001422375">
      <w:bodyDiv w:val="1"/>
      <w:marLeft w:val="0"/>
      <w:marRight w:val="0"/>
      <w:marTop w:val="0"/>
      <w:marBottom w:val="0"/>
      <w:divBdr>
        <w:top w:val="none" w:sz="0" w:space="0" w:color="auto"/>
        <w:left w:val="none" w:sz="0" w:space="0" w:color="auto"/>
        <w:bottom w:val="none" w:sz="0" w:space="0" w:color="auto"/>
        <w:right w:val="none" w:sz="0" w:space="0" w:color="auto"/>
      </w:divBdr>
    </w:div>
    <w:div w:id="1035618954">
      <w:bodyDiv w:val="1"/>
      <w:marLeft w:val="0"/>
      <w:marRight w:val="0"/>
      <w:marTop w:val="0"/>
      <w:marBottom w:val="0"/>
      <w:divBdr>
        <w:top w:val="none" w:sz="0" w:space="0" w:color="auto"/>
        <w:left w:val="none" w:sz="0" w:space="0" w:color="auto"/>
        <w:bottom w:val="none" w:sz="0" w:space="0" w:color="auto"/>
        <w:right w:val="none" w:sz="0" w:space="0" w:color="auto"/>
      </w:divBdr>
    </w:div>
    <w:div w:id="1050883697">
      <w:bodyDiv w:val="1"/>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9807875">
              <w:marLeft w:val="0"/>
              <w:marRight w:val="0"/>
              <w:marTop w:val="0"/>
              <w:marBottom w:val="0"/>
              <w:divBdr>
                <w:top w:val="none" w:sz="0" w:space="0" w:color="auto"/>
                <w:left w:val="none" w:sz="0" w:space="0" w:color="auto"/>
                <w:bottom w:val="none" w:sz="0" w:space="0" w:color="auto"/>
                <w:right w:val="none" w:sz="0" w:space="0" w:color="auto"/>
              </w:divBdr>
              <w:divsChild>
                <w:div w:id="1471750447">
                  <w:marLeft w:val="0"/>
                  <w:marRight w:val="0"/>
                  <w:marTop w:val="0"/>
                  <w:marBottom w:val="0"/>
                  <w:divBdr>
                    <w:top w:val="none" w:sz="0" w:space="0" w:color="auto"/>
                    <w:left w:val="none" w:sz="0" w:space="0" w:color="auto"/>
                    <w:bottom w:val="none" w:sz="0" w:space="0" w:color="auto"/>
                    <w:right w:val="none" w:sz="0" w:space="0" w:color="auto"/>
                  </w:divBdr>
                  <w:divsChild>
                    <w:div w:id="1072046381">
                      <w:marLeft w:val="0"/>
                      <w:marRight w:val="0"/>
                      <w:marTop w:val="0"/>
                      <w:marBottom w:val="0"/>
                      <w:divBdr>
                        <w:top w:val="none" w:sz="0" w:space="0" w:color="auto"/>
                        <w:left w:val="none" w:sz="0" w:space="0" w:color="auto"/>
                        <w:bottom w:val="none" w:sz="0" w:space="0" w:color="auto"/>
                        <w:right w:val="none" w:sz="0" w:space="0" w:color="auto"/>
                      </w:divBdr>
                      <w:divsChild>
                        <w:div w:id="1364087785">
                          <w:marLeft w:val="0"/>
                          <w:marRight w:val="0"/>
                          <w:marTop w:val="300"/>
                          <w:marBottom w:val="300"/>
                          <w:divBdr>
                            <w:top w:val="none" w:sz="0" w:space="0" w:color="auto"/>
                            <w:left w:val="none" w:sz="0" w:space="0" w:color="auto"/>
                            <w:bottom w:val="none" w:sz="0" w:space="0" w:color="auto"/>
                            <w:right w:val="none" w:sz="0" w:space="0" w:color="auto"/>
                          </w:divBdr>
                          <w:divsChild>
                            <w:div w:id="1755130912">
                              <w:marLeft w:val="0"/>
                              <w:marRight w:val="0"/>
                              <w:marTop w:val="0"/>
                              <w:marBottom w:val="0"/>
                              <w:divBdr>
                                <w:top w:val="none" w:sz="0" w:space="0" w:color="auto"/>
                                <w:left w:val="none" w:sz="0" w:space="0" w:color="auto"/>
                                <w:bottom w:val="none" w:sz="0" w:space="0" w:color="auto"/>
                                <w:right w:val="none" w:sz="0" w:space="0" w:color="auto"/>
                              </w:divBdr>
                              <w:divsChild>
                                <w:div w:id="865488457">
                                  <w:marLeft w:val="0"/>
                                  <w:marRight w:val="0"/>
                                  <w:marTop w:val="0"/>
                                  <w:marBottom w:val="750"/>
                                  <w:divBdr>
                                    <w:top w:val="none" w:sz="0" w:space="0" w:color="auto"/>
                                    <w:left w:val="none" w:sz="0" w:space="0" w:color="auto"/>
                                    <w:bottom w:val="none" w:sz="0" w:space="0" w:color="auto"/>
                                    <w:right w:val="none" w:sz="0" w:space="0" w:color="auto"/>
                                  </w:divBdr>
                                  <w:divsChild>
                                    <w:div w:id="1712536231">
                                      <w:marLeft w:val="0"/>
                                      <w:marRight w:val="0"/>
                                      <w:marTop w:val="0"/>
                                      <w:marBottom w:val="0"/>
                                      <w:divBdr>
                                        <w:top w:val="none" w:sz="0" w:space="0" w:color="auto"/>
                                        <w:left w:val="none" w:sz="0" w:space="0" w:color="auto"/>
                                        <w:bottom w:val="none" w:sz="0" w:space="0" w:color="auto"/>
                                        <w:right w:val="none" w:sz="0" w:space="0" w:color="auto"/>
                                      </w:divBdr>
                                      <w:divsChild>
                                        <w:div w:id="1183935468">
                                          <w:marLeft w:val="0"/>
                                          <w:marRight w:val="0"/>
                                          <w:marTop w:val="0"/>
                                          <w:marBottom w:val="0"/>
                                          <w:divBdr>
                                            <w:top w:val="none" w:sz="0" w:space="0" w:color="auto"/>
                                            <w:left w:val="none" w:sz="0" w:space="0" w:color="auto"/>
                                            <w:bottom w:val="none" w:sz="0" w:space="0" w:color="auto"/>
                                            <w:right w:val="none" w:sz="0" w:space="0" w:color="auto"/>
                                          </w:divBdr>
                                          <w:divsChild>
                                            <w:div w:id="1437752648">
                                              <w:marLeft w:val="0"/>
                                              <w:marRight w:val="0"/>
                                              <w:marTop w:val="0"/>
                                              <w:marBottom w:val="0"/>
                                              <w:divBdr>
                                                <w:top w:val="none" w:sz="0" w:space="0" w:color="auto"/>
                                                <w:left w:val="none" w:sz="0" w:space="0" w:color="auto"/>
                                                <w:bottom w:val="none" w:sz="0" w:space="0" w:color="auto"/>
                                                <w:right w:val="none" w:sz="0" w:space="0" w:color="auto"/>
                                              </w:divBdr>
                                              <w:divsChild>
                                                <w:div w:id="1747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0828948">
      <w:bodyDiv w:val="1"/>
      <w:marLeft w:val="0"/>
      <w:marRight w:val="0"/>
      <w:marTop w:val="0"/>
      <w:marBottom w:val="0"/>
      <w:divBdr>
        <w:top w:val="none" w:sz="0" w:space="0" w:color="auto"/>
        <w:left w:val="none" w:sz="0" w:space="0" w:color="auto"/>
        <w:bottom w:val="none" w:sz="0" w:space="0" w:color="auto"/>
        <w:right w:val="none" w:sz="0" w:space="0" w:color="auto"/>
      </w:divBdr>
    </w:div>
    <w:div w:id="1083338600">
      <w:bodyDiv w:val="1"/>
      <w:marLeft w:val="0"/>
      <w:marRight w:val="0"/>
      <w:marTop w:val="0"/>
      <w:marBottom w:val="0"/>
      <w:divBdr>
        <w:top w:val="none" w:sz="0" w:space="0" w:color="auto"/>
        <w:left w:val="none" w:sz="0" w:space="0" w:color="auto"/>
        <w:bottom w:val="none" w:sz="0" w:space="0" w:color="auto"/>
        <w:right w:val="none" w:sz="0" w:space="0" w:color="auto"/>
      </w:divBdr>
      <w:divsChild>
        <w:div w:id="1231500823">
          <w:marLeft w:val="994"/>
          <w:marRight w:val="0"/>
          <w:marTop w:val="86"/>
          <w:marBottom w:val="0"/>
          <w:divBdr>
            <w:top w:val="none" w:sz="0" w:space="0" w:color="auto"/>
            <w:left w:val="none" w:sz="0" w:space="0" w:color="auto"/>
            <w:bottom w:val="none" w:sz="0" w:space="0" w:color="auto"/>
            <w:right w:val="none" w:sz="0" w:space="0" w:color="auto"/>
          </w:divBdr>
        </w:div>
        <w:div w:id="155265058">
          <w:marLeft w:val="994"/>
          <w:marRight w:val="0"/>
          <w:marTop w:val="86"/>
          <w:marBottom w:val="0"/>
          <w:divBdr>
            <w:top w:val="none" w:sz="0" w:space="0" w:color="auto"/>
            <w:left w:val="none" w:sz="0" w:space="0" w:color="auto"/>
            <w:bottom w:val="none" w:sz="0" w:space="0" w:color="auto"/>
            <w:right w:val="none" w:sz="0" w:space="0" w:color="auto"/>
          </w:divBdr>
        </w:div>
      </w:divsChild>
    </w:div>
    <w:div w:id="1102652025">
      <w:bodyDiv w:val="1"/>
      <w:marLeft w:val="0"/>
      <w:marRight w:val="0"/>
      <w:marTop w:val="0"/>
      <w:marBottom w:val="0"/>
      <w:divBdr>
        <w:top w:val="none" w:sz="0" w:space="0" w:color="auto"/>
        <w:left w:val="none" w:sz="0" w:space="0" w:color="auto"/>
        <w:bottom w:val="none" w:sz="0" w:space="0" w:color="auto"/>
        <w:right w:val="none" w:sz="0" w:space="0" w:color="auto"/>
      </w:divBdr>
    </w:div>
    <w:div w:id="1156342438">
      <w:bodyDiv w:val="1"/>
      <w:marLeft w:val="0"/>
      <w:marRight w:val="0"/>
      <w:marTop w:val="0"/>
      <w:marBottom w:val="0"/>
      <w:divBdr>
        <w:top w:val="none" w:sz="0" w:space="0" w:color="auto"/>
        <w:left w:val="none" w:sz="0" w:space="0" w:color="auto"/>
        <w:bottom w:val="none" w:sz="0" w:space="0" w:color="auto"/>
        <w:right w:val="none" w:sz="0" w:space="0" w:color="auto"/>
      </w:divBdr>
    </w:div>
    <w:div w:id="1191457641">
      <w:bodyDiv w:val="1"/>
      <w:marLeft w:val="0"/>
      <w:marRight w:val="0"/>
      <w:marTop w:val="0"/>
      <w:marBottom w:val="0"/>
      <w:divBdr>
        <w:top w:val="none" w:sz="0" w:space="0" w:color="auto"/>
        <w:left w:val="none" w:sz="0" w:space="0" w:color="auto"/>
        <w:bottom w:val="none" w:sz="0" w:space="0" w:color="auto"/>
        <w:right w:val="none" w:sz="0" w:space="0" w:color="auto"/>
      </w:divBdr>
      <w:divsChild>
        <w:div w:id="544486188">
          <w:marLeft w:val="0"/>
          <w:marRight w:val="0"/>
          <w:marTop w:val="0"/>
          <w:marBottom w:val="0"/>
          <w:divBdr>
            <w:top w:val="none" w:sz="0" w:space="0" w:color="auto"/>
            <w:left w:val="none" w:sz="0" w:space="0" w:color="auto"/>
            <w:bottom w:val="none" w:sz="0" w:space="0" w:color="auto"/>
            <w:right w:val="none" w:sz="0" w:space="0" w:color="auto"/>
          </w:divBdr>
          <w:divsChild>
            <w:div w:id="1482890933">
              <w:marLeft w:val="0"/>
              <w:marRight w:val="0"/>
              <w:marTop w:val="0"/>
              <w:marBottom w:val="0"/>
              <w:divBdr>
                <w:top w:val="none" w:sz="0" w:space="0" w:color="auto"/>
                <w:left w:val="none" w:sz="0" w:space="0" w:color="auto"/>
                <w:bottom w:val="none" w:sz="0" w:space="0" w:color="auto"/>
                <w:right w:val="none" w:sz="0" w:space="0" w:color="auto"/>
              </w:divBdr>
              <w:divsChild>
                <w:div w:id="597716098">
                  <w:marLeft w:val="0"/>
                  <w:marRight w:val="0"/>
                  <w:marTop w:val="0"/>
                  <w:marBottom w:val="0"/>
                  <w:divBdr>
                    <w:top w:val="none" w:sz="0" w:space="0" w:color="auto"/>
                    <w:left w:val="none" w:sz="0" w:space="0" w:color="auto"/>
                    <w:bottom w:val="none" w:sz="0" w:space="0" w:color="auto"/>
                    <w:right w:val="none" w:sz="0" w:space="0" w:color="auto"/>
                  </w:divBdr>
                  <w:divsChild>
                    <w:div w:id="2001810296">
                      <w:marLeft w:val="0"/>
                      <w:marRight w:val="0"/>
                      <w:marTop w:val="0"/>
                      <w:marBottom w:val="0"/>
                      <w:divBdr>
                        <w:top w:val="none" w:sz="0" w:space="0" w:color="auto"/>
                        <w:left w:val="none" w:sz="0" w:space="0" w:color="auto"/>
                        <w:bottom w:val="none" w:sz="0" w:space="0" w:color="auto"/>
                        <w:right w:val="none" w:sz="0" w:space="0" w:color="auto"/>
                      </w:divBdr>
                      <w:divsChild>
                        <w:div w:id="1687436335">
                          <w:marLeft w:val="-225"/>
                          <w:marRight w:val="-225"/>
                          <w:marTop w:val="0"/>
                          <w:marBottom w:val="0"/>
                          <w:divBdr>
                            <w:top w:val="none" w:sz="0" w:space="0" w:color="auto"/>
                            <w:left w:val="none" w:sz="0" w:space="0" w:color="auto"/>
                            <w:bottom w:val="none" w:sz="0" w:space="0" w:color="auto"/>
                            <w:right w:val="none" w:sz="0" w:space="0" w:color="auto"/>
                          </w:divBdr>
                          <w:divsChild>
                            <w:div w:id="59520824">
                              <w:marLeft w:val="0"/>
                              <w:marRight w:val="0"/>
                              <w:marTop w:val="0"/>
                              <w:marBottom w:val="0"/>
                              <w:divBdr>
                                <w:top w:val="none" w:sz="0" w:space="0" w:color="auto"/>
                                <w:left w:val="none" w:sz="0" w:space="0" w:color="auto"/>
                                <w:bottom w:val="none" w:sz="0" w:space="0" w:color="auto"/>
                                <w:right w:val="none" w:sz="0" w:space="0" w:color="auto"/>
                              </w:divBdr>
                              <w:divsChild>
                                <w:div w:id="778109785">
                                  <w:marLeft w:val="0"/>
                                  <w:marRight w:val="0"/>
                                  <w:marTop w:val="0"/>
                                  <w:marBottom w:val="0"/>
                                  <w:divBdr>
                                    <w:top w:val="none" w:sz="0" w:space="0" w:color="auto"/>
                                    <w:left w:val="none" w:sz="0" w:space="0" w:color="auto"/>
                                    <w:bottom w:val="none" w:sz="0" w:space="0" w:color="auto"/>
                                    <w:right w:val="none" w:sz="0" w:space="0" w:color="auto"/>
                                  </w:divBdr>
                                  <w:divsChild>
                                    <w:div w:id="93063193">
                                      <w:marLeft w:val="0"/>
                                      <w:marRight w:val="0"/>
                                      <w:marTop w:val="0"/>
                                      <w:marBottom w:val="0"/>
                                      <w:divBdr>
                                        <w:top w:val="none" w:sz="0" w:space="0" w:color="auto"/>
                                        <w:left w:val="none" w:sz="0" w:space="0" w:color="auto"/>
                                        <w:bottom w:val="none" w:sz="0" w:space="0" w:color="auto"/>
                                        <w:right w:val="none" w:sz="0" w:space="0" w:color="auto"/>
                                      </w:divBdr>
                                      <w:divsChild>
                                        <w:div w:id="1379166799">
                                          <w:marLeft w:val="-225"/>
                                          <w:marRight w:val="-225"/>
                                          <w:marTop w:val="0"/>
                                          <w:marBottom w:val="0"/>
                                          <w:divBdr>
                                            <w:top w:val="none" w:sz="0" w:space="0" w:color="auto"/>
                                            <w:left w:val="none" w:sz="0" w:space="0" w:color="auto"/>
                                            <w:bottom w:val="none" w:sz="0" w:space="0" w:color="auto"/>
                                            <w:right w:val="none" w:sz="0" w:space="0" w:color="auto"/>
                                          </w:divBdr>
                                          <w:divsChild>
                                            <w:div w:id="73598181">
                                              <w:marLeft w:val="0"/>
                                              <w:marRight w:val="0"/>
                                              <w:marTop w:val="0"/>
                                              <w:marBottom w:val="0"/>
                                              <w:divBdr>
                                                <w:top w:val="none" w:sz="0" w:space="0" w:color="auto"/>
                                                <w:left w:val="none" w:sz="0" w:space="0" w:color="auto"/>
                                                <w:bottom w:val="none" w:sz="0" w:space="0" w:color="auto"/>
                                                <w:right w:val="none" w:sz="0" w:space="0" w:color="auto"/>
                                              </w:divBdr>
                                              <w:divsChild>
                                                <w:div w:id="1940481038">
                                                  <w:marLeft w:val="0"/>
                                                  <w:marRight w:val="0"/>
                                                  <w:marTop w:val="0"/>
                                                  <w:marBottom w:val="0"/>
                                                  <w:divBdr>
                                                    <w:top w:val="none" w:sz="0" w:space="0" w:color="auto"/>
                                                    <w:left w:val="none" w:sz="0" w:space="0" w:color="auto"/>
                                                    <w:bottom w:val="none" w:sz="0" w:space="0" w:color="auto"/>
                                                    <w:right w:val="none" w:sz="0" w:space="0" w:color="auto"/>
                                                  </w:divBdr>
                                                  <w:divsChild>
                                                    <w:div w:id="356541793">
                                                      <w:marLeft w:val="0"/>
                                                      <w:marRight w:val="0"/>
                                                      <w:marTop w:val="0"/>
                                                      <w:marBottom w:val="0"/>
                                                      <w:divBdr>
                                                        <w:top w:val="none" w:sz="0" w:space="0" w:color="auto"/>
                                                        <w:left w:val="none" w:sz="0" w:space="0" w:color="auto"/>
                                                        <w:bottom w:val="none" w:sz="0" w:space="0" w:color="auto"/>
                                                        <w:right w:val="none" w:sz="0" w:space="0" w:color="auto"/>
                                                      </w:divBdr>
                                                      <w:divsChild>
                                                        <w:div w:id="1634873318">
                                                          <w:marLeft w:val="0"/>
                                                          <w:marRight w:val="0"/>
                                                          <w:marTop w:val="0"/>
                                                          <w:marBottom w:val="0"/>
                                                          <w:divBdr>
                                                            <w:top w:val="none" w:sz="0" w:space="0" w:color="auto"/>
                                                            <w:left w:val="none" w:sz="0" w:space="0" w:color="auto"/>
                                                            <w:bottom w:val="none" w:sz="0" w:space="0" w:color="auto"/>
                                                            <w:right w:val="none" w:sz="0" w:space="0" w:color="auto"/>
                                                          </w:divBdr>
                                                          <w:divsChild>
                                                            <w:div w:id="17426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5118640">
      <w:bodyDiv w:val="1"/>
      <w:marLeft w:val="0"/>
      <w:marRight w:val="0"/>
      <w:marTop w:val="0"/>
      <w:marBottom w:val="0"/>
      <w:divBdr>
        <w:top w:val="none" w:sz="0" w:space="0" w:color="auto"/>
        <w:left w:val="none" w:sz="0" w:space="0" w:color="auto"/>
        <w:bottom w:val="none" w:sz="0" w:space="0" w:color="auto"/>
        <w:right w:val="none" w:sz="0" w:space="0" w:color="auto"/>
      </w:divBdr>
      <w:divsChild>
        <w:div w:id="593824023">
          <w:marLeft w:val="0"/>
          <w:marRight w:val="0"/>
          <w:marTop w:val="0"/>
          <w:marBottom w:val="0"/>
          <w:divBdr>
            <w:top w:val="none" w:sz="0" w:space="0" w:color="auto"/>
            <w:left w:val="none" w:sz="0" w:space="0" w:color="auto"/>
            <w:bottom w:val="none" w:sz="0" w:space="0" w:color="auto"/>
            <w:right w:val="none" w:sz="0" w:space="0" w:color="auto"/>
          </w:divBdr>
          <w:divsChild>
            <w:div w:id="151072312">
              <w:marLeft w:val="0"/>
              <w:marRight w:val="0"/>
              <w:marTop w:val="0"/>
              <w:marBottom w:val="0"/>
              <w:divBdr>
                <w:top w:val="none" w:sz="0" w:space="0" w:color="auto"/>
                <w:left w:val="none" w:sz="0" w:space="0" w:color="auto"/>
                <w:bottom w:val="none" w:sz="0" w:space="0" w:color="auto"/>
                <w:right w:val="none" w:sz="0" w:space="0" w:color="auto"/>
              </w:divBdr>
              <w:divsChild>
                <w:div w:id="1174763795">
                  <w:marLeft w:val="0"/>
                  <w:marRight w:val="0"/>
                  <w:marTop w:val="0"/>
                  <w:marBottom w:val="0"/>
                  <w:divBdr>
                    <w:top w:val="none" w:sz="0" w:space="0" w:color="auto"/>
                    <w:left w:val="none" w:sz="0" w:space="0" w:color="auto"/>
                    <w:bottom w:val="none" w:sz="0" w:space="0" w:color="auto"/>
                    <w:right w:val="none" w:sz="0" w:space="0" w:color="auto"/>
                  </w:divBdr>
                  <w:divsChild>
                    <w:div w:id="263536069">
                      <w:marLeft w:val="150"/>
                      <w:marRight w:val="150"/>
                      <w:marTop w:val="0"/>
                      <w:marBottom w:val="0"/>
                      <w:divBdr>
                        <w:top w:val="none" w:sz="0" w:space="0" w:color="auto"/>
                        <w:left w:val="none" w:sz="0" w:space="0" w:color="auto"/>
                        <w:bottom w:val="none" w:sz="0" w:space="0" w:color="auto"/>
                        <w:right w:val="none" w:sz="0" w:space="0" w:color="auto"/>
                      </w:divBdr>
                      <w:divsChild>
                        <w:div w:id="1828790325">
                          <w:marLeft w:val="0"/>
                          <w:marRight w:val="0"/>
                          <w:marTop w:val="0"/>
                          <w:marBottom w:val="0"/>
                          <w:divBdr>
                            <w:top w:val="none" w:sz="0" w:space="0" w:color="auto"/>
                            <w:left w:val="none" w:sz="0" w:space="0" w:color="auto"/>
                            <w:bottom w:val="none" w:sz="0" w:space="0" w:color="auto"/>
                            <w:right w:val="none" w:sz="0" w:space="0" w:color="auto"/>
                          </w:divBdr>
                          <w:divsChild>
                            <w:div w:id="526525806">
                              <w:marLeft w:val="0"/>
                              <w:marRight w:val="0"/>
                              <w:marTop w:val="0"/>
                              <w:marBottom w:val="0"/>
                              <w:divBdr>
                                <w:top w:val="none" w:sz="0" w:space="0" w:color="auto"/>
                                <w:left w:val="none" w:sz="0" w:space="0" w:color="auto"/>
                                <w:bottom w:val="none" w:sz="0" w:space="0" w:color="auto"/>
                                <w:right w:val="none" w:sz="0" w:space="0" w:color="auto"/>
                              </w:divBdr>
                              <w:divsChild>
                                <w:div w:id="2102220106">
                                  <w:marLeft w:val="0"/>
                                  <w:marRight w:val="0"/>
                                  <w:marTop w:val="0"/>
                                  <w:marBottom w:val="0"/>
                                  <w:divBdr>
                                    <w:top w:val="none" w:sz="0" w:space="0" w:color="auto"/>
                                    <w:left w:val="none" w:sz="0" w:space="0" w:color="auto"/>
                                    <w:bottom w:val="none" w:sz="0" w:space="0" w:color="auto"/>
                                    <w:right w:val="none" w:sz="0" w:space="0" w:color="auto"/>
                                  </w:divBdr>
                                  <w:divsChild>
                                    <w:div w:id="2067138824">
                                      <w:marLeft w:val="0"/>
                                      <w:marRight w:val="0"/>
                                      <w:marTop w:val="0"/>
                                      <w:marBottom w:val="0"/>
                                      <w:divBdr>
                                        <w:top w:val="none" w:sz="0" w:space="0" w:color="auto"/>
                                        <w:left w:val="none" w:sz="0" w:space="0" w:color="auto"/>
                                        <w:bottom w:val="none" w:sz="0" w:space="0" w:color="auto"/>
                                        <w:right w:val="none" w:sz="0" w:space="0" w:color="auto"/>
                                      </w:divBdr>
                                      <w:divsChild>
                                        <w:div w:id="652418530">
                                          <w:marLeft w:val="0"/>
                                          <w:marRight w:val="0"/>
                                          <w:marTop w:val="0"/>
                                          <w:marBottom w:val="0"/>
                                          <w:divBdr>
                                            <w:top w:val="none" w:sz="0" w:space="0" w:color="auto"/>
                                            <w:left w:val="none" w:sz="0" w:space="0" w:color="auto"/>
                                            <w:bottom w:val="none" w:sz="0" w:space="0" w:color="auto"/>
                                            <w:right w:val="none" w:sz="0" w:space="0" w:color="auto"/>
                                          </w:divBdr>
                                          <w:divsChild>
                                            <w:div w:id="73557267">
                                              <w:marLeft w:val="0"/>
                                              <w:marRight w:val="0"/>
                                              <w:marTop w:val="0"/>
                                              <w:marBottom w:val="0"/>
                                              <w:divBdr>
                                                <w:top w:val="none" w:sz="0" w:space="0" w:color="auto"/>
                                                <w:left w:val="none" w:sz="0" w:space="0" w:color="auto"/>
                                                <w:bottom w:val="none" w:sz="0" w:space="0" w:color="auto"/>
                                                <w:right w:val="none" w:sz="0" w:space="0" w:color="auto"/>
                                              </w:divBdr>
                                              <w:divsChild>
                                                <w:div w:id="1889216838">
                                                  <w:marLeft w:val="0"/>
                                                  <w:marRight w:val="0"/>
                                                  <w:marTop w:val="0"/>
                                                  <w:marBottom w:val="0"/>
                                                  <w:divBdr>
                                                    <w:top w:val="none" w:sz="0" w:space="0" w:color="auto"/>
                                                    <w:left w:val="none" w:sz="0" w:space="0" w:color="auto"/>
                                                    <w:bottom w:val="none" w:sz="0" w:space="0" w:color="auto"/>
                                                    <w:right w:val="none" w:sz="0" w:space="0" w:color="auto"/>
                                                  </w:divBdr>
                                                  <w:divsChild>
                                                    <w:div w:id="5404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4510710">
      <w:bodyDiv w:val="1"/>
      <w:marLeft w:val="0"/>
      <w:marRight w:val="0"/>
      <w:marTop w:val="0"/>
      <w:marBottom w:val="0"/>
      <w:divBdr>
        <w:top w:val="none" w:sz="0" w:space="0" w:color="auto"/>
        <w:left w:val="none" w:sz="0" w:space="0" w:color="auto"/>
        <w:bottom w:val="none" w:sz="0" w:space="0" w:color="auto"/>
        <w:right w:val="none" w:sz="0" w:space="0" w:color="auto"/>
      </w:divBdr>
    </w:div>
    <w:div w:id="1235893859">
      <w:bodyDiv w:val="1"/>
      <w:marLeft w:val="0"/>
      <w:marRight w:val="0"/>
      <w:marTop w:val="0"/>
      <w:marBottom w:val="0"/>
      <w:divBdr>
        <w:top w:val="none" w:sz="0" w:space="0" w:color="auto"/>
        <w:left w:val="none" w:sz="0" w:space="0" w:color="auto"/>
        <w:bottom w:val="none" w:sz="0" w:space="0" w:color="auto"/>
        <w:right w:val="none" w:sz="0" w:space="0" w:color="auto"/>
      </w:divBdr>
    </w:div>
    <w:div w:id="1239098921">
      <w:bodyDiv w:val="1"/>
      <w:marLeft w:val="0"/>
      <w:marRight w:val="0"/>
      <w:marTop w:val="0"/>
      <w:marBottom w:val="0"/>
      <w:divBdr>
        <w:top w:val="none" w:sz="0" w:space="0" w:color="auto"/>
        <w:left w:val="none" w:sz="0" w:space="0" w:color="auto"/>
        <w:bottom w:val="none" w:sz="0" w:space="0" w:color="auto"/>
        <w:right w:val="none" w:sz="0" w:space="0" w:color="auto"/>
      </w:divBdr>
    </w:div>
    <w:div w:id="1305696833">
      <w:bodyDiv w:val="1"/>
      <w:marLeft w:val="0"/>
      <w:marRight w:val="0"/>
      <w:marTop w:val="0"/>
      <w:marBottom w:val="0"/>
      <w:divBdr>
        <w:top w:val="none" w:sz="0" w:space="0" w:color="auto"/>
        <w:left w:val="none" w:sz="0" w:space="0" w:color="auto"/>
        <w:bottom w:val="none" w:sz="0" w:space="0" w:color="auto"/>
        <w:right w:val="none" w:sz="0" w:space="0" w:color="auto"/>
      </w:divBdr>
    </w:div>
    <w:div w:id="1306009142">
      <w:bodyDiv w:val="1"/>
      <w:marLeft w:val="0"/>
      <w:marRight w:val="0"/>
      <w:marTop w:val="0"/>
      <w:marBottom w:val="0"/>
      <w:divBdr>
        <w:top w:val="none" w:sz="0" w:space="0" w:color="auto"/>
        <w:left w:val="none" w:sz="0" w:space="0" w:color="auto"/>
        <w:bottom w:val="none" w:sz="0" w:space="0" w:color="auto"/>
        <w:right w:val="none" w:sz="0" w:space="0" w:color="auto"/>
      </w:divBdr>
      <w:divsChild>
        <w:div w:id="366637062">
          <w:marLeft w:val="0"/>
          <w:marRight w:val="0"/>
          <w:marTop w:val="0"/>
          <w:marBottom w:val="0"/>
          <w:divBdr>
            <w:top w:val="none" w:sz="0" w:space="0" w:color="auto"/>
            <w:left w:val="none" w:sz="0" w:space="0" w:color="auto"/>
            <w:bottom w:val="none" w:sz="0" w:space="0" w:color="auto"/>
            <w:right w:val="none" w:sz="0" w:space="0" w:color="auto"/>
          </w:divBdr>
          <w:divsChild>
            <w:div w:id="19202866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4650037">
      <w:bodyDiv w:val="1"/>
      <w:marLeft w:val="0"/>
      <w:marRight w:val="0"/>
      <w:marTop w:val="0"/>
      <w:marBottom w:val="0"/>
      <w:divBdr>
        <w:top w:val="none" w:sz="0" w:space="0" w:color="auto"/>
        <w:left w:val="none" w:sz="0" w:space="0" w:color="auto"/>
        <w:bottom w:val="none" w:sz="0" w:space="0" w:color="auto"/>
        <w:right w:val="none" w:sz="0" w:space="0" w:color="auto"/>
      </w:divBdr>
    </w:div>
    <w:div w:id="1346979602">
      <w:bodyDiv w:val="1"/>
      <w:marLeft w:val="0"/>
      <w:marRight w:val="0"/>
      <w:marTop w:val="0"/>
      <w:marBottom w:val="0"/>
      <w:divBdr>
        <w:top w:val="none" w:sz="0" w:space="0" w:color="auto"/>
        <w:left w:val="none" w:sz="0" w:space="0" w:color="auto"/>
        <w:bottom w:val="none" w:sz="0" w:space="0" w:color="auto"/>
        <w:right w:val="none" w:sz="0" w:space="0" w:color="auto"/>
      </w:divBdr>
    </w:div>
    <w:div w:id="1372460191">
      <w:bodyDiv w:val="1"/>
      <w:marLeft w:val="0"/>
      <w:marRight w:val="0"/>
      <w:marTop w:val="0"/>
      <w:marBottom w:val="0"/>
      <w:divBdr>
        <w:top w:val="none" w:sz="0" w:space="0" w:color="auto"/>
        <w:left w:val="none" w:sz="0" w:space="0" w:color="auto"/>
        <w:bottom w:val="none" w:sz="0" w:space="0" w:color="auto"/>
        <w:right w:val="none" w:sz="0" w:space="0" w:color="auto"/>
      </w:divBdr>
    </w:div>
    <w:div w:id="1448936915">
      <w:bodyDiv w:val="1"/>
      <w:marLeft w:val="0"/>
      <w:marRight w:val="0"/>
      <w:marTop w:val="0"/>
      <w:marBottom w:val="0"/>
      <w:divBdr>
        <w:top w:val="none" w:sz="0" w:space="0" w:color="auto"/>
        <w:left w:val="none" w:sz="0" w:space="0" w:color="auto"/>
        <w:bottom w:val="none" w:sz="0" w:space="0" w:color="auto"/>
        <w:right w:val="none" w:sz="0" w:space="0" w:color="auto"/>
      </w:divBdr>
    </w:div>
    <w:div w:id="1483621378">
      <w:bodyDiv w:val="1"/>
      <w:marLeft w:val="0"/>
      <w:marRight w:val="0"/>
      <w:marTop w:val="0"/>
      <w:marBottom w:val="0"/>
      <w:divBdr>
        <w:top w:val="none" w:sz="0" w:space="0" w:color="auto"/>
        <w:left w:val="none" w:sz="0" w:space="0" w:color="auto"/>
        <w:bottom w:val="none" w:sz="0" w:space="0" w:color="auto"/>
        <w:right w:val="none" w:sz="0" w:space="0" w:color="auto"/>
      </w:divBdr>
    </w:div>
    <w:div w:id="1539050869">
      <w:bodyDiv w:val="1"/>
      <w:marLeft w:val="0"/>
      <w:marRight w:val="0"/>
      <w:marTop w:val="0"/>
      <w:marBottom w:val="0"/>
      <w:divBdr>
        <w:top w:val="none" w:sz="0" w:space="0" w:color="auto"/>
        <w:left w:val="none" w:sz="0" w:space="0" w:color="auto"/>
        <w:bottom w:val="none" w:sz="0" w:space="0" w:color="auto"/>
        <w:right w:val="none" w:sz="0" w:space="0" w:color="auto"/>
      </w:divBdr>
    </w:div>
    <w:div w:id="1542325888">
      <w:bodyDiv w:val="1"/>
      <w:marLeft w:val="0"/>
      <w:marRight w:val="0"/>
      <w:marTop w:val="0"/>
      <w:marBottom w:val="0"/>
      <w:divBdr>
        <w:top w:val="none" w:sz="0" w:space="0" w:color="auto"/>
        <w:left w:val="none" w:sz="0" w:space="0" w:color="auto"/>
        <w:bottom w:val="none" w:sz="0" w:space="0" w:color="auto"/>
        <w:right w:val="none" w:sz="0" w:space="0" w:color="auto"/>
      </w:divBdr>
      <w:divsChild>
        <w:div w:id="808667143">
          <w:marLeft w:val="0"/>
          <w:marRight w:val="0"/>
          <w:marTop w:val="0"/>
          <w:marBottom w:val="0"/>
          <w:divBdr>
            <w:top w:val="none" w:sz="0" w:space="0" w:color="auto"/>
            <w:left w:val="none" w:sz="0" w:space="0" w:color="auto"/>
            <w:bottom w:val="none" w:sz="0" w:space="0" w:color="auto"/>
            <w:right w:val="none" w:sz="0" w:space="0" w:color="auto"/>
          </w:divBdr>
          <w:divsChild>
            <w:div w:id="179974766">
              <w:marLeft w:val="0"/>
              <w:marRight w:val="0"/>
              <w:marTop w:val="0"/>
              <w:marBottom w:val="0"/>
              <w:divBdr>
                <w:top w:val="none" w:sz="0" w:space="0" w:color="auto"/>
                <w:left w:val="none" w:sz="0" w:space="0" w:color="auto"/>
                <w:bottom w:val="none" w:sz="0" w:space="0" w:color="auto"/>
                <w:right w:val="none" w:sz="0" w:space="0" w:color="auto"/>
              </w:divBdr>
              <w:divsChild>
                <w:div w:id="1595240132">
                  <w:marLeft w:val="0"/>
                  <w:marRight w:val="0"/>
                  <w:marTop w:val="0"/>
                  <w:marBottom w:val="0"/>
                  <w:divBdr>
                    <w:top w:val="none" w:sz="0" w:space="0" w:color="auto"/>
                    <w:left w:val="none" w:sz="0" w:space="0" w:color="auto"/>
                    <w:bottom w:val="none" w:sz="0" w:space="0" w:color="auto"/>
                    <w:right w:val="none" w:sz="0" w:space="0" w:color="auto"/>
                  </w:divBdr>
                  <w:divsChild>
                    <w:div w:id="842935225">
                      <w:marLeft w:val="0"/>
                      <w:marRight w:val="0"/>
                      <w:marTop w:val="0"/>
                      <w:marBottom w:val="0"/>
                      <w:divBdr>
                        <w:top w:val="none" w:sz="0" w:space="0" w:color="auto"/>
                        <w:left w:val="none" w:sz="0" w:space="0" w:color="auto"/>
                        <w:bottom w:val="none" w:sz="0" w:space="0" w:color="auto"/>
                        <w:right w:val="none" w:sz="0" w:space="0" w:color="auto"/>
                      </w:divBdr>
                      <w:divsChild>
                        <w:div w:id="2114544211">
                          <w:marLeft w:val="-225"/>
                          <w:marRight w:val="-225"/>
                          <w:marTop w:val="0"/>
                          <w:marBottom w:val="0"/>
                          <w:divBdr>
                            <w:top w:val="none" w:sz="0" w:space="0" w:color="auto"/>
                            <w:left w:val="none" w:sz="0" w:space="0" w:color="auto"/>
                            <w:bottom w:val="none" w:sz="0" w:space="0" w:color="auto"/>
                            <w:right w:val="none" w:sz="0" w:space="0" w:color="auto"/>
                          </w:divBdr>
                          <w:divsChild>
                            <w:div w:id="985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13988">
      <w:bodyDiv w:val="1"/>
      <w:marLeft w:val="0"/>
      <w:marRight w:val="0"/>
      <w:marTop w:val="0"/>
      <w:marBottom w:val="0"/>
      <w:divBdr>
        <w:top w:val="none" w:sz="0" w:space="0" w:color="auto"/>
        <w:left w:val="none" w:sz="0" w:space="0" w:color="auto"/>
        <w:bottom w:val="none" w:sz="0" w:space="0" w:color="auto"/>
        <w:right w:val="none" w:sz="0" w:space="0" w:color="auto"/>
      </w:divBdr>
    </w:div>
    <w:div w:id="1634603462">
      <w:bodyDiv w:val="1"/>
      <w:marLeft w:val="0"/>
      <w:marRight w:val="0"/>
      <w:marTop w:val="0"/>
      <w:marBottom w:val="0"/>
      <w:divBdr>
        <w:top w:val="none" w:sz="0" w:space="0" w:color="auto"/>
        <w:left w:val="none" w:sz="0" w:space="0" w:color="auto"/>
        <w:bottom w:val="none" w:sz="0" w:space="0" w:color="auto"/>
        <w:right w:val="none" w:sz="0" w:space="0" w:color="auto"/>
      </w:divBdr>
    </w:div>
    <w:div w:id="1638366356">
      <w:bodyDiv w:val="1"/>
      <w:marLeft w:val="0"/>
      <w:marRight w:val="0"/>
      <w:marTop w:val="0"/>
      <w:marBottom w:val="0"/>
      <w:divBdr>
        <w:top w:val="none" w:sz="0" w:space="0" w:color="auto"/>
        <w:left w:val="none" w:sz="0" w:space="0" w:color="auto"/>
        <w:bottom w:val="none" w:sz="0" w:space="0" w:color="auto"/>
        <w:right w:val="none" w:sz="0" w:space="0" w:color="auto"/>
      </w:divBdr>
      <w:divsChild>
        <w:div w:id="1567643423">
          <w:marLeft w:val="0"/>
          <w:marRight w:val="0"/>
          <w:marTop w:val="0"/>
          <w:marBottom w:val="0"/>
          <w:divBdr>
            <w:top w:val="none" w:sz="0" w:space="0" w:color="auto"/>
            <w:left w:val="none" w:sz="0" w:space="0" w:color="auto"/>
            <w:bottom w:val="none" w:sz="0" w:space="0" w:color="auto"/>
            <w:right w:val="none" w:sz="0" w:space="0" w:color="auto"/>
          </w:divBdr>
          <w:divsChild>
            <w:div w:id="723675129">
              <w:marLeft w:val="0"/>
              <w:marRight w:val="0"/>
              <w:marTop w:val="0"/>
              <w:marBottom w:val="0"/>
              <w:divBdr>
                <w:top w:val="none" w:sz="0" w:space="0" w:color="auto"/>
                <w:left w:val="none" w:sz="0" w:space="0" w:color="auto"/>
                <w:bottom w:val="none" w:sz="0" w:space="0" w:color="auto"/>
                <w:right w:val="none" w:sz="0" w:space="0" w:color="auto"/>
              </w:divBdr>
              <w:divsChild>
                <w:div w:id="14767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9863">
      <w:bodyDiv w:val="1"/>
      <w:marLeft w:val="0"/>
      <w:marRight w:val="0"/>
      <w:marTop w:val="0"/>
      <w:marBottom w:val="0"/>
      <w:divBdr>
        <w:top w:val="none" w:sz="0" w:space="0" w:color="auto"/>
        <w:left w:val="none" w:sz="0" w:space="0" w:color="auto"/>
        <w:bottom w:val="none" w:sz="0" w:space="0" w:color="auto"/>
        <w:right w:val="none" w:sz="0" w:space="0" w:color="auto"/>
      </w:divBdr>
    </w:div>
    <w:div w:id="1655448345">
      <w:bodyDiv w:val="1"/>
      <w:marLeft w:val="0"/>
      <w:marRight w:val="0"/>
      <w:marTop w:val="0"/>
      <w:marBottom w:val="0"/>
      <w:divBdr>
        <w:top w:val="none" w:sz="0" w:space="0" w:color="auto"/>
        <w:left w:val="none" w:sz="0" w:space="0" w:color="auto"/>
        <w:bottom w:val="none" w:sz="0" w:space="0" w:color="auto"/>
        <w:right w:val="none" w:sz="0" w:space="0" w:color="auto"/>
      </w:divBdr>
    </w:div>
    <w:div w:id="1716349876">
      <w:bodyDiv w:val="1"/>
      <w:marLeft w:val="0"/>
      <w:marRight w:val="0"/>
      <w:marTop w:val="0"/>
      <w:marBottom w:val="0"/>
      <w:divBdr>
        <w:top w:val="none" w:sz="0" w:space="0" w:color="auto"/>
        <w:left w:val="none" w:sz="0" w:space="0" w:color="auto"/>
        <w:bottom w:val="none" w:sz="0" w:space="0" w:color="auto"/>
        <w:right w:val="none" w:sz="0" w:space="0" w:color="auto"/>
      </w:divBdr>
      <w:divsChild>
        <w:div w:id="1062826929">
          <w:marLeft w:val="0"/>
          <w:marRight w:val="0"/>
          <w:marTop w:val="0"/>
          <w:marBottom w:val="0"/>
          <w:divBdr>
            <w:top w:val="none" w:sz="0" w:space="0" w:color="auto"/>
            <w:left w:val="none" w:sz="0" w:space="0" w:color="auto"/>
            <w:bottom w:val="none" w:sz="0" w:space="0" w:color="auto"/>
            <w:right w:val="none" w:sz="0" w:space="0" w:color="auto"/>
          </w:divBdr>
          <w:divsChild>
            <w:div w:id="574820051">
              <w:marLeft w:val="0"/>
              <w:marRight w:val="0"/>
              <w:marTop w:val="0"/>
              <w:marBottom w:val="0"/>
              <w:divBdr>
                <w:top w:val="none" w:sz="0" w:space="0" w:color="auto"/>
                <w:left w:val="none" w:sz="0" w:space="0" w:color="auto"/>
                <w:bottom w:val="none" w:sz="0" w:space="0" w:color="auto"/>
                <w:right w:val="none" w:sz="0" w:space="0" w:color="auto"/>
              </w:divBdr>
              <w:divsChild>
                <w:div w:id="773790172">
                  <w:marLeft w:val="0"/>
                  <w:marRight w:val="0"/>
                  <w:marTop w:val="0"/>
                  <w:marBottom w:val="0"/>
                  <w:divBdr>
                    <w:top w:val="none" w:sz="0" w:space="0" w:color="auto"/>
                    <w:left w:val="none" w:sz="0" w:space="0" w:color="auto"/>
                    <w:bottom w:val="none" w:sz="0" w:space="0" w:color="auto"/>
                    <w:right w:val="none" w:sz="0" w:space="0" w:color="auto"/>
                  </w:divBdr>
                  <w:divsChild>
                    <w:div w:id="1668481836">
                      <w:marLeft w:val="150"/>
                      <w:marRight w:val="150"/>
                      <w:marTop w:val="0"/>
                      <w:marBottom w:val="0"/>
                      <w:divBdr>
                        <w:top w:val="none" w:sz="0" w:space="0" w:color="auto"/>
                        <w:left w:val="none" w:sz="0" w:space="0" w:color="auto"/>
                        <w:bottom w:val="none" w:sz="0" w:space="0" w:color="auto"/>
                        <w:right w:val="none" w:sz="0" w:space="0" w:color="auto"/>
                      </w:divBdr>
                      <w:divsChild>
                        <w:div w:id="2008054498">
                          <w:marLeft w:val="0"/>
                          <w:marRight w:val="0"/>
                          <w:marTop w:val="0"/>
                          <w:marBottom w:val="0"/>
                          <w:divBdr>
                            <w:top w:val="none" w:sz="0" w:space="0" w:color="auto"/>
                            <w:left w:val="none" w:sz="0" w:space="0" w:color="auto"/>
                            <w:bottom w:val="none" w:sz="0" w:space="0" w:color="auto"/>
                            <w:right w:val="none" w:sz="0" w:space="0" w:color="auto"/>
                          </w:divBdr>
                          <w:divsChild>
                            <w:div w:id="760419869">
                              <w:marLeft w:val="0"/>
                              <w:marRight w:val="0"/>
                              <w:marTop w:val="0"/>
                              <w:marBottom w:val="0"/>
                              <w:divBdr>
                                <w:top w:val="none" w:sz="0" w:space="0" w:color="auto"/>
                                <w:left w:val="none" w:sz="0" w:space="0" w:color="auto"/>
                                <w:bottom w:val="none" w:sz="0" w:space="0" w:color="auto"/>
                                <w:right w:val="none" w:sz="0" w:space="0" w:color="auto"/>
                              </w:divBdr>
                              <w:divsChild>
                                <w:div w:id="121849618">
                                  <w:marLeft w:val="0"/>
                                  <w:marRight w:val="0"/>
                                  <w:marTop w:val="0"/>
                                  <w:marBottom w:val="0"/>
                                  <w:divBdr>
                                    <w:top w:val="none" w:sz="0" w:space="0" w:color="auto"/>
                                    <w:left w:val="none" w:sz="0" w:space="0" w:color="auto"/>
                                    <w:bottom w:val="none" w:sz="0" w:space="0" w:color="auto"/>
                                    <w:right w:val="none" w:sz="0" w:space="0" w:color="auto"/>
                                  </w:divBdr>
                                  <w:divsChild>
                                    <w:div w:id="1661156426">
                                      <w:marLeft w:val="0"/>
                                      <w:marRight w:val="0"/>
                                      <w:marTop w:val="0"/>
                                      <w:marBottom w:val="0"/>
                                      <w:divBdr>
                                        <w:top w:val="none" w:sz="0" w:space="0" w:color="auto"/>
                                        <w:left w:val="none" w:sz="0" w:space="0" w:color="auto"/>
                                        <w:bottom w:val="none" w:sz="0" w:space="0" w:color="auto"/>
                                        <w:right w:val="none" w:sz="0" w:space="0" w:color="auto"/>
                                      </w:divBdr>
                                      <w:divsChild>
                                        <w:div w:id="1720744401">
                                          <w:marLeft w:val="0"/>
                                          <w:marRight w:val="0"/>
                                          <w:marTop w:val="0"/>
                                          <w:marBottom w:val="0"/>
                                          <w:divBdr>
                                            <w:top w:val="none" w:sz="0" w:space="0" w:color="auto"/>
                                            <w:left w:val="none" w:sz="0" w:space="0" w:color="auto"/>
                                            <w:bottom w:val="none" w:sz="0" w:space="0" w:color="auto"/>
                                            <w:right w:val="none" w:sz="0" w:space="0" w:color="auto"/>
                                          </w:divBdr>
                                          <w:divsChild>
                                            <w:div w:id="1145440049">
                                              <w:marLeft w:val="0"/>
                                              <w:marRight w:val="0"/>
                                              <w:marTop w:val="0"/>
                                              <w:marBottom w:val="0"/>
                                              <w:divBdr>
                                                <w:top w:val="none" w:sz="0" w:space="0" w:color="auto"/>
                                                <w:left w:val="none" w:sz="0" w:space="0" w:color="auto"/>
                                                <w:bottom w:val="none" w:sz="0" w:space="0" w:color="auto"/>
                                                <w:right w:val="none" w:sz="0" w:space="0" w:color="auto"/>
                                              </w:divBdr>
                                              <w:divsChild>
                                                <w:div w:id="2098137787">
                                                  <w:marLeft w:val="0"/>
                                                  <w:marRight w:val="0"/>
                                                  <w:marTop w:val="0"/>
                                                  <w:marBottom w:val="0"/>
                                                  <w:divBdr>
                                                    <w:top w:val="none" w:sz="0" w:space="0" w:color="auto"/>
                                                    <w:left w:val="none" w:sz="0" w:space="0" w:color="auto"/>
                                                    <w:bottom w:val="none" w:sz="0" w:space="0" w:color="auto"/>
                                                    <w:right w:val="none" w:sz="0" w:space="0" w:color="auto"/>
                                                  </w:divBdr>
                                                  <w:divsChild>
                                                    <w:div w:id="2103604989">
                                                      <w:marLeft w:val="0"/>
                                                      <w:marRight w:val="0"/>
                                                      <w:marTop w:val="0"/>
                                                      <w:marBottom w:val="0"/>
                                                      <w:divBdr>
                                                        <w:top w:val="none" w:sz="0" w:space="0" w:color="auto"/>
                                                        <w:left w:val="none" w:sz="0" w:space="0" w:color="auto"/>
                                                        <w:bottom w:val="none" w:sz="0" w:space="0" w:color="auto"/>
                                                        <w:right w:val="none" w:sz="0" w:space="0" w:color="auto"/>
                                                      </w:divBdr>
                                                      <w:divsChild>
                                                        <w:div w:id="2011372622">
                                                          <w:marLeft w:val="0"/>
                                                          <w:marRight w:val="0"/>
                                                          <w:marTop w:val="0"/>
                                                          <w:marBottom w:val="0"/>
                                                          <w:divBdr>
                                                            <w:top w:val="none" w:sz="0" w:space="0" w:color="auto"/>
                                                            <w:left w:val="none" w:sz="0" w:space="0" w:color="auto"/>
                                                            <w:bottom w:val="none" w:sz="0" w:space="0" w:color="auto"/>
                                                            <w:right w:val="none" w:sz="0" w:space="0" w:color="auto"/>
                                                          </w:divBdr>
                                                          <w:divsChild>
                                                            <w:div w:id="20843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135772">
      <w:bodyDiv w:val="1"/>
      <w:marLeft w:val="0"/>
      <w:marRight w:val="0"/>
      <w:marTop w:val="0"/>
      <w:marBottom w:val="0"/>
      <w:divBdr>
        <w:top w:val="none" w:sz="0" w:space="0" w:color="auto"/>
        <w:left w:val="none" w:sz="0" w:space="0" w:color="auto"/>
        <w:bottom w:val="none" w:sz="0" w:space="0" w:color="auto"/>
        <w:right w:val="none" w:sz="0" w:space="0" w:color="auto"/>
      </w:divBdr>
      <w:divsChild>
        <w:div w:id="727386351">
          <w:marLeft w:val="274"/>
          <w:marRight w:val="0"/>
          <w:marTop w:val="86"/>
          <w:marBottom w:val="0"/>
          <w:divBdr>
            <w:top w:val="none" w:sz="0" w:space="0" w:color="auto"/>
            <w:left w:val="none" w:sz="0" w:space="0" w:color="auto"/>
            <w:bottom w:val="none" w:sz="0" w:space="0" w:color="auto"/>
            <w:right w:val="none" w:sz="0" w:space="0" w:color="auto"/>
          </w:divBdr>
        </w:div>
        <w:div w:id="47805136">
          <w:marLeft w:val="274"/>
          <w:marRight w:val="0"/>
          <w:marTop w:val="86"/>
          <w:marBottom w:val="0"/>
          <w:divBdr>
            <w:top w:val="none" w:sz="0" w:space="0" w:color="auto"/>
            <w:left w:val="none" w:sz="0" w:space="0" w:color="auto"/>
            <w:bottom w:val="none" w:sz="0" w:space="0" w:color="auto"/>
            <w:right w:val="none" w:sz="0" w:space="0" w:color="auto"/>
          </w:divBdr>
        </w:div>
        <w:div w:id="276065239">
          <w:marLeft w:val="274"/>
          <w:marRight w:val="0"/>
          <w:marTop w:val="86"/>
          <w:marBottom w:val="0"/>
          <w:divBdr>
            <w:top w:val="none" w:sz="0" w:space="0" w:color="auto"/>
            <w:left w:val="none" w:sz="0" w:space="0" w:color="auto"/>
            <w:bottom w:val="none" w:sz="0" w:space="0" w:color="auto"/>
            <w:right w:val="none" w:sz="0" w:space="0" w:color="auto"/>
          </w:divBdr>
        </w:div>
        <w:div w:id="424154259">
          <w:marLeft w:val="274"/>
          <w:marRight w:val="0"/>
          <w:marTop w:val="86"/>
          <w:marBottom w:val="0"/>
          <w:divBdr>
            <w:top w:val="none" w:sz="0" w:space="0" w:color="auto"/>
            <w:left w:val="none" w:sz="0" w:space="0" w:color="auto"/>
            <w:bottom w:val="none" w:sz="0" w:space="0" w:color="auto"/>
            <w:right w:val="none" w:sz="0" w:space="0" w:color="auto"/>
          </w:divBdr>
        </w:div>
      </w:divsChild>
    </w:div>
    <w:div w:id="1744793413">
      <w:bodyDiv w:val="1"/>
      <w:marLeft w:val="0"/>
      <w:marRight w:val="0"/>
      <w:marTop w:val="0"/>
      <w:marBottom w:val="0"/>
      <w:divBdr>
        <w:top w:val="none" w:sz="0" w:space="0" w:color="auto"/>
        <w:left w:val="none" w:sz="0" w:space="0" w:color="auto"/>
        <w:bottom w:val="none" w:sz="0" w:space="0" w:color="auto"/>
        <w:right w:val="none" w:sz="0" w:space="0" w:color="auto"/>
      </w:divBdr>
    </w:div>
    <w:div w:id="1782600814">
      <w:bodyDiv w:val="1"/>
      <w:marLeft w:val="0"/>
      <w:marRight w:val="0"/>
      <w:marTop w:val="0"/>
      <w:marBottom w:val="0"/>
      <w:divBdr>
        <w:top w:val="none" w:sz="0" w:space="0" w:color="auto"/>
        <w:left w:val="none" w:sz="0" w:space="0" w:color="auto"/>
        <w:bottom w:val="none" w:sz="0" w:space="0" w:color="auto"/>
        <w:right w:val="none" w:sz="0" w:space="0" w:color="auto"/>
      </w:divBdr>
    </w:div>
    <w:div w:id="1783265448">
      <w:bodyDiv w:val="1"/>
      <w:marLeft w:val="0"/>
      <w:marRight w:val="0"/>
      <w:marTop w:val="0"/>
      <w:marBottom w:val="0"/>
      <w:divBdr>
        <w:top w:val="none" w:sz="0" w:space="0" w:color="auto"/>
        <w:left w:val="none" w:sz="0" w:space="0" w:color="auto"/>
        <w:bottom w:val="none" w:sz="0" w:space="0" w:color="auto"/>
        <w:right w:val="none" w:sz="0" w:space="0" w:color="auto"/>
      </w:divBdr>
    </w:div>
    <w:div w:id="1809278452">
      <w:bodyDiv w:val="1"/>
      <w:marLeft w:val="0"/>
      <w:marRight w:val="0"/>
      <w:marTop w:val="0"/>
      <w:marBottom w:val="0"/>
      <w:divBdr>
        <w:top w:val="none" w:sz="0" w:space="0" w:color="auto"/>
        <w:left w:val="none" w:sz="0" w:space="0" w:color="auto"/>
        <w:bottom w:val="none" w:sz="0" w:space="0" w:color="auto"/>
        <w:right w:val="none" w:sz="0" w:space="0" w:color="auto"/>
      </w:divBdr>
    </w:div>
    <w:div w:id="1858275842">
      <w:bodyDiv w:val="1"/>
      <w:marLeft w:val="0"/>
      <w:marRight w:val="0"/>
      <w:marTop w:val="0"/>
      <w:marBottom w:val="0"/>
      <w:divBdr>
        <w:top w:val="none" w:sz="0" w:space="0" w:color="auto"/>
        <w:left w:val="none" w:sz="0" w:space="0" w:color="auto"/>
        <w:bottom w:val="none" w:sz="0" w:space="0" w:color="auto"/>
        <w:right w:val="none" w:sz="0" w:space="0" w:color="auto"/>
      </w:divBdr>
      <w:divsChild>
        <w:div w:id="1677460733">
          <w:marLeft w:val="0"/>
          <w:marRight w:val="0"/>
          <w:marTop w:val="0"/>
          <w:marBottom w:val="0"/>
          <w:divBdr>
            <w:top w:val="none" w:sz="0" w:space="0" w:color="auto"/>
            <w:left w:val="none" w:sz="0" w:space="0" w:color="auto"/>
            <w:bottom w:val="none" w:sz="0" w:space="0" w:color="auto"/>
            <w:right w:val="none" w:sz="0" w:space="0" w:color="auto"/>
          </w:divBdr>
          <w:divsChild>
            <w:div w:id="1088694751">
              <w:marLeft w:val="0"/>
              <w:marRight w:val="0"/>
              <w:marTop w:val="0"/>
              <w:marBottom w:val="0"/>
              <w:divBdr>
                <w:top w:val="none" w:sz="0" w:space="0" w:color="auto"/>
                <w:left w:val="none" w:sz="0" w:space="0" w:color="auto"/>
                <w:bottom w:val="none" w:sz="0" w:space="0" w:color="auto"/>
                <w:right w:val="none" w:sz="0" w:space="0" w:color="auto"/>
              </w:divBdr>
              <w:divsChild>
                <w:div w:id="1612319583">
                  <w:marLeft w:val="0"/>
                  <w:marRight w:val="0"/>
                  <w:marTop w:val="0"/>
                  <w:marBottom w:val="0"/>
                  <w:divBdr>
                    <w:top w:val="none" w:sz="0" w:space="0" w:color="auto"/>
                    <w:left w:val="none" w:sz="0" w:space="0" w:color="auto"/>
                    <w:bottom w:val="none" w:sz="0" w:space="0" w:color="auto"/>
                    <w:right w:val="none" w:sz="0" w:space="0" w:color="auto"/>
                  </w:divBdr>
                  <w:divsChild>
                    <w:div w:id="63722888">
                      <w:marLeft w:val="150"/>
                      <w:marRight w:val="150"/>
                      <w:marTop w:val="0"/>
                      <w:marBottom w:val="0"/>
                      <w:divBdr>
                        <w:top w:val="none" w:sz="0" w:space="0" w:color="auto"/>
                        <w:left w:val="none" w:sz="0" w:space="0" w:color="auto"/>
                        <w:bottom w:val="none" w:sz="0" w:space="0" w:color="auto"/>
                        <w:right w:val="none" w:sz="0" w:space="0" w:color="auto"/>
                      </w:divBdr>
                      <w:divsChild>
                        <w:div w:id="500392570">
                          <w:marLeft w:val="0"/>
                          <w:marRight w:val="0"/>
                          <w:marTop w:val="0"/>
                          <w:marBottom w:val="0"/>
                          <w:divBdr>
                            <w:top w:val="none" w:sz="0" w:space="0" w:color="auto"/>
                            <w:left w:val="none" w:sz="0" w:space="0" w:color="auto"/>
                            <w:bottom w:val="none" w:sz="0" w:space="0" w:color="auto"/>
                            <w:right w:val="none" w:sz="0" w:space="0" w:color="auto"/>
                          </w:divBdr>
                          <w:divsChild>
                            <w:div w:id="860823428">
                              <w:marLeft w:val="0"/>
                              <w:marRight w:val="0"/>
                              <w:marTop w:val="0"/>
                              <w:marBottom w:val="0"/>
                              <w:divBdr>
                                <w:top w:val="none" w:sz="0" w:space="0" w:color="auto"/>
                                <w:left w:val="none" w:sz="0" w:space="0" w:color="auto"/>
                                <w:bottom w:val="none" w:sz="0" w:space="0" w:color="auto"/>
                                <w:right w:val="none" w:sz="0" w:space="0" w:color="auto"/>
                              </w:divBdr>
                              <w:divsChild>
                                <w:div w:id="1954238861">
                                  <w:marLeft w:val="0"/>
                                  <w:marRight w:val="0"/>
                                  <w:marTop w:val="0"/>
                                  <w:marBottom w:val="0"/>
                                  <w:divBdr>
                                    <w:top w:val="none" w:sz="0" w:space="0" w:color="auto"/>
                                    <w:left w:val="none" w:sz="0" w:space="0" w:color="auto"/>
                                    <w:bottom w:val="none" w:sz="0" w:space="0" w:color="auto"/>
                                    <w:right w:val="none" w:sz="0" w:space="0" w:color="auto"/>
                                  </w:divBdr>
                                  <w:divsChild>
                                    <w:div w:id="1940945568">
                                      <w:marLeft w:val="0"/>
                                      <w:marRight w:val="0"/>
                                      <w:marTop w:val="0"/>
                                      <w:marBottom w:val="0"/>
                                      <w:divBdr>
                                        <w:top w:val="none" w:sz="0" w:space="0" w:color="auto"/>
                                        <w:left w:val="none" w:sz="0" w:space="0" w:color="auto"/>
                                        <w:bottom w:val="none" w:sz="0" w:space="0" w:color="auto"/>
                                        <w:right w:val="none" w:sz="0" w:space="0" w:color="auto"/>
                                      </w:divBdr>
                                      <w:divsChild>
                                        <w:div w:id="1800950666">
                                          <w:marLeft w:val="0"/>
                                          <w:marRight w:val="0"/>
                                          <w:marTop w:val="0"/>
                                          <w:marBottom w:val="0"/>
                                          <w:divBdr>
                                            <w:top w:val="none" w:sz="0" w:space="0" w:color="auto"/>
                                            <w:left w:val="none" w:sz="0" w:space="0" w:color="auto"/>
                                            <w:bottom w:val="none" w:sz="0" w:space="0" w:color="auto"/>
                                            <w:right w:val="none" w:sz="0" w:space="0" w:color="auto"/>
                                          </w:divBdr>
                                          <w:divsChild>
                                            <w:div w:id="1721438669">
                                              <w:marLeft w:val="0"/>
                                              <w:marRight w:val="0"/>
                                              <w:marTop w:val="0"/>
                                              <w:marBottom w:val="0"/>
                                              <w:divBdr>
                                                <w:top w:val="none" w:sz="0" w:space="0" w:color="auto"/>
                                                <w:left w:val="none" w:sz="0" w:space="0" w:color="auto"/>
                                                <w:bottom w:val="none" w:sz="0" w:space="0" w:color="auto"/>
                                                <w:right w:val="none" w:sz="0" w:space="0" w:color="auto"/>
                                              </w:divBdr>
                                              <w:divsChild>
                                                <w:div w:id="1251161962">
                                                  <w:marLeft w:val="0"/>
                                                  <w:marRight w:val="0"/>
                                                  <w:marTop w:val="0"/>
                                                  <w:marBottom w:val="0"/>
                                                  <w:divBdr>
                                                    <w:top w:val="none" w:sz="0" w:space="0" w:color="auto"/>
                                                    <w:left w:val="none" w:sz="0" w:space="0" w:color="auto"/>
                                                    <w:bottom w:val="none" w:sz="0" w:space="0" w:color="auto"/>
                                                    <w:right w:val="none" w:sz="0" w:space="0" w:color="auto"/>
                                                  </w:divBdr>
                                                  <w:divsChild>
                                                    <w:div w:id="10240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124710">
      <w:bodyDiv w:val="1"/>
      <w:marLeft w:val="0"/>
      <w:marRight w:val="0"/>
      <w:marTop w:val="0"/>
      <w:marBottom w:val="0"/>
      <w:divBdr>
        <w:top w:val="none" w:sz="0" w:space="0" w:color="auto"/>
        <w:left w:val="none" w:sz="0" w:space="0" w:color="auto"/>
        <w:bottom w:val="none" w:sz="0" w:space="0" w:color="auto"/>
        <w:right w:val="none" w:sz="0" w:space="0" w:color="auto"/>
      </w:divBdr>
      <w:divsChild>
        <w:div w:id="679040563">
          <w:marLeft w:val="274"/>
          <w:marRight w:val="0"/>
          <w:marTop w:val="86"/>
          <w:marBottom w:val="0"/>
          <w:divBdr>
            <w:top w:val="none" w:sz="0" w:space="0" w:color="auto"/>
            <w:left w:val="none" w:sz="0" w:space="0" w:color="auto"/>
            <w:bottom w:val="none" w:sz="0" w:space="0" w:color="auto"/>
            <w:right w:val="none" w:sz="0" w:space="0" w:color="auto"/>
          </w:divBdr>
        </w:div>
        <w:div w:id="1015153430">
          <w:marLeft w:val="274"/>
          <w:marRight w:val="0"/>
          <w:marTop w:val="86"/>
          <w:marBottom w:val="0"/>
          <w:divBdr>
            <w:top w:val="none" w:sz="0" w:space="0" w:color="auto"/>
            <w:left w:val="none" w:sz="0" w:space="0" w:color="auto"/>
            <w:bottom w:val="none" w:sz="0" w:space="0" w:color="auto"/>
            <w:right w:val="none" w:sz="0" w:space="0" w:color="auto"/>
          </w:divBdr>
        </w:div>
        <w:div w:id="779028664">
          <w:marLeft w:val="274"/>
          <w:marRight w:val="0"/>
          <w:marTop w:val="86"/>
          <w:marBottom w:val="0"/>
          <w:divBdr>
            <w:top w:val="none" w:sz="0" w:space="0" w:color="auto"/>
            <w:left w:val="none" w:sz="0" w:space="0" w:color="auto"/>
            <w:bottom w:val="none" w:sz="0" w:space="0" w:color="auto"/>
            <w:right w:val="none" w:sz="0" w:space="0" w:color="auto"/>
          </w:divBdr>
        </w:div>
        <w:div w:id="699666836">
          <w:marLeft w:val="274"/>
          <w:marRight w:val="0"/>
          <w:marTop w:val="86"/>
          <w:marBottom w:val="0"/>
          <w:divBdr>
            <w:top w:val="none" w:sz="0" w:space="0" w:color="auto"/>
            <w:left w:val="none" w:sz="0" w:space="0" w:color="auto"/>
            <w:bottom w:val="none" w:sz="0" w:space="0" w:color="auto"/>
            <w:right w:val="none" w:sz="0" w:space="0" w:color="auto"/>
          </w:divBdr>
        </w:div>
      </w:divsChild>
    </w:div>
    <w:div w:id="1882356088">
      <w:bodyDiv w:val="1"/>
      <w:marLeft w:val="0"/>
      <w:marRight w:val="0"/>
      <w:marTop w:val="0"/>
      <w:marBottom w:val="0"/>
      <w:divBdr>
        <w:top w:val="none" w:sz="0" w:space="0" w:color="auto"/>
        <w:left w:val="none" w:sz="0" w:space="0" w:color="auto"/>
        <w:bottom w:val="none" w:sz="0" w:space="0" w:color="auto"/>
        <w:right w:val="none" w:sz="0" w:space="0" w:color="auto"/>
      </w:divBdr>
    </w:div>
    <w:div w:id="1899198202">
      <w:bodyDiv w:val="1"/>
      <w:marLeft w:val="0"/>
      <w:marRight w:val="0"/>
      <w:marTop w:val="0"/>
      <w:marBottom w:val="0"/>
      <w:divBdr>
        <w:top w:val="none" w:sz="0" w:space="0" w:color="auto"/>
        <w:left w:val="none" w:sz="0" w:space="0" w:color="auto"/>
        <w:bottom w:val="none" w:sz="0" w:space="0" w:color="auto"/>
        <w:right w:val="none" w:sz="0" w:space="0" w:color="auto"/>
      </w:divBdr>
    </w:div>
    <w:div w:id="1970548102">
      <w:bodyDiv w:val="1"/>
      <w:marLeft w:val="0"/>
      <w:marRight w:val="0"/>
      <w:marTop w:val="0"/>
      <w:marBottom w:val="0"/>
      <w:divBdr>
        <w:top w:val="none" w:sz="0" w:space="0" w:color="auto"/>
        <w:left w:val="none" w:sz="0" w:space="0" w:color="auto"/>
        <w:bottom w:val="none" w:sz="0" w:space="0" w:color="auto"/>
        <w:right w:val="none" w:sz="0" w:space="0" w:color="auto"/>
      </w:divBdr>
      <w:divsChild>
        <w:div w:id="115023213">
          <w:marLeft w:val="0"/>
          <w:marRight w:val="0"/>
          <w:marTop w:val="0"/>
          <w:marBottom w:val="0"/>
          <w:divBdr>
            <w:top w:val="none" w:sz="0" w:space="0" w:color="auto"/>
            <w:left w:val="none" w:sz="0" w:space="0" w:color="auto"/>
            <w:bottom w:val="none" w:sz="0" w:space="0" w:color="auto"/>
            <w:right w:val="none" w:sz="0" w:space="0" w:color="auto"/>
          </w:divBdr>
          <w:divsChild>
            <w:div w:id="1020745360">
              <w:marLeft w:val="0"/>
              <w:marRight w:val="0"/>
              <w:marTop w:val="0"/>
              <w:marBottom w:val="0"/>
              <w:divBdr>
                <w:top w:val="none" w:sz="0" w:space="0" w:color="auto"/>
                <w:left w:val="none" w:sz="0" w:space="0" w:color="auto"/>
                <w:bottom w:val="none" w:sz="0" w:space="0" w:color="auto"/>
                <w:right w:val="none" w:sz="0" w:space="0" w:color="auto"/>
              </w:divBdr>
              <w:divsChild>
                <w:div w:id="2142378297">
                  <w:marLeft w:val="0"/>
                  <w:marRight w:val="0"/>
                  <w:marTop w:val="0"/>
                  <w:marBottom w:val="0"/>
                  <w:divBdr>
                    <w:top w:val="none" w:sz="0" w:space="0" w:color="auto"/>
                    <w:left w:val="none" w:sz="0" w:space="0" w:color="auto"/>
                    <w:bottom w:val="none" w:sz="0" w:space="0" w:color="auto"/>
                    <w:right w:val="none" w:sz="0" w:space="0" w:color="auto"/>
                  </w:divBdr>
                  <w:divsChild>
                    <w:div w:id="720978588">
                      <w:marLeft w:val="0"/>
                      <w:marRight w:val="0"/>
                      <w:marTop w:val="0"/>
                      <w:marBottom w:val="0"/>
                      <w:divBdr>
                        <w:top w:val="none" w:sz="0" w:space="0" w:color="auto"/>
                        <w:left w:val="none" w:sz="0" w:space="0" w:color="auto"/>
                        <w:bottom w:val="none" w:sz="0" w:space="0" w:color="auto"/>
                        <w:right w:val="none" w:sz="0" w:space="0" w:color="auto"/>
                      </w:divBdr>
                      <w:divsChild>
                        <w:div w:id="1031027771">
                          <w:marLeft w:val="-225"/>
                          <w:marRight w:val="-225"/>
                          <w:marTop w:val="0"/>
                          <w:marBottom w:val="0"/>
                          <w:divBdr>
                            <w:top w:val="none" w:sz="0" w:space="0" w:color="auto"/>
                            <w:left w:val="none" w:sz="0" w:space="0" w:color="auto"/>
                            <w:bottom w:val="none" w:sz="0" w:space="0" w:color="auto"/>
                            <w:right w:val="none" w:sz="0" w:space="0" w:color="auto"/>
                          </w:divBdr>
                          <w:divsChild>
                            <w:div w:id="1234000597">
                              <w:marLeft w:val="0"/>
                              <w:marRight w:val="0"/>
                              <w:marTop w:val="0"/>
                              <w:marBottom w:val="0"/>
                              <w:divBdr>
                                <w:top w:val="none" w:sz="0" w:space="0" w:color="auto"/>
                                <w:left w:val="none" w:sz="0" w:space="0" w:color="auto"/>
                                <w:bottom w:val="none" w:sz="0" w:space="0" w:color="auto"/>
                                <w:right w:val="none" w:sz="0" w:space="0" w:color="auto"/>
                              </w:divBdr>
                              <w:divsChild>
                                <w:div w:id="1580094201">
                                  <w:marLeft w:val="0"/>
                                  <w:marRight w:val="0"/>
                                  <w:marTop w:val="0"/>
                                  <w:marBottom w:val="0"/>
                                  <w:divBdr>
                                    <w:top w:val="none" w:sz="0" w:space="0" w:color="auto"/>
                                    <w:left w:val="none" w:sz="0" w:space="0" w:color="auto"/>
                                    <w:bottom w:val="none" w:sz="0" w:space="0" w:color="auto"/>
                                    <w:right w:val="none" w:sz="0" w:space="0" w:color="auto"/>
                                  </w:divBdr>
                                  <w:divsChild>
                                    <w:div w:id="1033657376">
                                      <w:marLeft w:val="0"/>
                                      <w:marRight w:val="0"/>
                                      <w:marTop w:val="0"/>
                                      <w:marBottom w:val="0"/>
                                      <w:divBdr>
                                        <w:top w:val="none" w:sz="0" w:space="0" w:color="auto"/>
                                        <w:left w:val="none" w:sz="0" w:space="0" w:color="auto"/>
                                        <w:bottom w:val="none" w:sz="0" w:space="0" w:color="auto"/>
                                        <w:right w:val="none" w:sz="0" w:space="0" w:color="auto"/>
                                      </w:divBdr>
                                      <w:divsChild>
                                        <w:div w:id="439421177">
                                          <w:marLeft w:val="-225"/>
                                          <w:marRight w:val="-225"/>
                                          <w:marTop w:val="0"/>
                                          <w:marBottom w:val="0"/>
                                          <w:divBdr>
                                            <w:top w:val="none" w:sz="0" w:space="0" w:color="auto"/>
                                            <w:left w:val="none" w:sz="0" w:space="0" w:color="auto"/>
                                            <w:bottom w:val="none" w:sz="0" w:space="0" w:color="auto"/>
                                            <w:right w:val="none" w:sz="0" w:space="0" w:color="auto"/>
                                          </w:divBdr>
                                          <w:divsChild>
                                            <w:div w:id="894506650">
                                              <w:marLeft w:val="0"/>
                                              <w:marRight w:val="0"/>
                                              <w:marTop w:val="0"/>
                                              <w:marBottom w:val="0"/>
                                              <w:divBdr>
                                                <w:top w:val="none" w:sz="0" w:space="0" w:color="auto"/>
                                                <w:left w:val="none" w:sz="0" w:space="0" w:color="auto"/>
                                                <w:bottom w:val="none" w:sz="0" w:space="0" w:color="auto"/>
                                                <w:right w:val="none" w:sz="0" w:space="0" w:color="auto"/>
                                              </w:divBdr>
                                              <w:divsChild>
                                                <w:div w:id="654139730">
                                                  <w:marLeft w:val="0"/>
                                                  <w:marRight w:val="0"/>
                                                  <w:marTop w:val="0"/>
                                                  <w:marBottom w:val="0"/>
                                                  <w:divBdr>
                                                    <w:top w:val="none" w:sz="0" w:space="0" w:color="auto"/>
                                                    <w:left w:val="none" w:sz="0" w:space="0" w:color="auto"/>
                                                    <w:bottom w:val="none" w:sz="0" w:space="0" w:color="auto"/>
                                                    <w:right w:val="none" w:sz="0" w:space="0" w:color="auto"/>
                                                  </w:divBdr>
                                                  <w:divsChild>
                                                    <w:div w:id="1939214151">
                                                      <w:marLeft w:val="0"/>
                                                      <w:marRight w:val="0"/>
                                                      <w:marTop w:val="0"/>
                                                      <w:marBottom w:val="0"/>
                                                      <w:divBdr>
                                                        <w:top w:val="none" w:sz="0" w:space="0" w:color="auto"/>
                                                        <w:left w:val="none" w:sz="0" w:space="0" w:color="auto"/>
                                                        <w:bottom w:val="none" w:sz="0" w:space="0" w:color="auto"/>
                                                        <w:right w:val="none" w:sz="0" w:space="0" w:color="auto"/>
                                                      </w:divBdr>
                                                      <w:divsChild>
                                                        <w:div w:id="868252900">
                                                          <w:marLeft w:val="0"/>
                                                          <w:marRight w:val="0"/>
                                                          <w:marTop w:val="0"/>
                                                          <w:marBottom w:val="0"/>
                                                          <w:divBdr>
                                                            <w:top w:val="none" w:sz="0" w:space="0" w:color="auto"/>
                                                            <w:left w:val="none" w:sz="0" w:space="0" w:color="auto"/>
                                                            <w:bottom w:val="none" w:sz="0" w:space="0" w:color="auto"/>
                                                            <w:right w:val="none" w:sz="0" w:space="0" w:color="auto"/>
                                                          </w:divBdr>
                                                          <w:divsChild>
                                                            <w:div w:id="10000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056590">
      <w:bodyDiv w:val="1"/>
      <w:marLeft w:val="0"/>
      <w:marRight w:val="0"/>
      <w:marTop w:val="0"/>
      <w:marBottom w:val="0"/>
      <w:divBdr>
        <w:top w:val="none" w:sz="0" w:space="0" w:color="auto"/>
        <w:left w:val="none" w:sz="0" w:space="0" w:color="auto"/>
        <w:bottom w:val="none" w:sz="0" w:space="0" w:color="auto"/>
        <w:right w:val="none" w:sz="0" w:space="0" w:color="auto"/>
      </w:divBdr>
      <w:divsChild>
        <w:div w:id="955017587">
          <w:marLeft w:val="0"/>
          <w:marRight w:val="0"/>
          <w:marTop w:val="0"/>
          <w:marBottom w:val="0"/>
          <w:divBdr>
            <w:top w:val="none" w:sz="0" w:space="0" w:color="auto"/>
            <w:left w:val="none" w:sz="0" w:space="0" w:color="auto"/>
            <w:bottom w:val="none" w:sz="0" w:space="0" w:color="auto"/>
            <w:right w:val="none" w:sz="0" w:space="0" w:color="auto"/>
          </w:divBdr>
          <w:divsChild>
            <w:div w:id="111022690">
              <w:marLeft w:val="0"/>
              <w:marRight w:val="0"/>
              <w:marTop w:val="0"/>
              <w:marBottom w:val="0"/>
              <w:divBdr>
                <w:top w:val="none" w:sz="0" w:space="0" w:color="auto"/>
                <w:left w:val="none" w:sz="0" w:space="0" w:color="auto"/>
                <w:bottom w:val="none" w:sz="0" w:space="0" w:color="auto"/>
                <w:right w:val="none" w:sz="0" w:space="0" w:color="auto"/>
              </w:divBdr>
              <w:divsChild>
                <w:div w:id="1022170027">
                  <w:marLeft w:val="0"/>
                  <w:marRight w:val="0"/>
                  <w:marTop w:val="0"/>
                  <w:marBottom w:val="0"/>
                  <w:divBdr>
                    <w:top w:val="none" w:sz="0" w:space="0" w:color="auto"/>
                    <w:left w:val="none" w:sz="0" w:space="0" w:color="auto"/>
                    <w:bottom w:val="none" w:sz="0" w:space="0" w:color="auto"/>
                    <w:right w:val="none" w:sz="0" w:space="0" w:color="auto"/>
                  </w:divBdr>
                  <w:divsChild>
                    <w:div w:id="987826445">
                      <w:marLeft w:val="0"/>
                      <w:marRight w:val="0"/>
                      <w:marTop w:val="0"/>
                      <w:marBottom w:val="0"/>
                      <w:divBdr>
                        <w:top w:val="none" w:sz="0" w:space="0" w:color="auto"/>
                        <w:left w:val="none" w:sz="0" w:space="0" w:color="auto"/>
                        <w:bottom w:val="none" w:sz="0" w:space="0" w:color="auto"/>
                        <w:right w:val="none" w:sz="0" w:space="0" w:color="auto"/>
                      </w:divBdr>
                      <w:divsChild>
                        <w:div w:id="825242823">
                          <w:marLeft w:val="0"/>
                          <w:marRight w:val="0"/>
                          <w:marTop w:val="0"/>
                          <w:marBottom w:val="0"/>
                          <w:divBdr>
                            <w:top w:val="none" w:sz="0" w:space="0" w:color="auto"/>
                            <w:left w:val="none" w:sz="0" w:space="0" w:color="auto"/>
                            <w:bottom w:val="none" w:sz="0" w:space="0" w:color="auto"/>
                            <w:right w:val="none" w:sz="0" w:space="0" w:color="auto"/>
                          </w:divBdr>
                          <w:divsChild>
                            <w:div w:id="1090932583">
                              <w:marLeft w:val="0"/>
                              <w:marRight w:val="0"/>
                              <w:marTop w:val="0"/>
                              <w:marBottom w:val="0"/>
                              <w:divBdr>
                                <w:top w:val="none" w:sz="0" w:space="0" w:color="auto"/>
                                <w:left w:val="none" w:sz="0" w:space="0" w:color="auto"/>
                                <w:bottom w:val="none" w:sz="0" w:space="0" w:color="auto"/>
                                <w:right w:val="none" w:sz="0" w:space="0" w:color="auto"/>
                              </w:divBdr>
                              <w:divsChild>
                                <w:div w:id="225381952">
                                  <w:marLeft w:val="0"/>
                                  <w:marRight w:val="0"/>
                                  <w:marTop w:val="0"/>
                                  <w:marBottom w:val="0"/>
                                  <w:divBdr>
                                    <w:top w:val="none" w:sz="0" w:space="0" w:color="auto"/>
                                    <w:left w:val="none" w:sz="0" w:space="0" w:color="auto"/>
                                    <w:bottom w:val="dotted" w:sz="6" w:space="0" w:color="EBEBEB"/>
                                    <w:right w:val="none" w:sz="0" w:space="0" w:color="auto"/>
                                  </w:divBdr>
                                  <w:divsChild>
                                    <w:div w:id="1808938585">
                                      <w:marLeft w:val="0"/>
                                      <w:marRight w:val="0"/>
                                      <w:marTop w:val="0"/>
                                      <w:marBottom w:val="0"/>
                                      <w:divBdr>
                                        <w:top w:val="none" w:sz="0" w:space="0" w:color="auto"/>
                                        <w:left w:val="none" w:sz="0" w:space="0" w:color="auto"/>
                                        <w:bottom w:val="none" w:sz="0" w:space="0" w:color="auto"/>
                                        <w:right w:val="none" w:sz="0" w:space="0" w:color="auto"/>
                                      </w:divBdr>
                                      <w:divsChild>
                                        <w:div w:id="191653961">
                                          <w:marLeft w:val="0"/>
                                          <w:marRight w:val="0"/>
                                          <w:marTop w:val="0"/>
                                          <w:marBottom w:val="0"/>
                                          <w:divBdr>
                                            <w:top w:val="none" w:sz="0" w:space="0" w:color="auto"/>
                                            <w:left w:val="none" w:sz="0" w:space="0" w:color="auto"/>
                                            <w:bottom w:val="none" w:sz="0" w:space="0" w:color="auto"/>
                                            <w:right w:val="none" w:sz="0" w:space="0" w:color="auto"/>
                                          </w:divBdr>
                                          <w:divsChild>
                                            <w:div w:id="264000635">
                                              <w:marLeft w:val="0"/>
                                              <w:marRight w:val="0"/>
                                              <w:marTop w:val="0"/>
                                              <w:marBottom w:val="0"/>
                                              <w:divBdr>
                                                <w:top w:val="none" w:sz="0" w:space="0" w:color="auto"/>
                                                <w:left w:val="none" w:sz="0" w:space="0" w:color="auto"/>
                                                <w:bottom w:val="none" w:sz="0" w:space="0" w:color="auto"/>
                                                <w:right w:val="none" w:sz="0" w:space="0" w:color="auto"/>
                                              </w:divBdr>
                                              <w:divsChild>
                                                <w:div w:id="3722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493083">
      <w:bodyDiv w:val="1"/>
      <w:marLeft w:val="0"/>
      <w:marRight w:val="0"/>
      <w:marTop w:val="0"/>
      <w:marBottom w:val="0"/>
      <w:divBdr>
        <w:top w:val="none" w:sz="0" w:space="0" w:color="auto"/>
        <w:left w:val="none" w:sz="0" w:space="0" w:color="auto"/>
        <w:bottom w:val="none" w:sz="0" w:space="0" w:color="auto"/>
        <w:right w:val="none" w:sz="0" w:space="0" w:color="auto"/>
      </w:divBdr>
    </w:div>
    <w:div w:id="2030637300">
      <w:bodyDiv w:val="1"/>
      <w:marLeft w:val="0"/>
      <w:marRight w:val="0"/>
      <w:marTop w:val="0"/>
      <w:marBottom w:val="0"/>
      <w:divBdr>
        <w:top w:val="none" w:sz="0" w:space="0" w:color="auto"/>
        <w:left w:val="none" w:sz="0" w:space="0" w:color="auto"/>
        <w:bottom w:val="none" w:sz="0" w:space="0" w:color="auto"/>
        <w:right w:val="none" w:sz="0" w:space="0" w:color="auto"/>
      </w:divBdr>
      <w:divsChild>
        <w:div w:id="927496700">
          <w:marLeft w:val="547"/>
          <w:marRight w:val="0"/>
          <w:marTop w:val="86"/>
          <w:marBottom w:val="0"/>
          <w:divBdr>
            <w:top w:val="none" w:sz="0" w:space="0" w:color="auto"/>
            <w:left w:val="none" w:sz="0" w:space="0" w:color="auto"/>
            <w:bottom w:val="none" w:sz="0" w:space="0" w:color="auto"/>
            <w:right w:val="none" w:sz="0" w:space="0" w:color="auto"/>
          </w:divBdr>
        </w:div>
        <w:div w:id="1854882093">
          <w:marLeft w:val="547"/>
          <w:marRight w:val="0"/>
          <w:marTop w:val="86"/>
          <w:marBottom w:val="0"/>
          <w:divBdr>
            <w:top w:val="none" w:sz="0" w:space="0" w:color="auto"/>
            <w:left w:val="none" w:sz="0" w:space="0" w:color="auto"/>
            <w:bottom w:val="none" w:sz="0" w:space="0" w:color="auto"/>
            <w:right w:val="none" w:sz="0" w:space="0" w:color="auto"/>
          </w:divBdr>
        </w:div>
      </w:divsChild>
    </w:div>
    <w:div w:id="2095393897">
      <w:bodyDiv w:val="1"/>
      <w:marLeft w:val="0"/>
      <w:marRight w:val="0"/>
      <w:marTop w:val="0"/>
      <w:marBottom w:val="0"/>
      <w:divBdr>
        <w:top w:val="none" w:sz="0" w:space="0" w:color="auto"/>
        <w:left w:val="none" w:sz="0" w:space="0" w:color="auto"/>
        <w:bottom w:val="none" w:sz="0" w:space="0" w:color="auto"/>
        <w:right w:val="none" w:sz="0" w:space="0" w:color="auto"/>
      </w:divBdr>
    </w:div>
    <w:div w:id="2107260905">
      <w:bodyDiv w:val="1"/>
      <w:marLeft w:val="0"/>
      <w:marRight w:val="0"/>
      <w:marTop w:val="0"/>
      <w:marBottom w:val="0"/>
      <w:divBdr>
        <w:top w:val="none" w:sz="0" w:space="0" w:color="auto"/>
        <w:left w:val="none" w:sz="0" w:space="0" w:color="auto"/>
        <w:bottom w:val="none" w:sz="0" w:space="0" w:color="auto"/>
        <w:right w:val="none" w:sz="0" w:space="0" w:color="auto"/>
      </w:divBdr>
      <w:divsChild>
        <w:div w:id="1849951050">
          <w:marLeft w:val="547"/>
          <w:marRight w:val="0"/>
          <w:marTop w:val="0"/>
          <w:marBottom w:val="60"/>
          <w:divBdr>
            <w:top w:val="none" w:sz="0" w:space="0" w:color="auto"/>
            <w:left w:val="none" w:sz="0" w:space="0" w:color="auto"/>
            <w:bottom w:val="none" w:sz="0" w:space="0" w:color="auto"/>
            <w:right w:val="none" w:sz="0" w:space="0" w:color="auto"/>
          </w:divBdr>
        </w:div>
        <w:div w:id="1758208383">
          <w:marLeft w:val="547"/>
          <w:marRight w:val="0"/>
          <w:marTop w:val="0"/>
          <w:marBottom w:val="60"/>
          <w:divBdr>
            <w:top w:val="none" w:sz="0" w:space="0" w:color="auto"/>
            <w:left w:val="none" w:sz="0" w:space="0" w:color="auto"/>
            <w:bottom w:val="none" w:sz="0" w:space="0" w:color="auto"/>
            <w:right w:val="none" w:sz="0" w:space="0" w:color="auto"/>
          </w:divBdr>
        </w:div>
        <w:div w:id="1237786261">
          <w:marLeft w:val="547"/>
          <w:marRight w:val="0"/>
          <w:marTop w:val="0"/>
          <w:marBottom w:val="60"/>
          <w:divBdr>
            <w:top w:val="none" w:sz="0" w:space="0" w:color="auto"/>
            <w:left w:val="none" w:sz="0" w:space="0" w:color="auto"/>
            <w:bottom w:val="none" w:sz="0" w:space="0" w:color="auto"/>
            <w:right w:val="none" w:sz="0" w:space="0" w:color="auto"/>
          </w:divBdr>
        </w:div>
        <w:div w:id="331377275">
          <w:marLeft w:val="547"/>
          <w:marRight w:val="0"/>
          <w:marTop w:val="0"/>
          <w:marBottom w:val="60"/>
          <w:divBdr>
            <w:top w:val="none" w:sz="0" w:space="0" w:color="auto"/>
            <w:left w:val="none" w:sz="0" w:space="0" w:color="auto"/>
            <w:bottom w:val="none" w:sz="0" w:space="0" w:color="auto"/>
            <w:right w:val="none" w:sz="0" w:space="0" w:color="auto"/>
          </w:divBdr>
        </w:div>
        <w:div w:id="2110661012">
          <w:marLeft w:val="547"/>
          <w:marRight w:val="0"/>
          <w:marTop w:val="0"/>
          <w:marBottom w:val="60"/>
          <w:divBdr>
            <w:top w:val="none" w:sz="0" w:space="0" w:color="auto"/>
            <w:left w:val="none" w:sz="0" w:space="0" w:color="auto"/>
            <w:bottom w:val="none" w:sz="0" w:space="0" w:color="auto"/>
            <w:right w:val="none" w:sz="0" w:space="0" w:color="auto"/>
          </w:divBdr>
        </w:div>
        <w:div w:id="710308476">
          <w:marLeft w:val="547"/>
          <w:marRight w:val="0"/>
          <w:marTop w:val="0"/>
          <w:marBottom w:val="60"/>
          <w:divBdr>
            <w:top w:val="none" w:sz="0" w:space="0" w:color="auto"/>
            <w:left w:val="none" w:sz="0" w:space="0" w:color="auto"/>
            <w:bottom w:val="none" w:sz="0" w:space="0" w:color="auto"/>
            <w:right w:val="none" w:sz="0" w:space="0" w:color="auto"/>
          </w:divBdr>
        </w:div>
        <w:div w:id="420176608">
          <w:marLeft w:val="547"/>
          <w:marRight w:val="0"/>
          <w:marTop w:val="0"/>
          <w:marBottom w:val="60"/>
          <w:divBdr>
            <w:top w:val="none" w:sz="0" w:space="0" w:color="auto"/>
            <w:left w:val="none" w:sz="0" w:space="0" w:color="auto"/>
            <w:bottom w:val="none" w:sz="0" w:space="0" w:color="auto"/>
            <w:right w:val="none" w:sz="0" w:space="0" w:color="auto"/>
          </w:divBdr>
        </w:div>
        <w:div w:id="1149248118">
          <w:marLeft w:val="547"/>
          <w:marRight w:val="0"/>
          <w:marTop w:val="0"/>
          <w:marBottom w:val="60"/>
          <w:divBdr>
            <w:top w:val="none" w:sz="0" w:space="0" w:color="auto"/>
            <w:left w:val="none" w:sz="0" w:space="0" w:color="auto"/>
            <w:bottom w:val="none" w:sz="0" w:space="0" w:color="auto"/>
            <w:right w:val="none" w:sz="0" w:space="0" w:color="auto"/>
          </w:divBdr>
        </w:div>
        <w:div w:id="1298728156">
          <w:marLeft w:val="547"/>
          <w:marRight w:val="0"/>
          <w:marTop w:val="0"/>
          <w:marBottom w:val="60"/>
          <w:divBdr>
            <w:top w:val="none" w:sz="0" w:space="0" w:color="auto"/>
            <w:left w:val="none" w:sz="0" w:space="0" w:color="auto"/>
            <w:bottom w:val="none" w:sz="0" w:space="0" w:color="auto"/>
            <w:right w:val="none" w:sz="0" w:space="0" w:color="auto"/>
          </w:divBdr>
        </w:div>
      </w:divsChild>
    </w:div>
    <w:div w:id="2108383224">
      <w:bodyDiv w:val="1"/>
      <w:marLeft w:val="0"/>
      <w:marRight w:val="0"/>
      <w:marTop w:val="0"/>
      <w:marBottom w:val="0"/>
      <w:divBdr>
        <w:top w:val="none" w:sz="0" w:space="0" w:color="auto"/>
        <w:left w:val="none" w:sz="0" w:space="0" w:color="auto"/>
        <w:bottom w:val="none" w:sz="0" w:space="0" w:color="auto"/>
        <w:right w:val="none" w:sz="0" w:space="0" w:color="auto"/>
      </w:divBdr>
      <w:divsChild>
        <w:div w:id="1640915707">
          <w:marLeft w:val="274"/>
          <w:marRight w:val="0"/>
          <w:marTop w:val="86"/>
          <w:marBottom w:val="0"/>
          <w:divBdr>
            <w:top w:val="none" w:sz="0" w:space="0" w:color="auto"/>
            <w:left w:val="none" w:sz="0" w:space="0" w:color="auto"/>
            <w:bottom w:val="none" w:sz="0" w:space="0" w:color="auto"/>
            <w:right w:val="none" w:sz="0" w:space="0" w:color="auto"/>
          </w:divBdr>
        </w:div>
        <w:div w:id="755057140">
          <w:marLeft w:val="274"/>
          <w:marRight w:val="0"/>
          <w:marTop w:val="86"/>
          <w:marBottom w:val="0"/>
          <w:divBdr>
            <w:top w:val="none" w:sz="0" w:space="0" w:color="auto"/>
            <w:left w:val="none" w:sz="0" w:space="0" w:color="auto"/>
            <w:bottom w:val="none" w:sz="0" w:space="0" w:color="auto"/>
            <w:right w:val="none" w:sz="0" w:space="0" w:color="auto"/>
          </w:divBdr>
        </w:div>
        <w:div w:id="847406817">
          <w:marLeft w:val="274"/>
          <w:marRight w:val="0"/>
          <w:marTop w:val="86"/>
          <w:marBottom w:val="0"/>
          <w:divBdr>
            <w:top w:val="none" w:sz="0" w:space="0" w:color="auto"/>
            <w:left w:val="none" w:sz="0" w:space="0" w:color="auto"/>
            <w:bottom w:val="none" w:sz="0" w:space="0" w:color="auto"/>
            <w:right w:val="none" w:sz="0" w:space="0" w:color="auto"/>
          </w:divBdr>
        </w:div>
        <w:div w:id="2024503912">
          <w:marLeft w:val="274"/>
          <w:marRight w:val="0"/>
          <w:marTop w:val="86"/>
          <w:marBottom w:val="0"/>
          <w:divBdr>
            <w:top w:val="none" w:sz="0" w:space="0" w:color="auto"/>
            <w:left w:val="none" w:sz="0" w:space="0" w:color="auto"/>
            <w:bottom w:val="none" w:sz="0" w:space="0" w:color="auto"/>
            <w:right w:val="none" w:sz="0" w:space="0" w:color="auto"/>
          </w:divBdr>
        </w:div>
        <w:div w:id="1175534233">
          <w:marLeft w:val="274"/>
          <w:marRight w:val="0"/>
          <w:marTop w:val="86"/>
          <w:marBottom w:val="0"/>
          <w:divBdr>
            <w:top w:val="none" w:sz="0" w:space="0" w:color="auto"/>
            <w:left w:val="none" w:sz="0" w:space="0" w:color="auto"/>
            <w:bottom w:val="none" w:sz="0" w:space="0" w:color="auto"/>
            <w:right w:val="none" w:sz="0" w:space="0" w:color="auto"/>
          </w:divBdr>
        </w:div>
        <w:div w:id="2087725668">
          <w:marLeft w:val="274"/>
          <w:marRight w:val="0"/>
          <w:marTop w:val="86"/>
          <w:marBottom w:val="0"/>
          <w:divBdr>
            <w:top w:val="none" w:sz="0" w:space="0" w:color="auto"/>
            <w:left w:val="none" w:sz="0" w:space="0" w:color="auto"/>
            <w:bottom w:val="none" w:sz="0" w:space="0" w:color="auto"/>
            <w:right w:val="none" w:sz="0" w:space="0" w:color="auto"/>
          </w:divBdr>
        </w:div>
        <w:div w:id="1942103483">
          <w:marLeft w:val="274"/>
          <w:marRight w:val="0"/>
          <w:marTop w:val="86"/>
          <w:marBottom w:val="0"/>
          <w:divBdr>
            <w:top w:val="none" w:sz="0" w:space="0" w:color="auto"/>
            <w:left w:val="none" w:sz="0" w:space="0" w:color="auto"/>
            <w:bottom w:val="none" w:sz="0" w:space="0" w:color="auto"/>
            <w:right w:val="none" w:sz="0" w:space="0" w:color="auto"/>
          </w:divBdr>
        </w:div>
        <w:div w:id="1102802863">
          <w:marLeft w:val="274"/>
          <w:marRight w:val="0"/>
          <w:marTop w:val="86"/>
          <w:marBottom w:val="0"/>
          <w:divBdr>
            <w:top w:val="none" w:sz="0" w:space="0" w:color="auto"/>
            <w:left w:val="none" w:sz="0" w:space="0" w:color="auto"/>
            <w:bottom w:val="none" w:sz="0" w:space="0" w:color="auto"/>
            <w:right w:val="none" w:sz="0" w:space="0" w:color="auto"/>
          </w:divBdr>
        </w:div>
        <w:div w:id="322859236">
          <w:marLeft w:val="274"/>
          <w:marRight w:val="0"/>
          <w:marTop w:val="86"/>
          <w:marBottom w:val="0"/>
          <w:divBdr>
            <w:top w:val="none" w:sz="0" w:space="0" w:color="auto"/>
            <w:left w:val="none" w:sz="0" w:space="0" w:color="auto"/>
            <w:bottom w:val="none" w:sz="0" w:space="0" w:color="auto"/>
            <w:right w:val="none" w:sz="0" w:space="0" w:color="auto"/>
          </w:divBdr>
        </w:div>
      </w:divsChild>
    </w:div>
    <w:div w:id="2131506436">
      <w:bodyDiv w:val="1"/>
      <w:marLeft w:val="0"/>
      <w:marRight w:val="0"/>
      <w:marTop w:val="0"/>
      <w:marBottom w:val="0"/>
      <w:divBdr>
        <w:top w:val="none" w:sz="0" w:space="0" w:color="auto"/>
        <w:left w:val="none" w:sz="0" w:space="0" w:color="auto"/>
        <w:bottom w:val="none" w:sz="0" w:space="0" w:color="auto"/>
        <w:right w:val="none" w:sz="0" w:space="0" w:color="auto"/>
      </w:divBdr>
    </w:div>
    <w:div w:id="2131584365">
      <w:bodyDiv w:val="1"/>
      <w:marLeft w:val="0"/>
      <w:marRight w:val="0"/>
      <w:marTop w:val="0"/>
      <w:marBottom w:val="0"/>
      <w:divBdr>
        <w:top w:val="none" w:sz="0" w:space="0" w:color="auto"/>
        <w:left w:val="none" w:sz="0" w:space="0" w:color="auto"/>
        <w:bottom w:val="none" w:sz="0" w:space="0" w:color="auto"/>
        <w:right w:val="none" w:sz="0" w:space="0" w:color="auto"/>
      </w:divBdr>
      <w:divsChild>
        <w:div w:id="1635870437">
          <w:marLeft w:val="547"/>
          <w:marRight w:val="0"/>
          <w:marTop w:val="0"/>
          <w:marBottom w:val="0"/>
          <w:divBdr>
            <w:top w:val="none" w:sz="0" w:space="0" w:color="auto"/>
            <w:left w:val="none" w:sz="0" w:space="0" w:color="auto"/>
            <w:bottom w:val="none" w:sz="0" w:space="0" w:color="auto"/>
            <w:right w:val="none" w:sz="0" w:space="0" w:color="auto"/>
          </w:divBdr>
        </w:div>
        <w:div w:id="583758436">
          <w:marLeft w:val="547"/>
          <w:marRight w:val="0"/>
          <w:marTop w:val="0"/>
          <w:marBottom w:val="0"/>
          <w:divBdr>
            <w:top w:val="none" w:sz="0" w:space="0" w:color="auto"/>
            <w:left w:val="none" w:sz="0" w:space="0" w:color="auto"/>
            <w:bottom w:val="none" w:sz="0" w:space="0" w:color="auto"/>
            <w:right w:val="none" w:sz="0" w:space="0" w:color="auto"/>
          </w:divBdr>
        </w:div>
        <w:div w:id="1989169876">
          <w:marLeft w:val="547"/>
          <w:marRight w:val="0"/>
          <w:marTop w:val="0"/>
          <w:marBottom w:val="0"/>
          <w:divBdr>
            <w:top w:val="none" w:sz="0" w:space="0" w:color="auto"/>
            <w:left w:val="none" w:sz="0" w:space="0" w:color="auto"/>
            <w:bottom w:val="none" w:sz="0" w:space="0" w:color="auto"/>
            <w:right w:val="none" w:sz="0" w:space="0" w:color="auto"/>
          </w:divBdr>
        </w:div>
        <w:div w:id="2030789584">
          <w:marLeft w:val="547"/>
          <w:marRight w:val="0"/>
          <w:marTop w:val="0"/>
          <w:marBottom w:val="0"/>
          <w:divBdr>
            <w:top w:val="none" w:sz="0" w:space="0" w:color="auto"/>
            <w:left w:val="none" w:sz="0" w:space="0" w:color="auto"/>
            <w:bottom w:val="none" w:sz="0" w:space="0" w:color="auto"/>
            <w:right w:val="none" w:sz="0" w:space="0" w:color="auto"/>
          </w:divBdr>
        </w:div>
        <w:div w:id="1362827101">
          <w:marLeft w:val="547"/>
          <w:marRight w:val="0"/>
          <w:marTop w:val="0"/>
          <w:marBottom w:val="0"/>
          <w:divBdr>
            <w:top w:val="none" w:sz="0" w:space="0" w:color="auto"/>
            <w:left w:val="none" w:sz="0" w:space="0" w:color="auto"/>
            <w:bottom w:val="none" w:sz="0" w:space="0" w:color="auto"/>
            <w:right w:val="none" w:sz="0" w:space="0" w:color="auto"/>
          </w:divBdr>
        </w:div>
        <w:div w:id="13434329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2.jpeg"/><Relationship Id="rId26" Type="http://schemas.openxmlformats.org/officeDocument/2006/relationships/image" Target="media/image4.png"/><Relationship Id="rId39" Type="http://schemas.openxmlformats.org/officeDocument/2006/relationships/hyperlink" Target="https://grattan.edu.au/report/competition-in-the-australian-economy/" TargetMode="External"/><Relationship Id="rId21" Type="http://schemas.openxmlformats.org/officeDocument/2006/relationships/hyperlink" Target="https://www.ic.gc.ca/eic/site/093.nsf/eng/00017.html" TargetMode="External"/><Relationship Id="rId34" Type="http://schemas.openxmlformats.org/officeDocument/2006/relationships/hyperlink" Target="https://www.dta.gov.au/help-and-advice/digital-service-standard/digital-service-standard-criteria" TargetMode="External"/><Relationship Id="rId42" Type="http://schemas.openxmlformats.org/officeDocument/2006/relationships/hyperlink" Target="https://www.industry.gov.au/data-and-publications/government-response-to-innovation-and-science-australias-australia-2030-prosperity-through-innovation-report" TargetMode="External"/><Relationship Id="rId47" Type="http://schemas.openxmlformats.org/officeDocument/2006/relationships/hyperlink" Target="https://www.pc.gov.au/research/completed/rising-inequality/rising-inequality.pdf" TargetMode="External"/><Relationship Id="rId50" Type="http://schemas.openxmlformats.org/officeDocument/2006/relationships/hyperlink" Target="https://www.aph.gov.au/DocumentStore.ashx?id=1e42cfd1-8fdd-4981-8bcc-44584e256d5c&amp;subId=662092" TargetMode="External"/><Relationship Id="rId55" Type="http://schemas.openxmlformats.org/officeDocument/2006/relationships/hyperlink" Target="https://www.ic.gc.ca/eic/site/098.nsf/eng/home" TargetMode="External"/><Relationship Id="rId63" Type="http://schemas.openxmlformats.org/officeDocument/2006/relationships/hyperlink" Target="https://obamawhitehouse.archives.gov/sites/whitehouse.gov/files/documents/Artificial-Intelligence-Automation-Economy.PDF" TargetMode="External"/><Relationship Id="rId68" Type="http://schemas.openxmlformats.org/officeDocument/2006/relationships/hyperlink" Target="https://www.oecd.org/els/soc/cope-divide-europe-2017-background-report.pdf" TargetMode="External"/><Relationship Id="rId76" Type="http://schemas.openxmlformats.org/officeDocument/2006/relationships/hyperlink" Target="https://www.oecd-ilibrary.org/deliver?redirecturl=http%3A%2F%2Fwww.keepeek.com%2FDigital-Asset-Management%2Foecd%2Feconomics%2Ffor-good-measure_9789264307278-en&amp;isPreview=true&amp;itemId=%2Fcontent%2Fpublication%2F9789264307278-en" TargetMode="External"/><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787/9789264292932-en" TargetMode="Externa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www.alphabeta.com/our-research/digital-innovation/" TargetMode="Externa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hyperlink" Target="https://www.bca.com.au/future_proof_australia_s_future_post_secondary_education_and_skills_system" TargetMode="External"/><Relationship Id="rId37" Type="http://schemas.openxmlformats.org/officeDocument/2006/relationships/hyperlink" Target="https://www.fya.org.au/our-research/" TargetMode="External"/><Relationship Id="rId40" Type="http://schemas.openxmlformats.org/officeDocument/2006/relationships/hyperlink" Target="https://grattan.edu.au/report/whos-in-the-room/" TargetMode="External"/><Relationship Id="rId45" Type="http://schemas.openxmlformats.org/officeDocument/2006/relationships/hyperlink" Target="https://www.pc.gov.au/inquiries/completed/data-access/report/data-access.pdf" TargetMode="External"/><Relationship Id="rId53" Type="http://schemas.openxmlformats.org/officeDocument/2006/relationships/hyperlink" Target="https://www.canada.ca/en/employment-social-development/campaigns/poverty-reduction.html" TargetMode="External"/><Relationship Id="rId58" Type="http://schemas.openxmlformats.org/officeDocument/2006/relationships/hyperlink" Target="https://doi.org/10.1787/9789264277946-en" TargetMode="External"/><Relationship Id="rId66" Type="http://schemas.openxmlformats.org/officeDocument/2006/relationships/hyperlink" Target="https://www.imf.org/external/pubs/ft/fandd/2018/06/economics-of-promoting-inclusive-growth/ostry.htm" TargetMode="External"/><Relationship Id="rId74" Type="http://schemas.openxmlformats.org/officeDocument/2006/relationships/hyperlink" Target="http://www.pewglobal.org/2018/09/13/in-advanced-and-emerging-economies-alike-worries-about-job-automation/" TargetMode="External"/><Relationship Id="rId79" Type="http://schemas.openxmlformats.org/officeDocument/2006/relationships/chart" Target="charts/chart8.xm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brookings.edu/wp-content/uploads/2017/09/metro_20170927_opportunity-for-growth-iedl-report-parilla-final.pdf" TargetMode="External"/><Relationship Id="rId82" Type="http://schemas.openxmlformats.org/officeDocument/2006/relationships/chart" Target="charts/chart11.xml"/><Relationship Id="rId19" Type="http://schemas.openxmlformats.org/officeDocument/2006/relationships/hyperlink" Target="https://www.ic.gc.ca/eic/site/093.nsf/eng/00017.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3.wmf"/><Relationship Id="rId27" Type="http://schemas.openxmlformats.org/officeDocument/2006/relationships/image" Target="media/image40.png"/><Relationship Id="rId30" Type="http://schemas.openxmlformats.org/officeDocument/2006/relationships/hyperlink" Target="https://ogpau.pmc.gov.au/" TargetMode="External"/><Relationship Id="rId35" Type="http://schemas.openxmlformats.org/officeDocument/2006/relationships/hyperlink" Target="https://www.edelman.com/post/australia-trust-in-tumult" TargetMode="External"/><Relationship Id="rId43" Type="http://schemas.openxmlformats.org/officeDocument/2006/relationships/hyperlink" Target="https://www.moadoph.gov.au/blog/who-do-you-trust-to-run-the-country/" TargetMode="External"/><Relationship Id="rId48" Type="http://schemas.openxmlformats.org/officeDocument/2006/relationships/hyperlink" Target="https://consult.industry.gov.au/portfolio-policy-and-innovation-strategy/the-digital-economy/" TargetMode="External"/><Relationship Id="rId56" Type="http://schemas.openxmlformats.org/officeDocument/2006/relationships/hyperlink" Target="https://www.canada.ca/en/privy-council/campaigns/mandate-tracker-results-canadians.html" TargetMode="External"/><Relationship Id="rId64" Type="http://schemas.openxmlformats.org/officeDocument/2006/relationships/hyperlink" Target="https://www.g20-insights.org/policy_briefs/resilience-inclusive-growth/" TargetMode="External"/><Relationship Id="rId69" Type="http://schemas.openxmlformats.org/officeDocument/2006/relationships/hyperlink" Target="https://www.oecd.org/mcm/documents/C-MIN-2018-5-EN.pdf" TargetMode="External"/><Relationship Id="rId77" Type="http://schemas.openxmlformats.org/officeDocument/2006/relationships/hyperlink" Target="https://www.weforum.org/reports/the-inclusive-growth-and-development-report-2017" TargetMode="External"/><Relationship Id="rId8" Type="http://schemas.openxmlformats.org/officeDocument/2006/relationships/webSettings" Target="webSettings.xml"/><Relationship Id="rId51" Type="http://schemas.openxmlformats.org/officeDocument/2006/relationships/hyperlink" Target="https://www.edelman.ca/trust" TargetMode="External"/><Relationship Id="rId72" Type="http://schemas.openxmlformats.org/officeDocument/2006/relationships/hyperlink" Target="http://www.oecd.org/gov/trust-and-public-policy-9789264268920-en.htm" TargetMode="External"/><Relationship Id="rId80" Type="http://schemas.openxmlformats.org/officeDocument/2006/relationships/chart" Target="charts/chart9.xm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http://resourceclips.com/wp-content/feature_images/Canada%20Australia%20flags%20030214.jpg" TargetMode="External"/><Relationship Id="rId17" Type="http://schemas.openxmlformats.org/officeDocument/2006/relationships/chart" Target="charts/chart5.xml"/><Relationship Id="rId25" Type="http://schemas.openxmlformats.org/officeDocument/2006/relationships/chart" Target="charts/chart7.xml"/><Relationship Id="rId33" Type="http://schemas.openxmlformats.org/officeDocument/2006/relationships/hyperlink" Target="https://www.bca.com.au/future_proof_submissions" TargetMode="External"/><Relationship Id="rId38" Type="http://schemas.openxmlformats.org/officeDocument/2006/relationships/hyperlink" Target="https://grattan.edu.au/report/a-crisis-of-trust/" TargetMode="External"/><Relationship Id="rId46" Type="http://schemas.openxmlformats.org/officeDocument/2006/relationships/hyperlink" Target="https://ministers.pmc.gov.au/keenan/2018/government-response-productivity-commission-inquiry-data-availability-and-use" TargetMode="External"/><Relationship Id="rId59" Type="http://schemas.openxmlformats.org/officeDocument/2006/relationships/hyperlink" Target="https://www.brookings.edu/wp-content/uploads/2017/09/4_alganetal.pdf" TargetMode="External"/><Relationship Id="rId67" Type="http://schemas.openxmlformats.org/officeDocument/2006/relationships/hyperlink" Target="https://www.nesta.org.uk/report/how-inclusive-innovation-policy/" TargetMode="External"/><Relationship Id="rId20" Type="http://schemas.openxmlformats.org/officeDocument/2006/relationships/image" Target="media/image20.jpeg"/><Relationship Id="rId41" Type="http://schemas.openxmlformats.org/officeDocument/2006/relationships/hyperlink" Target="https://www.industry.gov.au/data-and-publications/australia-2030-prosperity-through-innovation" TargetMode="External"/><Relationship Id="rId54" Type="http://schemas.openxmlformats.org/officeDocument/2006/relationships/hyperlink" Target="https://www.budget.gc.ca/aceg-ccce/home-accueil-en.html" TargetMode="External"/><Relationship Id="rId62" Type="http://schemas.openxmlformats.org/officeDocument/2006/relationships/hyperlink" Target="https://www.edelman.com/trust-barometer" TargetMode="External"/><Relationship Id="rId70" Type="http://schemas.openxmlformats.org/officeDocument/2006/relationships/hyperlink" Target="https://www.oecd.org/els/emp/wcms_556984.pdf" TargetMode="External"/><Relationship Id="rId75" Type="http://schemas.openxmlformats.org/officeDocument/2006/relationships/hyperlink" Target="http://www.oecd.org/forum/recipe-for-trust.htm" TargetMode="External"/><Relationship Id="rId83" Type="http://schemas.openxmlformats.org/officeDocument/2006/relationships/image" Target="media/image5.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30.wmf"/><Relationship Id="rId28" Type="http://schemas.openxmlformats.org/officeDocument/2006/relationships/hyperlink" Target="https://www.alphabeta.com/our-research/adapt-to-survive-mapping-task-change-and-job-loss-in-the-australian-workforce/" TargetMode="External"/><Relationship Id="rId36" Type="http://schemas.openxmlformats.org/officeDocument/2006/relationships/hyperlink" Target="https://www.governanceinstitute.edu.au/magma/media/upload/publication/408_Democracy100-report-IGPA.pdf" TargetMode="External"/><Relationship Id="rId49" Type="http://schemas.openxmlformats.org/officeDocument/2006/relationships/hyperlink" Target="https://archive.industry.gov.au/smallbusiness/Documents/Small-Business-Digital-Taskforce-Report-to-Government.pdf" TargetMode="External"/><Relationship Id="rId57" Type="http://schemas.openxmlformats.org/officeDocument/2006/relationships/hyperlink" Target="https://mowatcentre.ca/wp-content/uploads/publications/164_race_to_the_top.pdf" TargetMode="External"/><Relationship Id="rId10" Type="http://schemas.openxmlformats.org/officeDocument/2006/relationships/endnotes" Target="endnotes.xml"/><Relationship Id="rId31" Type="http://schemas.openxmlformats.org/officeDocument/2006/relationships/hyperlink" Target="https://d3n8a8pro7vhmx.cloudfront.net/bca/pages/178/attachments/original/1530596649/BCA_2017_OCT_EDUCATION_Future_Proof_Download_120dpi.pdf?1530596649" TargetMode="External"/><Relationship Id="rId44" Type="http://schemas.openxmlformats.org/officeDocument/2006/relationships/hyperlink" Target="https://www.pc.gov.au/research/completed/digital-disruption" TargetMode="External"/><Relationship Id="rId52" Type="http://schemas.openxmlformats.org/officeDocument/2006/relationships/hyperlink" Target="http://www.ekospolitics.com/index.php/2017/03/rethinking-citizen-engagement-2017/" TargetMode="External"/><Relationship Id="rId60" Type="http://schemas.openxmlformats.org/officeDocument/2006/relationships/hyperlink" Target="https://www.brookings.edu/wp-content/uploads/2017/09/metro_20170927_committing-to-inclusive-growth-iedl-report.pdf" TargetMode="External"/><Relationship Id="rId65" Type="http://schemas.openxmlformats.org/officeDocument/2006/relationships/hyperlink" Target="https://www.imf.org/external/np/g20/pdf/2017/062617.pdf" TargetMode="External"/><Relationship Id="rId73" Type="http://schemas.openxmlformats.org/officeDocument/2006/relationships/hyperlink" Target="https://pathwayscommission.bsg.ox.ac.uk/sites/default/files/2018-10/blaj6475-inclusive-growth-report-executive-summary-181003.pdf" TargetMode="External"/><Relationship Id="rId78" Type="http://schemas.openxmlformats.org/officeDocument/2006/relationships/hyperlink" Target="https://www.wto.org/english/news_e/news18_e/igo_30sep18_e.pdf" TargetMode="External"/><Relationship Id="rId81" Type="http://schemas.openxmlformats.org/officeDocument/2006/relationships/chart" Target="charts/chart10.xml"/><Relationship Id="rId86"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s://www.oecd-ilibrary.org/deliver?redirecturl=http%3A%2F%2Fwww.keepeek.com%2FDigital-Asset-Management%2Foecd%2Feconomics%2Ffor-good-measure_9789264307278-en&amp;isPreview=true&amp;itemId=%2Fcontent%2Fpublication%2F9789264307278-en" TargetMode="External"/><Relationship Id="rId13" Type="http://schemas.openxmlformats.org/officeDocument/2006/relationships/hyperlink" Target="http://www.ekospolitics.com/index.php/2017/03/rethinking-citizen-engagement-2017/" TargetMode="External"/><Relationship Id="rId18" Type="http://schemas.openxmlformats.org/officeDocument/2006/relationships/hyperlink" Target="https://www.oaic.gov.au/engage-with-us/community-attitudes/australian-community-attitudes-to-privacy-survey-2017" TargetMode="External"/><Relationship Id="rId26" Type="http://schemas.openxmlformats.org/officeDocument/2006/relationships/hyperlink" Target="https://www.themandarin.com.au/100211-dr-martin-parkinson-brexit-multilateralism-and-how-the-media-impacts-policy-work/" TargetMode="External"/><Relationship Id="rId3" Type="http://schemas.openxmlformats.org/officeDocument/2006/relationships/hyperlink" Target="https://www.alphabeta.com/our-research/adapt-to-survive-mapping-task-change-and-job-loss-in-the-australian-workforce/" TargetMode="External"/><Relationship Id="rId21" Type="http://schemas.openxmlformats.org/officeDocument/2006/relationships/hyperlink" Target="https://www.oecd.org/els/emp/wcms_556984.pdf" TargetMode="External"/><Relationship Id="rId7" Type="http://schemas.openxmlformats.org/officeDocument/2006/relationships/hyperlink" Target="https://read.oecd-ilibrary.org/economics/for-good-measure/income-inequality-and-generalised-trust-across-countries-and-us-states_9789264307278-graph34-en" TargetMode="External"/><Relationship Id="rId12" Type="http://schemas.openxmlformats.org/officeDocument/2006/relationships/hyperlink" Target="https://grattan.edu.au/report/a-crisis-of-trust/" TargetMode="External"/><Relationship Id="rId17" Type="http://schemas.openxmlformats.org/officeDocument/2006/relationships/hyperlink" Target="https://www.pc.gov.au/inquiries/completed/data-access/report/data-access.pdf" TargetMode="External"/><Relationship Id="rId25" Type="http://schemas.openxmlformats.org/officeDocument/2006/relationships/hyperlink" Target="https://grattan.edu.au/report/whos-in-the-room/" TargetMode="External"/><Relationship Id="rId2" Type="http://schemas.openxmlformats.org/officeDocument/2006/relationships/hyperlink" Target="https://www.pc.gov.au/research/completed/rising-protectionism" TargetMode="External"/><Relationship Id="rId16" Type="http://schemas.openxmlformats.org/officeDocument/2006/relationships/hyperlink" Target="https://archive.industry.gov.au/smallbusiness/Documents/Small-Business-Digital-Taskforce-Report-to-Government.pdf" TargetMode="External"/><Relationship Id="rId20" Type="http://schemas.openxmlformats.org/officeDocument/2006/relationships/hyperlink" Target="https://doi.org/10.1787/9789264292932-en" TargetMode="External"/><Relationship Id="rId29" Type="http://schemas.openxmlformats.org/officeDocument/2006/relationships/hyperlink" Target="https://www.healthcareit.com.au/article/australia-leads-world-personal-control-electronic-health-records" TargetMode="External"/><Relationship Id="rId1" Type="http://schemas.openxmlformats.org/officeDocument/2006/relationships/hyperlink" Target="https://www.pc.gov.au/research/completed/rising-inequality/rising-inequality.pdf" TargetMode="External"/><Relationship Id="rId6" Type="http://schemas.openxmlformats.org/officeDocument/2006/relationships/hyperlink" Target="https://www.oecd.org/els/soc/cope-divide-europe-2017-background-report.pdf" TargetMode="External"/><Relationship Id="rId11" Type="http://schemas.openxmlformats.org/officeDocument/2006/relationships/hyperlink" Target="https://www.moadoph.gov.au/blog/who-do-you-trust-to-run-the-country/" TargetMode="External"/><Relationship Id="rId24" Type="http://schemas.openxmlformats.org/officeDocument/2006/relationships/hyperlink" Target="http://www.governanceinstitute.edu.au/magma/media/upload/ckeditor/files/The%20Power%20of%20One%20Voice-V%209-print%20version(1).pdf" TargetMode="External"/><Relationship Id="rId5" Type="http://schemas.openxmlformats.org/officeDocument/2006/relationships/hyperlink" Target="https://www.brookings.edu/wp-content/uploads/2017/09/4_alganetal.pdf" TargetMode="External"/><Relationship Id="rId15" Type="http://schemas.openxmlformats.org/officeDocument/2006/relationships/hyperlink" Target="https://grattan.edu.au/report/competition-in-the-australian-economy/" TargetMode="External"/><Relationship Id="rId23" Type="http://schemas.openxmlformats.org/officeDocument/2006/relationships/hyperlink" Target="https://www.governanceinstitute.edu.au/magma/media/upload/publication/408_Democracy100-report-IGPA.pdf" TargetMode="External"/><Relationship Id="rId28" Type="http://schemas.openxmlformats.org/officeDocument/2006/relationships/hyperlink" Target="https://www.abc.net.au/news/2018-12-07/experts-still-not-convinced-about-my-health/10594352" TargetMode="External"/><Relationship Id="rId10" Type="http://schemas.openxmlformats.org/officeDocument/2006/relationships/hyperlink" Target="https://www.edelman.com/trust-barometer" TargetMode="External"/><Relationship Id="rId19" Type="http://schemas.openxmlformats.org/officeDocument/2006/relationships/hyperlink" Target="https://financialservices.royalcommission.gov.au/Pages/interim-report.aspx" TargetMode="External"/><Relationship Id="rId31" Type="http://schemas.openxmlformats.org/officeDocument/2006/relationships/hyperlink" Target="https://www.themandarin.com.au/101249-digital-identity-minister-hits-back-at-naysayers-and-privacy-alarmists/" TargetMode="External"/><Relationship Id="rId4" Type="http://schemas.openxmlformats.org/officeDocument/2006/relationships/hyperlink" Target="http://www.pewglobal.org/2018/09/13/in-advanced-and-emerging-economies-alike-worries-about-job-automation/" TargetMode="External"/><Relationship Id="rId9" Type="http://schemas.openxmlformats.org/officeDocument/2006/relationships/hyperlink" Target="http://www.oecd.org/forum/recipe-for-trust.htm" TargetMode="External"/><Relationship Id="rId14" Type="http://schemas.openxmlformats.org/officeDocument/2006/relationships/hyperlink" Target="https://www.pc.gov.au/research/completed/digital-disruption" TargetMode="External"/><Relationship Id="rId22" Type="http://schemas.openxmlformats.org/officeDocument/2006/relationships/hyperlink" Target="http://www.oecd.org/gov/trust-and-public-policy-9789264268920-en.htm" TargetMode="External"/><Relationship Id="rId27" Type="http://schemas.openxmlformats.org/officeDocument/2006/relationships/hyperlink" Target="https://www.communications.gov.au/what-we-do/internet/national-broadband-network" TargetMode="External"/><Relationship Id="rId30" Type="http://schemas.openxmlformats.org/officeDocument/2006/relationships/hyperlink" Target="https://www.google.com.au/url?sa=t&amp;rct=j&amp;q=&amp;esrc=s&amp;source=newssearch&amp;cd=1&amp;cad=rja&amp;uact=8&amp;ved=0ahUKEwjv7LOSuZnfAhUbU30KHW6zBgsQqQIIJygAMAA&amp;url=https%3A%2F%2Fwww.theaustralian.com.au%2Fopinion%2Fbig-brother-given-new-access-to-australians-personal-data%2Fnews-story%2Feaf5cc073f446dd945f3700a2fefd0bf&amp;usg=AOvVaw0HJa8paBCuNINzBY2tvMF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protected.ind\User\user07\TSatherley\desktop\CAPPI\Australia%20vs%20Canada%20Income%20Growth%20-%20Requested%20by%20DI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P\50030311\00000%20NEW%20TEAM%20G%20DRIVE%20FOLDER\Bilateral%20Relationships\Bilateral%20Relationships\Aus%20-%20Canada\Canada%20Australia%20Public%20Policy%20Initiative%20(CAPPI)\Background%20info%20for%20CAPPI%20paper\Data%20for%20appendix%2013%20Dec.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EMP\50030311\00000%20NEW%20TEAM%20G%20DRIVE%20FOLDER\Bilateral%20Relationships\Bilateral%20Relationships\Aus%20-%20Canada\Canada%20Australia%20Public%20Policy%20Initiative%20(CAPPI)\Background%20info%20for%20CAPPI%20paper\Data%20for%20appendix%2013%20Dec.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fin-fs01\folders$\mcalver\Documents\CAPPI\2019%20Inclusive%20Growth%20Paper\Australia%20vs%20Canada%20Income%20Growth%20-%20Relative%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Young\AppData\Local\Microsoft\Windows\INetCache\IE\TC3R9BVG\DP_LIVE_03122018082340611.csv"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file:///\\EMP\50030311\00000%20NEW%20TEAM%20G%20DRIVE%20FOLDER\Bilateral%20Relationships\Bilateral%20Relationships\Aus%20-%20Canada\Canada%20Australia%20Public%20Policy%20Initiative%20(CAPPI)\Background%20info%20for%20CAPPI%20paper\Data%20for%20appendix%2013%20Dec.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EMP\50030311\00000%20NEW%20TEAM%20G%20DRIVE%20FOLDER\Bilateral%20Relationships\Bilateral%20Relationships\Aus%20-%20Canada\Canada%20Australia%20Public%20Policy%20Initiative%20(CAPPI)\Background%20info%20for%20CAPPI%20paper\Data%20for%20appendix%2013%20De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'CAGR comparison'!$G$2</c:f>
              <c:strCache>
                <c:ptCount val="1"/>
                <c:pt idx="0">
                  <c:v>Australia</c:v>
                </c:pt>
              </c:strCache>
            </c:strRef>
          </c:tx>
          <c:spPr>
            <a:solidFill>
              <a:schemeClr val="accent1">
                <a:lumMod val="75000"/>
              </a:schemeClr>
            </a:solidFill>
            <a:ln>
              <a:noFill/>
            </a:ln>
            <a:effectLst/>
          </c:spPr>
          <c:invertIfNegative val="0"/>
          <c:cat>
            <c:strRef>
              <c:f>'CAGR comparison'!$K$8:$K$17</c:f>
              <c:strCache>
                <c:ptCount val="10"/>
                <c:pt idx="0">
                  <c:v>Bottom</c:v>
                </c:pt>
                <c:pt idx="1">
                  <c:v>2nd</c:v>
                </c:pt>
                <c:pt idx="2">
                  <c:v>3rd</c:v>
                </c:pt>
                <c:pt idx="3">
                  <c:v>4th</c:v>
                </c:pt>
                <c:pt idx="4">
                  <c:v>5th</c:v>
                </c:pt>
                <c:pt idx="5">
                  <c:v>6th</c:v>
                </c:pt>
                <c:pt idx="6">
                  <c:v>7th</c:v>
                </c:pt>
                <c:pt idx="7">
                  <c:v>8th</c:v>
                </c:pt>
                <c:pt idx="8">
                  <c:v>9th</c:v>
                </c:pt>
                <c:pt idx="9">
                  <c:v>Top</c:v>
                </c:pt>
              </c:strCache>
            </c:strRef>
          </c:cat>
          <c:val>
            <c:numRef>
              <c:f>'CAGR comparison'!$I$8:$I$17</c:f>
              <c:numCache>
                <c:formatCode>0.0</c:formatCode>
                <c:ptCount val="10"/>
                <c:pt idx="0">
                  <c:v>2.5839083110837935</c:v>
                </c:pt>
                <c:pt idx="1">
                  <c:v>1.9861374155584421</c:v>
                </c:pt>
                <c:pt idx="2">
                  <c:v>2.1051703883418593</c:v>
                </c:pt>
                <c:pt idx="3">
                  <c:v>2.1462079160560421</c:v>
                </c:pt>
                <c:pt idx="4">
                  <c:v>2.0827655842683646</c:v>
                </c:pt>
                <c:pt idx="5">
                  <c:v>1.9695925053058838</c:v>
                </c:pt>
                <c:pt idx="6">
                  <c:v>1.9610829658829765</c:v>
                </c:pt>
                <c:pt idx="7">
                  <c:v>1.9642241714521225</c:v>
                </c:pt>
                <c:pt idx="8">
                  <c:v>2.0896648870882162</c:v>
                </c:pt>
                <c:pt idx="9">
                  <c:v>2.6971106854273952</c:v>
                </c:pt>
              </c:numCache>
            </c:numRef>
          </c:val>
          <c:extLst>
            <c:ext xmlns:c16="http://schemas.microsoft.com/office/drawing/2014/chart" uri="{C3380CC4-5D6E-409C-BE32-E72D297353CC}">
              <c16:uniqueId val="{00000000-B546-421F-8D56-41194C567097}"/>
            </c:ext>
          </c:extLst>
        </c:ser>
        <c:dLbls>
          <c:showLegendKey val="0"/>
          <c:showVal val="0"/>
          <c:showCatName val="0"/>
          <c:showSerName val="0"/>
          <c:showPercent val="0"/>
          <c:showBubbleSize val="0"/>
        </c:dLbls>
        <c:gapWidth val="219"/>
        <c:overlap val="-27"/>
        <c:axId val="285431144"/>
        <c:axId val="285432712"/>
      </c:barChart>
      <c:catAx>
        <c:axId val="285431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Decile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432712"/>
        <c:crosses val="autoZero"/>
        <c:auto val="1"/>
        <c:lblAlgn val="ctr"/>
        <c:lblOffset val="100"/>
        <c:noMultiLvlLbl val="0"/>
      </c:catAx>
      <c:valAx>
        <c:axId val="285432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431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LTU!$A$7</c:f>
              <c:strCache>
                <c:ptCount val="1"/>
                <c:pt idx="0">
                  <c:v>Australia</c:v>
                </c:pt>
              </c:strCache>
            </c:strRef>
          </c:tx>
          <c:spPr>
            <a:ln w="19050" cap="rnd">
              <a:solidFill>
                <a:schemeClr val="accent1"/>
              </a:solidFill>
              <a:round/>
            </a:ln>
            <a:effectLst/>
          </c:spPr>
          <c:marker>
            <c:symbol val="none"/>
          </c:marker>
          <c:cat>
            <c:strRef>
              <c:f>LTU!$B$6:$L$6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LTU!$B$7:$L$7</c:f>
              <c:numCache>
                <c:formatCode>#,##0.0_ ;\-#,##0.0\ </c:formatCode>
                <c:ptCount val="11"/>
                <c:pt idx="0">
                  <c:v>15.3683003396555</c:v>
                </c:pt>
                <c:pt idx="1">
                  <c:v>14.927940006401901</c:v>
                </c:pt>
                <c:pt idx="2">
                  <c:v>14.7275026949838</c:v>
                </c:pt>
                <c:pt idx="3">
                  <c:v>18.6079171657607</c:v>
                </c:pt>
                <c:pt idx="4">
                  <c:v>18.9278808869818</c:v>
                </c:pt>
                <c:pt idx="5">
                  <c:v>18.961143801808099</c:v>
                </c:pt>
                <c:pt idx="6">
                  <c:v>19.129286693489199</c:v>
                </c:pt>
                <c:pt idx="7">
                  <c:v>21.908634987464101</c:v>
                </c:pt>
                <c:pt idx="8">
                  <c:v>23.420607599447099</c:v>
                </c:pt>
                <c:pt idx="9">
                  <c:v>23.7231378706045</c:v>
                </c:pt>
                <c:pt idx="10">
                  <c:v>23.456448107325599</c:v>
                </c:pt>
              </c:numCache>
            </c:numRef>
          </c:val>
          <c:smooth val="0"/>
          <c:extLst>
            <c:ext xmlns:c16="http://schemas.microsoft.com/office/drawing/2014/chart" uri="{C3380CC4-5D6E-409C-BE32-E72D297353CC}">
              <c16:uniqueId val="{00000000-19CE-4D56-8A8B-8C5D571DC33C}"/>
            </c:ext>
          </c:extLst>
        </c:ser>
        <c:ser>
          <c:idx val="1"/>
          <c:order val="1"/>
          <c:tx>
            <c:strRef>
              <c:f>LTU!$A$8</c:f>
              <c:strCache>
                <c:ptCount val="1"/>
                <c:pt idx="0">
                  <c:v>Canada</c:v>
                </c:pt>
              </c:strCache>
            </c:strRef>
          </c:tx>
          <c:spPr>
            <a:ln w="19050" cap="rnd">
              <a:solidFill>
                <a:schemeClr val="accent6"/>
              </a:solidFill>
              <a:prstDash val="dash"/>
              <a:round/>
            </a:ln>
            <a:effectLst/>
          </c:spPr>
          <c:marker>
            <c:symbol val="none"/>
          </c:marker>
          <c:cat>
            <c:strRef>
              <c:f>LTU!$B$6:$L$6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LTU!$B$8:$L$8</c:f>
              <c:numCache>
                <c:formatCode>#,##0.0_ ;\-#,##0.0\ </c:formatCode>
                <c:ptCount val="11"/>
                <c:pt idx="0">
                  <c:v>7.0307099854775101</c:v>
                </c:pt>
                <c:pt idx="1">
                  <c:v>6.9962775742767702</c:v>
                </c:pt>
                <c:pt idx="2">
                  <c:v>7.8673245753171797</c:v>
                </c:pt>
                <c:pt idx="3">
                  <c:v>12.1165320418883</c:v>
                </c:pt>
                <c:pt idx="4">
                  <c:v>13.5495898956476</c:v>
                </c:pt>
                <c:pt idx="5">
                  <c:v>12.695506144591301</c:v>
                </c:pt>
                <c:pt idx="6">
                  <c:v>12.860688806706101</c:v>
                </c:pt>
                <c:pt idx="7">
                  <c:v>12.7956479630459</c:v>
                </c:pt>
                <c:pt idx="8">
                  <c:v>11.474253431562801</c:v>
                </c:pt>
                <c:pt idx="9">
                  <c:v>11.603860255514</c:v>
                </c:pt>
                <c:pt idx="10">
                  <c:v>12.0960991265947</c:v>
                </c:pt>
              </c:numCache>
            </c:numRef>
          </c:val>
          <c:smooth val="0"/>
          <c:extLst>
            <c:ext xmlns:c16="http://schemas.microsoft.com/office/drawing/2014/chart" uri="{C3380CC4-5D6E-409C-BE32-E72D297353CC}">
              <c16:uniqueId val="{00000001-19CE-4D56-8A8B-8C5D571DC33C}"/>
            </c:ext>
          </c:extLst>
        </c:ser>
        <c:dLbls>
          <c:showLegendKey val="0"/>
          <c:showVal val="0"/>
          <c:showCatName val="0"/>
          <c:showSerName val="0"/>
          <c:showPercent val="0"/>
          <c:showBubbleSize val="0"/>
        </c:dLbls>
        <c:smooth val="0"/>
        <c:axId val="347282272"/>
        <c:axId val="347276392"/>
      </c:lineChart>
      <c:catAx>
        <c:axId val="347282272"/>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76392"/>
        <c:crosses val="autoZero"/>
        <c:auto val="1"/>
        <c:lblAlgn val="ctr"/>
        <c:lblOffset val="100"/>
        <c:noMultiLvlLbl val="0"/>
      </c:catAx>
      <c:valAx>
        <c:axId val="347276392"/>
        <c:scaling>
          <c:orientation val="minMax"/>
        </c:scaling>
        <c:delete val="0"/>
        <c:axPos val="l"/>
        <c:numFmt formatCode="#,##0.0_ ;\-#,##0.0\ "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'Youth UE rate'!$A$6</c:f>
              <c:strCache>
                <c:ptCount val="1"/>
                <c:pt idx="0">
                  <c:v>Australia</c:v>
                </c:pt>
              </c:strCache>
            </c:strRef>
          </c:tx>
          <c:spPr>
            <a:ln w="19050" cap="rnd">
              <a:solidFill>
                <a:schemeClr val="accent1"/>
              </a:solidFill>
              <a:round/>
            </a:ln>
            <a:effectLst/>
          </c:spPr>
          <c:marker>
            <c:symbol val="none"/>
          </c:marker>
          <c:cat>
            <c:strRef>
              <c:f>'Youth UE rate'!$B$5:$AT$5</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'Youth UE rate'!$B$6:$AT$6</c:f>
              <c:numCache>
                <c:formatCode>#,##0.0_ ;\-#,##0.0\ </c:formatCode>
                <c:ptCount val="45"/>
                <c:pt idx="0">
                  <c:v>9.2912839999999992</c:v>
                </c:pt>
                <c:pt idx="1">
                  <c:v>9.7034269999999996</c:v>
                </c:pt>
                <c:pt idx="2">
                  <c:v>8.5523609999999994</c:v>
                </c:pt>
                <c:pt idx="3">
                  <c:v>9.0156109999999998</c:v>
                </c:pt>
                <c:pt idx="4">
                  <c:v>8.4194329999999997</c:v>
                </c:pt>
                <c:pt idx="5">
                  <c:v>9.2850059999999992</c:v>
                </c:pt>
                <c:pt idx="6">
                  <c:v>10.96983</c:v>
                </c:pt>
                <c:pt idx="7">
                  <c:v>12.01882</c:v>
                </c:pt>
                <c:pt idx="8">
                  <c:v>11.651210000000001</c:v>
                </c:pt>
                <c:pt idx="9">
                  <c:v>11.30974</c:v>
                </c:pt>
                <c:pt idx="10">
                  <c:v>11.48828</c:v>
                </c:pt>
                <c:pt idx="11">
                  <c:v>11.679360000000001</c:v>
                </c:pt>
                <c:pt idx="12">
                  <c:v>11.51418</c:v>
                </c:pt>
                <c:pt idx="13">
                  <c:v>11.53439</c:v>
                </c:pt>
                <c:pt idx="14">
                  <c:v>11.57001</c:v>
                </c:pt>
                <c:pt idx="15">
                  <c:v>11.22002</c:v>
                </c:pt>
                <c:pt idx="16">
                  <c:v>11.20777</c:v>
                </c:pt>
                <c:pt idx="17">
                  <c:v>11.43238</c:v>
                </c:pt>
                <c:pt idx="18">
                  <c:v>11.6463</c:v>
                </c:pt>
                <c:pt idx="19">
                  <c:v>11.54884</c:v>
                </c:pt>
                <c:pt idx="20">
                  <c:v>11.78796</c:v>
                </c:pt>
                <c:pt idx="21">
                  <c:v>11.93318</c:v>
                </c:pt>
                <c:pt idx="22">
                  <c:v>12.13143</c:v>
                </c:pt>
                <c:pt idx="23">
                  <c:v>11.733599999999999</c:v>
                </c:pt>
                <c:pt idx="24">
                  <c:v>12.455909999999999</c:v>
                </c:pt>
                <c:pt idx="25">
                  <c:v>12.5604</c:v>
                </c:pt>
                <c:pt idx="26">
                  <c:v>12.54177</c:v>
                </c:pt>
                <c:pt idx="27">
                  <c:v>13.24919</c:v>
                </c:pt>
                <c:pt idx="28">
                  <c:v>13.55198</c:v>
                </c:pt>
                <c:pt idx="29">
                  <c:v>13.873659999999999</c:v>
                </c:pt>
                <c:pt idx="30">
                  <c:v>13.67746</c:v>
                </c:pt>
                <c:pt idx="31">
                  <c:v>13.29566</c:v>
                </c:pt>
                <c:pt idx="32">
                  <c:v>13.140129999999999</c:v>
                </c:pt>
                <c:pt idx="33">
                  <c:v>12.275880000000001</c:v>
                </c:pt>
                <c:pt idx="34">
                  <c:v>12.061210000000001</c:v>
                </c:pt>
                <c:pt idx="35">
                  <c:v>12.576129999999999</c:v>
                </c:pt>
                <c:pt idx="36">
                  <c:v>12.89911</c:v>
                </c:pt>
                <c:pt idx="37">
                  <c:v>13.137409999999999</c:v>
                </c:pt>
                <c:pt idx="38">
                  <c:v>12.740320000000001</c:v>
                </c:pt>
                <c:pt idx="39">
                  <c:v>12.817270000000001</c:v>
                </c:pt>
                <c:pt idx="40">
                  <c:v>12.64434</c:v>
                </c:pt>
                <c:pt idx="41">
                  <c:v>12.224270000000001</c:v>
                </c:pt>
                <c:pt idx="42">
                  <c:v>12.57113</c:v>
                </c:pt>
                <c:pt idx="43">
                  <c:v>11.79237</c:v>
                </c:pt>
                <c:pt idx="44">
                  <c:v>11.406829999999999</c:v>
                </c:pt>
              </c:numCache>
            </c:numRef>
          </c:val>
          <c:smooth val="0"/>
          <c:extLst>
            <c:ext xmlns:c16="http://schemas.microsoft.com/office/drawing/2014/chart" uri="{C3380CC4-5D6E-409C-BE32-E72D297353CC}">
              <c16:uniqueId val="{00000000-8AE3-4276-92C0-E6D1095FDBC6}"/>
            </c:ext>
          </c:extLst>
        </c:ser>
        <c:ser>
          <c:idx val="1"/>
          <c:order val="1"/>
          <c:tx>
            <c:strRef>
              <c:f>'Youth UE rate'!$A$7</c:f>
              <c:strCache>
                <c:ptCount val="1"/>
                <c:pt idx="0">
                  <c:v>Canada</c:v>
                </c:pt>
              </c:strCache>
            </c:strRef>
          </c:tx>
          <c:spPr>
            <a:ln w="19050" cap="rnd">
              <a:solidFill>
                <a:schemeClr val="accent6"/>
              </a:solidFill>
              <a:prstDash val="dash"/>
              <a:round/>
            </a:ln>
            <a:effectLst/>
          </c:spPr>
          <c:marker>
            <c:symbol val="none"/>
          </c:marker>
          <c:cat>
            <c:strRef>
              <c:f>'Youth UE rate'!$B$5:$AT$5</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'Youth UE rate'!$B$7:$AT$7</c:f>
              <c:numCache>
                <c:formatCode>#,##0.0_ ;\-#,##0.0\ </c:formatCode>
                <c:ptCount val="45"/>
                <c:pt idx="0">
                  <c:v>11</c:v>
                </c:pt>
                <c:pt idx="1">
                  <c:v>11.2</c:v>
                </c:pt>
                <c:pt idx="2">
                  <c:v>11.23333</c:v>
                </c:pt>
                <c:pt idx="3">
                  <c:v>11.73333</c:v>
                </c:pt>
                <c:pt idx="4">
                  <c:v>11.2</c:v>
                </c:pt>
                <c:pt idx="5">
                  <c:v>12.56667</c:v>
                </c:pt>
                <c:pt idx="6">
                  <c:v>14.26667</c:v>
                </c:pt>
                <c:pt idx="7">
                  <c:v>15.133330000000001</c:v>
                </c:pt>
                <c:pt idx="8">
                  <c:v>16</c:v>
                </c:pt>
                <c:pt idx="9">
                  <c:v>15.7</c:v>
                </c:pt>
                <c:pt idx="10">
                  <c:v>15.4</c:v>
                </c:pt>
                <c:pt idx="11">
                  <c:v>14.9</c:v>
                </c:pt>
                <c:pt idx="12">
                  <c:v>14.66667</c:v>
                </c:pt>
                <c:pt idx="13">
                  <c:v>14.2</c:v>
                </c:pt>
                <c:pt idx="14">
                  <c:v>14.4</c:v>
                </c:pt>
                <c:pt idx="15">
                  <c:v>14.23333</c:v>
                </c:pt>
                <c:pt idx="16">
                  <c:v>14.16667</c:v>
                </c:pt>
                <c:pt idx="17">
                  <c:v>14.26667</c:v>
                </c:pt>
                <c:pt idx="18">
                  <c:v>14.5</c:v>
                </c:pt>
                <c:pt idx="19">
                  <c:v>14.5</c:v>
                </c:pt>
                <c:pt idx="20">
                  <c:v>14.633330000000001</c:v>
                </c:pt>
                <c:pt idx="21">
                  <c:v>14.3</c:v>
                </c:pt>
                <c:pt idx="22">
                  <c:v>13.93333</c:v>
                </c:pt>
                <c:pt idx="23">
                  <c:v>14.06667</c:v>
                </c:pt>
                <c:pt idx="24">
                  <c:v>13.633330000000001</c:v>
                </c:pt>
                <c:pt idx="25">
                  <c:v>13.76667</c:v>
                </c:pt>
                <c:pt idx="26">
                  <c:v>13.7</c:v>
                </c:pt>
                <c:pt idx="27">
                  <c:v>13.4</c:v>
                </c:pt>
                <c:pt idx="28">
                  <c:v>13.73333</c:v>
                </c:pt>
                <c:pt idx="29">
                  <c:v>13.2</c:v>
                </c:pt>
                <c:pt idx="30">
                  <c:v>13</c:v>
                </c:pt>
                <c:pt idx="31">
                  <c:v>13.26667</c:v>
                </c:pt>
                <c:pt idx="32">
                  <c:v>13.3</c:v>
                </c:pt>
                <c:pt idx="33">
                  <c:v>13.033329999999999</c:v>
                </c:pt>
                <c:pt idx="34">
                  <c:v>13.16667</c:v>
                </c:pt>
                <c:pt idx="35">
                  <c:v>13.16667</c:v>
                </c:pt>
                <c:pt idx="36">
                  <c:v>13.3</c:v>
                </c:pt>
                <c:pt idx="37">
                  <c:v>12.866669999999999</c:v>
                </c:pt>
                <c:pt idx="38">
                  <c:v>12.66667</c:v>
                </c:pt>
                <c:pt idx="39">
                  <c:v>11.8</c:v>
                </c:pt>
                <c:pt idx="40">
                  <c:v>10.93333</c:v>
                </c:pt>
                <c:pt idx="41">
                  <c:v>10.866669999999999</c:v>
                </c:pt>
                <c:pt idx="42">
                  <c:v>10.966670000000001</c:v>
                </c:pt>
                <c:pt idx="43">
                  <c:v>11.3</c:v>
                </c:pt>
                <c:pt idx="44">
                  <c:v>11</c:v>
                </c:pt>
              </c:numCache>
            </c:numRef>
          </c:val>
          <c:smooth val="0"/>
          <c:extLst>
            <c:ext xmlns:c16="http://schemas.microsoft.com/office/drawing/2014/chart" uri="{C3380CC4-5D6E-409C-BE32-E72D297353CC}">
              <c16:uniqueId val="{00000001-8AE3-4276-92C0-E6D1095FDBC6}"/>
            </c:ext>
          </c:extLst>
        </c:ser>
        <c:dLbls>
          <c:showLegendKey val="0"/>
          <c:showVal val="0"/>
          <c:showCatName val="0"/>
          <c:showSerName val="0"/>
          <c:showPercent val="0"/>
          <c:showBubbleSize val="0"/>
        </c:dLbls>
        <c:smooth val="0"/>
        <c:axId val="347280704"/>
        <c:axId val="347277960"/>
      </c:lineChart>
      <c:catAx>
        <c:axId val="347280704"/>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77960"/>
        <c:crosses val="autoZero"/>
        <c:auto val="1"/>
        <c:lblAlgn val="ctr"/>
        <c:lblOffset val="100"/>
        <c:noMultiLvlLbl val="0"/>
      </c:catAx>
      <c:valAx>
        <c:axId val="347277960"/>
        <c:scaling>
          <c:orientation val="minMax"/>
        </c:scaling>
        <c:delete val="0"/>
        <c:axPos val="l"/>
        <c:numFmt formatCode="#,##0.0_ ;\-#,##0.0\ "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8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Canada</c:v>
          </c:tx>
          <c:spPr>
            <a:solidFill>
              <a:srgbClr val="C00000"/>
            </a:solidFill>
            <a:ln>
              <a:noFill/>
            </a:ln>
            <a:effectLst/>
          </c:spPr>
          <c:invertIfNegative val="0"/>
          <c:cat>
            <c:strRef>
              <c:f>'Chart for Canada'!$B$6:$B$15</c:f>
              <c:strCache>
                <c:ptCount val="10"/>
                <c:pt idx="0">
                  <c:v>Bottom</c:v>
                </c:pt>
                <c:pt idx="1">
                  <c:v>2nd</c:v>
                </c:pt>
                <c:pt idx="2">
                  <c:v>3rd</c:v>
                </c:pt>
                <c:pt idx="3">
                  <c:v>4th</c:v>
                </c:pt>
                <c:pt idx="4">
                  <c:v>5th</c:v>
                </c:pt>
                <c:pt idx="5">
                  <c:v> 6th</c:v>
                </c:pt>
                <c:pt idx="6">
                  <c:v>7th</c:v>
                </c:pt>
                <c:pt idx="7">
                  <c:v>8th</c:v>
                </c:pt>
                <c:pt idx="8">
                  <c:v>9th</c:v>
                </c:pt>
                <c:pt idx="9">
                  <c:v>Top</c:v>
                </c:pt>
              </c:strCache>
            </c:strRef>
          </c:cat>
          <c:val>
            <c:numRef>
              <c:f>'Chart for Canada'!$C$6:$C$15</c:f>
              <c:numCache>
                <c:formatCode>0.0</c:formatCode>
                <c:ptCount val="10"/>
                <c:pt idx="0">
                  <c:v>1.4987927612048813</c:v>
                </c:pt>
                <c:pt idx="1">
                  <c:v>1.5997016499612382</c:v>
                </c:pt>
                <c:pt idx="2">
                  <c:v>1.6301449845578464</c:v>
                </c:pt>
                <c:pt idx="3">
                  <c:v>1.6490684977862102</c:v>
                </c:pt>
                <c:pt idx="4">
                  <c:v>1.6534080304515753</c:v>
                </c:pt>
                <c:pt idx="5">
                  <c:v>1.6630900348306277</c:v>
                </c:pt>
                <c:pt idx="6">
                  <c:v>1.6524978087466557</c:v>
                </c:pt>
                <c:pt idx="7">
                  <c:v>1.6391885147931884</c:v>
                </c:pt>
                <c:pt idx="8">
                  <c:v>1.6378401817807253</c:v>
                </c:pt>
                <c:pt idx="9">
                  <c:v>1.7950196334479473</c:v>
                </c:pt>
              </c:numCache>
            </c:numRef>
          </c:val>
          <c:extLst>
            <c:ext xmlns:c16="http://schemas.microsoft.com/office/drawing/2014/chart" uri="{C3380CC4-5D6E-409C-BE32-E72D297353CC}">
              <c16:uniqueId val="{00000000-D2FF-4875-BD99-BA9EB7C2F541}"/>
            </c:ext>
          </c:extLst>
        </c:ser>
        <c:dLbls>
          <c:showLegendKey val="0"/>
          <c:showVal val="0"/>
          <c:showCatName val="0"/>
          <c:showSerName val="0"/>
          <c:showPercent val="0"/>
          <c:showBubbleSize val="0"/>
        </c:dLbls>
        <c:gapWidth val="219"/>
        <c:overlap val="-27"/>
        <c:axId val="288036384"/>
        <c:axId val="288032464"/>
      </c:barChart>
      <c:catAx>
        <c:axId val="288036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Decile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2464"/>
        <c:crosses val="autoZero"/>
        <c:auto val="1"/>
        <c:lblAlgn val="ctr"/>
        <c:lblOffset val="100"/>
        <c:noMultiLvlLbl val="0"/>
      </c:catAx>
      <c:valAx>
        <c:axId val="2880324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 cent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6384"/>
        <c:crosses val="autoZero"/>
        <c:crossBetween val="between"/>
        <c:majorUnit val="0.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Sheet1!$AJ$4</c:f>
              <c:strCache>
                <c:ptCount val="1"/>
                <c:pt idx="0">
                  <c:v>2000-2016</c:v>
                </c:pt>
              </c:strCache>
            </c:strRef>
          </c:tx>
          <c:spPr>
            <a:solidFill>
              <a:schemeClr val="accent3"/>
            </a:solidFill>
            <a:ln>
              <a:noFill/>
            </a:ln>
            <a:effectLst/>
          </c:spPr>
          <c:invertIfNegative val="0"/>
          <c:dPt>
            <c:idx val="5"/>
            <c:invertIfNegative val="0"/>
            <c:bubble3D val="0"/>
            <c:spPr>
              <a:solidFill>
                <a:schemeClr val="tx2"/>
              </a:solidFill>
              <a:ln>
                <a:noFill/>
              </a:ln>
              <a:effectLst/>
            </c:spPr>
            <c:extLst>
              <c:ext xmlns:c16="http://schemas.microsoft.com/office/drawing/2014/chart" uri="{C3380CC4-5D6E-409C-BE32-E72D297353CC}">
                <c16:uniqueId val="{00000003-726A-4CF3-BC08-E138E4478FCF}"/>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1-726A-4CF3-BC08-E138E4478FCF}"/>
              </c:ext>
            </c:extLst>
          </c:dPt>
          <c:cat>
            <c:strRef>
              <c:f>Sheet1!$AH$6:$AH$18</c:f>
              <c:strCache>
                <c:ptCount val="13"/>
                <c:pt idx="0">
                  <c:v>USA</c:v>
                </c:pt>
                <c:pt idx="1">
                  <c:v>DEU</c:v>
                </c:pt>
                <c:pt idx="2">
                  <c:v>JPN</c:v>
                </c:pt>
                <c:pt idx="3">
                  <c:v>FIN</c:v>
                </c:pt>
                <c:pt idx="4">
                  <c:v>GBR</c:v>
                </c:pt>
                <c:pt idx="5">
                  <c:v>AUS</c:v>
                </c:pt>
                <c:pt idx="6">
                  <c:v>NZL</c:v>
                </c:pt>
                <c:pt idx="7">
                  <c:v>CAN</c:v>
                </c:pt>
                <c:pt idx="8">
                  <c:v>NLD</c:v>
                </c:pt>
                <c:pt idx="9">
                  <c:v>FRA</c:v>
                </c:pt>
                <c:pt idx="10">
                  <c:v>DNK</c:v>
                </c:pt>
                <c:pt idx="11">
                  <c:v>BEL</c:v>
                </c:pt>
                <c:pt idx="12">
                  <c:v>ITA</c:v>
                </c:pt>
              </c:strCache>
            </c:strRef>
          </c:cat>
          <c:val>
            <c:numRef>
              <c:f>Sheet1!$AJ$6:$AJ$18</c:f>
              <c:numCache>
                <c:formatCode>0.0%</c:formatCode>
                <c:ptCount val="13"/>
                <c:pt idx="0">
                  <c:v>8.319731370900918E-3</c:v>
                </c:pt>
                <c:pt idx="1">
                  <c:v>6.7262689981955059E-3</c:v>
                </c:pt>
                <c:pt idx="2">
                  <c:v>5.9756965208834778E-3</c:v>
                </c:pt>
                <c:pt idx="3">
                  <c:v>5.7738755479124215E-3</c:v>
                </c:pt>
                <c:pt idx="4">
                  <c:v>5.4968754449098434E-3</c:v>
                </c:pt>
                <c:pt idx="5">
                  <c:v>5.2200958744634818E-3</c:v>
                </c:pt>
                <c:pt idx="6">
                  <c:v>3.8281672234021791E-3</c:v>
                </c:pt>
                <c:pt idx="7">
                  <c:v>3.6248245376861998E-3</c:v>
                </c:pt>
                <c:pt idx="8">
                  <c:v>3.2195988054761759E-3</c:v>
                </c:pt>
                <c:pt idx="9">
                  <c:v>3.0751143694884853E-3</c:v>
                </c:pt>
                <c:pt idx="10">
                  <c:v>1.9327516463159E-3</c:v>
                </c:pt>
                <c:pt idx="11">
                  <c:v>6.758967313413855E-4</c:v>
                </c:pt>
                <c:pt idx="12">
                  <c:v>-3.8926617085061066E-3</c:v>
                </c:pt>
              </c:numCache>
            </c:numRef>
          </c:val>
          <c:extLst>
            <c:ext xmlns:c16="http://schemas.microsoft.com/office/drawing/2014/chart" uri="{C3380CC4-5D6E-409C-BE32-E72D297353CC}">
              <c16:uniqueId val="{00000000-2FD9-4FD2-877C-017310C97B90}"/>
            </c:ext>
          </c:extLst>
        </c:ser>
        <c:ser>
          <c:idx val="0"/>
          <c:order val="1"/>
          <c:tx>
            <c:strRef>
              <c:f>Sheet1!$AI$4</c:f>
              <c:strCache>
                <c:ptCount val="1"/>
                <c:pt idx="0">
                  <c:v>1990-2000</c:v>
                </c:pt>
              </c:strCache>
            </c:strRef>
          </c:tx>
          <c:spPr>
            <a:solidFill>
              <a:schemeClr val="accent3">
                <a:lumMod val="40000"/>
                <a:lumOff val="60000"/>
              </a:schemeClr>
            </a:solidFill>
            <a:ln>
              <a:noFill/>
            </a:ln>
            <a:effectLst/>
          </c:spPr>
          <c:invertIfNegative val="0"/>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2-726A-4CF3-BC08-E138E4478FCF}"/>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0-726A-4CF3-BC08-E138E4478FCF}"/>
              </c:ext>
            </c:extLst>
          </c:dPt>
          <c:cat>
            <c:strRef>
              <c:f>Sheet1!$AH$6:$AH$18</c:f>
              <c:strCache>
                <c:ptCount val="13"/>
                <c:pt idx="0">
                  <c:v>USA</c:v>
                </c:pt>
                <c:pt idx="1">
                  <c:v>DEU</c:v>
                </c:pt>
                <c:pt idx="2">
                  <c:v>JPN</c:v>
                </c:pt>
                <c:pt idx="3">
                  <c:v>FIN</c:v>
                </c:pt>
                <c:pt idx="4">
                  <c:v>GBR</c:v>
                </c:pt>
                <c:pt idx="5">
                  <c:v>AUS</c:v>
                </c:pt>
                <c:pt idx="6">
                  <c:v>NZL</c:v>
                </c:pt>
                <c:pt idx="7">
                  <c:v>CAN</c:v>
                </c:pt>
                <c:pt idx="8">
                  <c:v>NLD</c:v>
                </c:pt>
                <c:pt idx="9">
                  <c:v>FRA</c:v>
                </c:pt>
                <c:pt idx="10">
                  <c:v>DNK</c:v>
                </c:pt>
                <c:pt idx="11">
                  <c:v>BEL</c:v>
                </c:pt>
                <c:pt idx="12">
                  <c:v>ITA</c:v>
                </c:pt>
              </c:strCache>
            </c:strRef>
          </c:cat>
          <c:val>
            <c:numRef>
              <c:f>Sheet1!$AI$6:$AI$18</c:f>
              <c:numCache>
                <c:formatCode>0.0%</c:formatCode>
                <c:ptCount val="13"/>
                <c:pt idx="0">
                  <c:v>1.0483563198713686E-2</c:v>
                </c:pt>
                <c:pt idx="1">
                  <c:v>1.3158063935660547E-2</c:v>
                </c:pt>
                <c:pt idx="2">
                  <c:v>5.9606326476602245E-3</c:v>
                </c:pt>
                <c:pt idx="3">
                  <c:v>2.2067900576018262E-2</c:v>
                </c:pt>
                <c:pt idx="4">
                  <c:v>1.4532292847578399E-2</c:v>
                </c:pt>
                <c:pt idx="5">
                  <c:v>1.3553217568119669E-2</c:v>
                </c:pt>
                <c:pt idx="6">
                  <c:v>7.2836884451181749E-3</c:v>
                </c:pt>
                <c:pt idx="7">
                  <c:v>1.0952029385596473E-2</c:v>
                </c:pt>
                <c:pt idx="8">
                  <c:v>8.8364382423349319E-3</c:v>
                </c:pt>
                <c:pt idx="9">
                  <c:v>9.4392568088688122E-3</c:v>
                </c:pt>
                <c:pt idx="10">
                  <c:v>9.7766166033315116E-3</c:v>
                </c:pt>
                <c:pt idx="11">
                  <c:v>7.0600023625131403E-3</c:v>
                </c:pt>
                <c:pt idx="12">
                  <c:v>7.7139166173554319E-3</c:v>
                </c:pt>
              </c:numCache>
            </c:numRef>
          </c:val>
          <c:extLst>
            <c:ext xmlns:c16="http://schemas.microsoft.com/office/drawing/2014/chart" uri="{C3380CC4-5D6E-409C-BE32-E72D297353CC}">
              <c16:uniqueId val="{00000001-2FD9-4FD2-877C-017310C97B90}"/>
            </c:ext>
          </c:extLst>
        </c:ser>
        <c:dLbls>
          <c:showLegendKey val="0"/>
          <c:showVal val="0"/>
          <c:showCatName val="0"/>
          <c:showSerName val="0"/>
          <c:showPercent val="0"/>
          <c:showBubbleSize val="0"/>
        </c:dLbls>
        <c:gapWidth val="182"/>
        <c:axId val="288035208"/>
        <c:axId val="288037168"/>
      </c:barChart>
      <c:catAx>
        <c:axId val="288035208"/>
        <c:scaling>
          <c:orientation val="minMax"/>
        </c:scaling>
        <c:delete val="0"/>
        <c:axPos val="l"/>
        <c:numFmt formatCode="General" sourceLinked="1"/>
        <c:majorTickMark val="out"/>
        <c:minorTickMark val="none"/>
        <c:tickLblPos val="low"/>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1000" b="0" i="0" u="none" strike="noStrike" kern="1200" baseline="0">
                <a:solidFill>
                  <a:srgbClr val="595A5B"/>
                </a:solidFill>
                <a:latin typeface="Arial"/>
                <a:ea typeface="Arial"/>
                <a:cs typeface="Arial"/>
              </a:defRPr>
            </a:pPr>
            <a:endParaRPr lang="en-US"/>
          </a:p>
        </c:txPr>
        <c:crossAx val="288037168"/>
        <c:crosses val="autoZero"/>
        <c:auto val="1"/>
        <c:lblAlgn val="ctr"/>
        <c:lblOffset val="100"/>
        <c:noMultiLvlLbl val="0"/>
      </c:catAx>
      <c:valAx>
        <c:axId val="288037168"/>
        <c:scaling>
          <c:orientation val="minMax"/>
        </c:scaling>
        <c:delete val="0"/>
        <c:axPos val="b"/>
        <c:numFmt formatCode="0.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1000" b="0" i="0" u="none" strike="noStrike" kern="1200" baseline="0">
                <a:solidFill>
                  <a:srgbClr val="595A5B"/>
                </a:solidFill>
                <a:latin typeface="Arial"/>
                <a:ea typeface="Arial"/>
                <a:cs typeface="Arial"/>
              </a:defRPr>
            </a:pPr>
            <a:endParaRPr lang="en-US"/>
          </a:p>
        </c:txPr>
        <c:crossAx val="28803520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1000" b="0">
          <a:solidFill>
            <a:srgbClr val="595A5B"/>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b="1" i="0" u="none" strike="noStrike" baseline="0" smtClean="0">
                <a:solidFill>
                  <a:sysClr val="windowText" lastClr="000000"/>
                </a:solidFill>
              </a:rPr>
              <a:t>Business investment in </a:t>
            </a:r>
            <a:br>
              <a:rPr lang="en-US" sz="1100" b="1" i="0" u="none" strike="noStrike" baseline="0" smtClean="0">
                <a:solidFill>
                  <a:sysClr val="windowText" lastClr="000000"/>
                </a:solidFill>
              </a:rPr>
            </a:br>
            <a:r>
              <a:rPr lang="en-US" sz="1100" b="1" i="0" u="none" strike="noStrike" baseline="0" smtClean="0">
                <a:solidFill>
                  <a:sysClr val="windowText" lastClr="000000"/>
                </a:solidFill>
              </a:rPr>
              <a:t>knowledge-based capital, 2015</a:t>
            </a:r>
            <a:endParaRPr lang="en-US" sz="1100" b="1">
              <a:solidFill>
                <a:sysClr val="windowText" lastClr="000000"/>
              </a:solidFill>
            </a:endParaRPr>
          </a:p>
        </c:rich>
      </c:tx>
      <c:layout/>
      <c:overlay val="0"/>
      <c:spPr>
        <a:noFill/>
        <a:ln>
          <a:noFill/>
        </a:ln>
        <a:effectLst/>
      </c:spPr>
    </c:title>
    <c:autoTitleDeleted val="0"/>
    <c:plotArea>
      <c:layout>
        <c:manualLayout>
          <c:layoutTarget val="inner"/>
          <c:xMode val="edge"/>
          <c:yMode val="edge"/>
          <c:x val="8.4774552776884546E-2"/>
          <c:y val="0.28473392233408673"/>
          <c:w val="0.86718002245788284"/>
          <c:h val="0.53962132892418646"/>
        </c:manualLayout>
      </c:layout>
      <c:barChart>
        <c:barDir val="col"/>
        <c:grouping val="clustered"/>
        <c:varyColors val="0"/>
        <c:ser>
          <c:idx val="2"/>
          <c:order val="0"/>
          <c:tx>
            <c:strRef>
              <c:f>Sheet1!$D$1</c:f>
              <c:strCache>
                <c:ptCount val="1"/>
                <c:pt idx="0">
                  <c:v>KBC</c:v>
                </c:pt>
              </c:strCache>
            </c:strRef>
          </c:tx>
          <c:spPr>
            <a:solidFill>
              <a:schemeClr val="bg1">
                <a:lumMod val="75000"/>
              </a:schemeClr>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1C6C-4420-9152-019E329FB2E3}"/>
              </c:ext>
            </c:extLst>
          </c:dPt>
          <c:dPt>
            <c:idx val="1"/>
            <c:invertIfNegative val="0"/>
            <c:bubble3D val="0"/>
            <c:spPr>
              <a:solidFill>
                <a:schemeClr val="tx2"/>
              </a:solidFill>
              <a:ln>
                <a:noFill/>
              </a:ln>
              <a:effectLst/>
            </c:spPr>
            <c:extLst>
              <c:ext xmlns:c16="http://schemas.microsoft.com/office/drawing/2014/chart" uri="{C3380CC4-5D6E-409C-BE32-E72D297353CC}">
                <c16:uniqueId val="{00000003-1C6C-4420-9152-019E329FB2E3}"/>
              </c:ext>
            </c:extLst>
          </c:dPt>
          <c:dPt>
            <c:idx val="2"/>
            <c:invertIfNegative val="0"/>
            <c:bubble3D val="0"/>
            <c:extLst>
              <c:ext xmlns:c16="http://schemas.microsoft.com/office/drawing/2014/chart" uri="{C3380CC4-5D6E-409C-BE32-E72D297353CC}">
                <c16:uniqueId val="{00000004-1C6C-4420-9152-019E329FB2E3}"/>
              </c:ext>
            </c:extLst>
          </c:dPt>
          <c:cat>
            <c:strRef>
              <c:f>Sheet1!$A$2:$A$8</c:f>
              <c:strCache>
                <c:ptCount val="7"/>
                <c:pt idx="0">
                  <c:v>Canada</c:v>
                </c:pt>
                <c:pt idx="1">
                  <c:v>Australia</c:v>
                </c:pt>
                <c:pt idx="2">
                  <c:v>U.K.</c:v>
                </c:pt>
                <c:pt idx="3">
                  <c:v>Italy</c:v>
                </c:pt>
                <c:pt idx="4">
                  <c:v>Germany</c:v>
                </c:pt>
                <c:pt idx="5">
                  <c:v>U.S.</c:v>
                </c:pt>
                <c:pt idx="6">
                  <c:v>France</c:v>
                </c:pt>
              </c:strCache>
            </c:strRef>
          </c:cat>
          <c:val>
            <c:numRef>
              <c:f>Sheet1!$D$2:$D$8</c:f>
              <c:numCache>
                <c:formatCode>General</c:formatCode>
                <c:ptCount val="7"/>
                <c:pt idx="0">
                  <c:v>2.6474299999999999</c:v>
                </c:pt>
                <c:pt idx="1">
                  <c:v>3.6859900000000003</c:v>
                </c:pt>
                <c:pt idx="2">
                  <c:v>4.1615600000000006</c:v>
                </c:pt>
                <c:pt idx="3">
                  <c:v>4.3891399999999994</c:v>
                </c:pt>
                <c:pt idx="4">
                  <c:v>4.7446900000000003</c:v>
                </c:pt>
                <c:pt idx="5">
                  <c:v>6.0498900000000004</c:v>
                </c:pt>
                <c:pt idx="6">
                  <c:v>7.4166999999999996</c:v>
                </c:pt>
              </c:numCache>
            </c:numRef>
          </c:val>
          <c:extLst>
            <c:ext xmlns:c16="http://schemas.microsoft.com/office/drawing/2014/chart" uri="{C3380CC4-5D6E-409C-BE32-E72D297353CC}">
              <c16:uniqueId val="{00000005-1C6C-4420-9152-019E329FB2E3}"/>
            </c:ext>
          </c:extLst>
        </c:ser>
        <c:dLbls>
          <c:showLegendKey val="0"/>
          <c:showVal val="0"/>
          <c:showCatName val="0"/>
          <c:showSerName val="0"/>
          <c:showPercent val="0"/>
          <c:showBubbleSize val="0"/>
        </c:dLbls>
        <c:gapWidth val="219"/>
        <c:overlap val="-27"/>
        <c:axId val="288037560"/>
        <c:axId val="288038344"/>
      </c:barChart>
      <c:catAx>
        <c:axId val="28803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8344"/>
        <c:crosses val="autoZero"/>
        <c:auto val="1"/>
        <c:lblAlgn val="ctr"/>
        <c:lblOffset val="100"/>
        <c:noMultiLvlLbl val="0"/>
      </c:catAx>
      <c:valAx>
        <c:axId val="28803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7560"/>
        <c:crosses val="autoZero"/>
        <c:crossBetween val="between"/>
        <c:majorUnit val="1.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8913336767484"/>
          <c:y val="0.28025675435334446"/>
          <c:w val="0.8453203162688776"/>
          <c:h val="0.53917282413620271"/>
        </c:manualLayout>
      </c:layout>
      <c:barChart>
        <c:barDir val="col"/>
        <c:grouping val="clustered"/>
        <c:varyColors val="0"/>
        <c:ser>
          <c:idx val="0"/>
          <c:order val="0"/>
          <c:tx>
            <c:strRef>
              <c:f>'ICT investment charts'!$X$1</c:f>
              <c:strCache>
                <c:ptCount val="1"/>
                <c:pt idx="0">
                  <c:v>BERD</c:v>
                </c:pt>
              </c:strCache>
            </c:strRef>
          </c:tx>
          <c:spPr>
            <a:solidFill>
              <a:schemeClr val="bg1">
                <a:lumMod val="75000"/>
              </a:schemeClr>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8C98-406F-AC92-C5303530A79C}"/>
              </c:ext>
            </c:extLst>
          </c:dPt>
          <c:dPt>
            <c:idx val="2"/>
            <c:invertIfNegative val="0"/>
            <c:bubble3D val="0"/>
            <c:spPr>
              <a:solidFill>
                <a:schemeClr val="tx2"/>
              </a:solidFill>
              <a:ln>
                <a:noFill/>
              </a:ln>
              <a:effectLst/>
            </c:spPr>
            <c:extLst>
              <c:ext xmlns:c16="http://schemas.microsoft.com/office/drawing/2014/chart" uri="{C3380CC4-5D6E-409C-BE32-E72D297353CC}">
                <c16:uniqueId val="{00000003-8C98-406F-AC92-C5303530A79C}"/>
              </c:ext>
            </c:extLst>
          </c:dPt>
          <c:cat>
            <c:strRef>
              <c:f>'ICT investment charts'!$W$2:$W$9</c:f>
              <c:strCache>
                <c:ptCount val="8"/>
                <c:pt idx="0">
                  <c:v>Italy</c:v>
                </c:pt>
                <c:pt idx="1">
                  <c:v>Canada</c:v>
                </c:pt>
                <c:pt idx="2">
                  <c:v>Australia</c:v>
                </c:pt>
                <c:pt idx="3">
                  <c:v>U.K.</c:v>
                </c:pt>
                <c:pt idx="4">
                  <c:v>France</c:v>
                </c:pt>
                <c:pt idx="5">
                  <c:v>U.S.</c:v>
                </c:pt>
                <c:pt idx="6">
                  <c:v>Germany</c:v>
                </c:pt>
                <c:pt idx="7">
                  <c:v>Japan</c:v>
                </c:pt>
              </c:strCache>
            </c:strRef>
          </c:cat>
          <c:val>
            <c:numRef>
              <c:f>'ICT investment charts'!$X$2:$X$9</c:f>
              <c:numCache>
                <c:formatCode>General</c:formatCode>
                <c:ptCount val="8"/>
                <c:pt idx="0">
                  <c:v>0.74917436407288995</c:v>
                </c:pt>
                <c:pt idx="1">
                  <c:v>0.81655372177729002</c:v>
                </c:pt>
                <c:pt idx="2">
                  <c:v>1.00381175268317</c:v>
                </c:pt>
                <c:pt idx="3">
                  <c:v>1.1319653381456101</c:v>
                </c:pt>
                <c:pt idx="4">
                  <c:v>1.4296924387701899</c:v>
                </c:pt>
                <c:pt idx="5">
                  <c:v>1.9530912951908701</c:v>
                </c:pt>
                <c:pt idx="6">
                  <c:v>1.9982506639525499</c:v>
                </c:pt>
                <c:pt idx="7">
                  <c:v>2.4734691959710702</c:v>
                </c:pt>
              </c:numCache>
            </c:numRef>
          </c:val>
          <c:extLst>
            <c:ext xmlns:c16="http://schemas.microsoft.com/office/drawing/2014/chart" uri="{C3380CC4-5D6E-409C-BE32-E72D297353CC}">
              <c16:uniqueId val="{00000004-8C98-406F-AC92-C5303530A79C}"/>
            </c:ext>
          </c:extLst>
        </c:ser>
        <c:dLbls>
          <c:showLegendKey val="0"/>
          <c:showVal val="0"/>
          <c:showCatName val="0"/>
          <c:showSerName val="0"/>
          <c:showPercent val="0"/>
          <c:showBubbleSize val="0"/>
        </c:dLbls>
        <c:gapWidth val="176"/>
        <c:overlap val="-27"/>
        <c:axId val="288038736"/>
        <c:axId val="288032856"/>
      </c:barChart>
      <c:catAx>
        <c:axId val="28803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2856"/>
        <c:crosses val="autoZero"/>
        <c:auto val="1"/>
        <c:lblAlgn val="ctr"/>
        <c:lblOffset val="100"/>
        <c:noMultiLvlLbl val="0"/>
      </c:catAx>
      <c:valAx>
        <c:axId val="288032856"/>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8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Gini</a:t>
            </a:r>
            <a:r>
              <a:rPr lang="en-US" sz="1050" baseline="0"/>
              <a:t> coefficient, disposable income after taxes and transfers, most recent year</a:t>
            </a:r>
            <a:endParaRPr lang="en-US" sz="1050"/>
          </a:p>
        </c:rich>
      </c:tx>
      <c:layout/>
      <c:overlay val="0"/>
    </c:title>
    <c:autoTitleDeleted val="0"/>
    <c:plotArea>
      <c:layout>
        <c:manualLayout>
          <c:layoutTarget val="inner"/>
          <c:xMode val="edge"/>
          <c:yMode val="edge"/>
          <c:x val="9.8964494323914617E-2"/>
          <c:y val="0.1792039693668428"/>
          <c:w val="0.8685502385702204"/>
          <c:h val="0.52737815307333147"/>
        </c:manualLayout>
      </c:layout>
      <c:barChart>
        <c:barDir val="col"/>
        <c:grouping val="clustered"/>
        <c:varyColors val="0"/>
        <c:ser>
          <c:idx val="0"/>
          <c:order val="0"/>
          <c:tx>
            <c:strRef>
              <c:f>Sheet1!$B$1</c:f>
              <c:strCache>
                <c:ptCount val="1"/>
                <c:pt idx="0">
                  <c:v>2012-2016</c:v>
                </c:pt>
              </c:strCache>
            </c:strRef>
          </c:tx>
          <c:spPr>
            <a:solidFill>
              <a:schemeClr val="bg1">
                <a:lumMod val="65000"/>
              </a:schemeClr>
            </a:solidFill>
            <a:ln>
              <a:solidFill>
                <a:schemeClr val="tx1"/>
              </a:solidFill>
            </a:ln>
          </c:spPr>
          <c:invertIfNegative val="0"/>
          <c:dPt>
            <c:idx val="7"/>
            <c:invertIfNegative val="0"/>
            <c:bubble3D val="0"/>
            <c:spPr>
              <a:solidFill>
                <a:srgbClr val="C00000"/>
              </a:solidFill>
              <a:ln>
                <a:solidFill>
                  <a:schemeClr val="tx1"/>
                </a:solidFill>
              </a:ln>
            </c:spPr>
            <c:extLst>
              <c:ext xmlns:c16="http://schemas.microsoft.com/office/drawing/2014/chart" uri="{C3380CC4-5D6E-409C-BE32-E72D297353CC}">
                <c16:uniqueId val="{00000001-87C5-4238-A8A5-42C6BE14E231}"/>
              </c:ext>
            </c:extLst>
          </c:dPt>
          <c:dPt>
            <c:idx val="9"/>
            <c:invertIfNegative val="0"/>
            <c:bubble3D val="0"/>
            <c:spPr>
              <a:solidFill>
                <a:schemeClr val="bg1">
                  <a:lumMod val="75000"/>
                </a:schemeClr>
              </a:solidFill>
              <a:ln>
                <a:solidFill>
                  <a:schemeClr val="tx1"/>
                </a:solidFill>
              </a:ln>
            </c:spPr>
            <c:extLst>
              <c:ext xmlns:c16="http://schemas.microsoft.com/office/drawing/2014/chart" uri="{C3380CC4-5D6E-409C-BE32-E72D297353CC}">
                <c16:uniqueId val="{00000003-87C5-4238-A8A5-42C6BE14E231}"/>
              </c:ext>
            </c:extLst>
          </c:dPt>
          <c:dPt>
            <c:idx val="10"/>
            <c:invertIfNegative val="0"/>
            <c:bubble3D val="0"/>
            <c:spPr>
              <a:solidFill>
                <a:srgbClr val="00B0F0"/>
              </a:solidFill>
              <a:ln>
                <a:solidFill>
                  <a:schemeClr val="tx1"/>
                </a:solidFill>
              </a:ln>
            </c:spPr>
            <c:extLst>
              <c:ext xmlns:c16="http://schemas.microsoft.com/office/drawing/2014/chart" uri="{C3380CC4-5D6E-409C-BE32-E72D297353CC}">
                <c16:uniqueId val="{00000005-87C5-4238-A8A5-42C6BE14E231}"/>
              </c:ext>
            </c:extLst>
          </c:dPt>
          <c:cat>
            <c:strRef>
              <c:f>Sheet1!$A$2:$A$17</c:f>
              <c:strCache>
                <c:ptCount val="16"/>
                <c:pt idx="0">
                  <c:v>Czech Republic</c:v>
                </c:pt>
                <c:pt idx="1">
                  <c:v>Finland</c:v>
                </c:pt>
                <c:pt idx="2">
                  <c:v>Denmark</c:v>
                </c:pt>
                <c:pt idx="3">
                  <c:v>Norway</c:v>
                </c:pt>
                <c:pt idx="4">
                  <c:v>Sweden</c:v>
                </c:pt>
                <c:pt idx="5">
                  <c:v>Netherlands</c:v>
                </c:pt>
                <c:pt idx="6">
                  <c:v>Germany</c:v>
                </c:pt>
                <c:pt idx="7">
                  <c:v>Canada</c:v>
                </c:pt>
                <c:pt idx="8">
                  <c:v>Japan</c:v>
                </c:pt>
                <c:pt idx="9">
                  <c:v>Italy</c:v>
                </c:pt>
                <c:pt idx="10">
                  <c:v>Australia</c:v>
                </c:pt>
                <c:pt idx="11">
                  <c:v>Greece</c:v>
                </c:pt>
                <c:pt idx="12">
                  <c:v>Israel</c:v>
                </c:pt>
                <c:pt idx="13">
                  <c:v>New Zealand</c:v>
                </c:pt>
                <c:pt idx="14">
                  <c:v>United Kingdom</c:v>
                </c:pt>
                <c:pt idx="15">
                  <c:v>United States</c:v>
                </c:pt>
              </c:strCache>
            </c:strRef>
          </c:cat>
          <c:val>
            <c:numRef>
              <c:f>Sheet1!$B$2:$B$17</c:f>
              <c:numCache>
                <c:formatCode>General</c:formatCode>
                <c:ptCount val="16"/>
                <c:pt idx="0">
                  <c:v>0.25800000000000001</c:v>
                </c:pt>
                <c:pt idx="1">
                  <c:v>0.25900000000000001</c:v>
                </c:pt>
                <c:pt idx="2">
                  <c:v>0.26300000000000001</c:v>
                </c:pt>
                <c:pt idx="3">
                  <c:v>0.27200000000000002</c:v>
                </c:pt>
                <c:pt idx="4">
                  <c:v>0.28199999999999997</c:v>
                </c:pt>
                <c:pt idx="5">
                  <c:v>0.28499999999999998</c:v>
                </c:pt>
                <c:pt idx="6">
                  <c:v>0.29299999999999998</c:v>
                </c:pt>
                <c:pt idx="7">
                  <c:v>0.318</c:v>
                </c:pt>
                <c:pt idx="8">
                  <c:v>0.33</c:v>
                </c:pt>
                <c:pt idx="9">
                  <c:v>0.33300000000000002</c:v>
                </c:pt>
                <c:pt idx="10">
                  <c:v>0.33700000000000002</c:v>
                </c:pt>
                <c:pt idx="11">
                  <c:v>0.34</c:v>
                </c:pt>
                <c:pt idx="12">
                  <c:v>0.34599999999999997</c:v>
                </c:pt>
                <c:pt idx="13">
                  <c:v>0.34899999999999998</c:v>
                </c:pt>
                <c:pt idx="14">
                  <c:v>0.35099999999999998</c:v>
                </c:pt>
                <c:pt idx="15">
                  <c:v>0.39100000000000001</c:v>
                </c:pt>
              </c:numCache>
            </c:numRef>
          </c:val>
          <c:extLst>
            <c:ext xmlns:c16="http://schemas.microsoft.com/office/drawing/2014/chart" uri="{C3380CC4-5D6E-409C-BE32-E72D297353CC}">
              <c16:uniqueId val="{00000006-87C5-4238-A8A5-42C6BE14E231}"/>
            </c:ext>
          </c:extLst>
        </c:ser>
        <c:dLbls>
          <c:showLegendKey val="0"/>
          <c:showVal val="0"/>
          <c:showCatName val="0"/>
          <c:showSerName val="0"/>
          <c:showPercent val="0"/>
          <c:showBubbleSize val="0"/>
        </c:dLbls>
        <c:gapWidth val="150"/>
        <c:axId val="288033248"/>
        <c:axId val="288033640"/>
      </c:barChart>
      <c:catAx>
        <c:axId val="288033248"/>
        <c:scaling>
          <c:orientation val="minMax"/>
        </c:scaling>
        <c:delete val="0"/>
        <c:axPos val="b"/>
        <c:numFmt formatCode="General" sourceLinked="0"/>
        <c:majorTickMark val="out"/>
        <c:minorTickMark val="none"/>
        <c:tickLblPos val="nextTo"/>
        <c:crossAx val="288033640"/>
        <c:crosses val="autoZero"/>
        <c:auto val="1"/>
        <c:lblAlgn val="ctr"/>
        <c:lblOffset val="100"/>
        <c:noMultiLvlLbl val="0"/>
      </c:catAx>
      <c:valAx>
        <c:axId val="288033640"/>
        <c:scaling>
          <c:orientation val="minMax"/>
          <c:max val="0.4"/>
          <c:min val="0.15000000000000002"/>
        </c:scaling>
        <c:delete val="0"/>
        <c:axPos val="l"/>
        <c:majorGridlines>
          <c:spPr>
            <a:ln>
              <a:solidFill>
                <a:schemeClr val="bg1">
                  <a:lumMod val="85000"/>
                </a:schemeClr>
              </a:solidFill>
            </a:ln>
          </c:spPr>
        </c:majorGridlines>
        <c:numFmt formatCode="#,##0.00" sourceLinked="0"/>
        <c:majorTickMark val="out"/>
        <c:minorTickMark val="none"/>
        <c:tickLblPos val="nextTo"/>
        <c:spPr>
          <a:ln>
            <a:noFill/>
          </a:ln>
        </c:spPr>
        <c:crossAx val="288033248"/>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Percentage reduction in income inequality due to taxes</a:t>
            </a:r>
            <a:r>
              <a:rPr lang="en-US" sz="1050" baseline="0"/>
              <a:t> and transfers, most recent year</a:t>
            </a:r>
            <a:endParaRPr lang="en-US" sz="1050"/>
          </a:p>
        </c:rich>
      </c:tx>
      <c:layout>
        <c:manualLayout>
          <c:xMode val="edge"/>
          <c:yMode val="edge"/>
          <c:x val="0.1087174590253753"/>
          <c:y val="1.9493177387914229E-2"/>
        </c:manualLayout>
      </c:layout>
      <c:overlay val="0"/>
    </c:title>
    <c:autoTitleDeleted val="0"/>
    <c:plotArea>
      <c:layout>
        <c:manualLayout>
          <c:layoutTarget val="inner"/>
          <c:xMode val="edge"/>
          <c:yMode val="edge"/>
          <c:x val="0.27455049232166062"/>
          <c:y val="0.19409065094933309"/>
          <c:w val="0.8962049798390177"/>
          <c:h val="0.6778529053731297"/>
        </c:manualLayout>
      </c:layout>
      <c:barChart>
        <c:barDir val="bar"/>
        <c:grouping val="clustered"/>
        <c:varyColors val="0"/>
        <c:ser>
          <c:idx val="0"/>
          <c:order val="0"/>
          <c:tx>
            <c:strRef>
              <c:f>Sheet1!$B$1</c:f>
              <c:strCache>
                <c:ptCount val="1"/>
                <c:pt idx="0">
                  <c:v>inequality reduction</c:v>
                </c:pt>
              </c:strCache>
            </c:strRef>
          </c:tx>
          <c:spPr>
            <a:solidFill>
              <a:schemeClr val="bg1">
                <a:lumMod val="65000"/>
              </a:schemeClr>
            </a:solidFill>
            <a:ln>
              <a:solidFill>
                <a:schemeClr val="tx1"/>
              </a:solidFill>
            </a:ln>
          </c:spPr>
          <c:invertIfNegative val="0"/>
          <c:dPt>
            <c:idx val="2"/>
            <c:invertIfNegative val="0"/>
            <c:bubble3D val="0"/>
            <c:extLst>
              <c:ext xmlns:c16="http://schemas.microsoft.com/office/drawing/2014/chart" uri="{C3380CC4-5D6E-409C-BE32-E72D297353CC}">
                <c16:uniqueId val="{00000000-16CE-451E-863B-A63801636A48}"/>
              </c:ext>
            </c:extLst>
          </c:dPt>
          <c:dPt>
            <c:idx val="3"/>
            <c:invertIfNegative val="0"/>
            <c:bubble3D val="0"/>
            <c:spPr>
              <a:solidFill>
                <a:srgbClr val="C00000"/>
              </a:solidFill>
              <a:ln>
                <a:solidFill>
                  <a:schemeClr val="tx1"/>
                </a:solidFill>
              </a:ln>
            </c:spPr>
            <c:extLst>
              <c:ext xmlns:c16="http://schemas.microsoft.com/office/drawing/2014/chart" uri="{C3380CC4-5D6E-409C-BE32-E72D297353CC}">
                <c16:uniqueId val="{00000002-16CE-451E-863B-A63801636A48}"/>
              </c:ext>
            </c:extLst>
          </c:dPt>
          <c:dPt>
            <c:idx val="4"/>
            <c:invertIfNegative val="0"/>
            <c:bubble3D val="0"/>
            <c:spPr>
              <a:solidFill>
                <a:srgbClr val="00B0F0"/>
              </a:solidFill>
              <a:ln>
                <a:solidFill>
                  <a:schemeClr val="tx1"/>
                </a:solidFill>
              </a:ln>
            </c:spPr>
            <c:extLst>
              <c:ext xmlns:c16="http://schemas.microsoft.com/office/drawing/2014/chart" uri="{C3380CC4-5D6E-409C-BE32-E72D297353CC}">
                <c16:uniqueId val="{00000004-16CE-451E-863B-A63801636A48}"/>
              </c:ext>
            </c:extLst>
          </c:dPt>
          <c:cat>
            <c:strRef>
              <c:f>Sheet1!$A$2:$A$17</c:f>
              <c:strCache>
                <c:ptCount val="16"/>
                <c:pt idx="0">
                  <c:v>Israel</c:v>
                </c:pt>
                <c:pt idx="1">
                  <c:v>United States</c:v>
                </c:pt>
                <c:pt idx="2">
                  <c:v>New Zealand</c:v>
                </c:pt>
                <c:pt idx="3">
                  <c:v>Canada</c:v>
                </c:pt>
                <c:pt idx="4">
                  <c:v>Australia</c:v>
                </c:pt>
                <c:pt idx="5">
                  <c:v>United Kingdom</c:v>
                </c:pt>
                <c:pt idx="6">
                  <c:v>Japan</c:v>
                </c:pt>
                <c:pt idx="7">
                  <c:v>Sweden</c:v>
                </c:pt>
                <c:pt idx="8">
                  <c:v>Netherlands</c:v>
                </c:pt>
                <c:pt idx="9">
                  <c:v>Italy</c:v>
                </c:pt>
                <c:pt idx="10">
                  <c:v>Norway</c:v>
                </c:pt>
                <c:pt idx="11">
                  <c:v>Greece</c:v>
                </c:pt>
                <c:pt idx="12">
                  <c:v>Denmark</c:v>
                </c:pt>
                <c:pt idx="13">
                  <c:v>Germany</c:v>
                </c:pt>
                <c:pt idx="14">
                  <c:v>Czech Republic</c:v>
                </c:pt>
                <c:pt idx="15">
                  <c:v>Finland</c:v>
                </c:pt>
              </c:strCache>
            </c:strRef>
          </c:cat>
          <c:val>
            <c:numRef>
              <c:f>Sheet1!$B$2:$B$17</c:f>
              <c:numCache>
                <c:formatCode>General</c:formatCode>
                <c:ptCount val="16"/>
                <c:pt idx="0">
                  <c:v>21.363636363636374</c:v>
                </c:pt>
                <c:pt idx="1">
                  <c:v>22.879684418145953</c:v>
                </c:pt>
                <c:pt idx="2">
                  <c:v>24.458874458874469</c:v>
                </c:pt>
                <c:pt idx="3">
                  <c:v>26.896551724137929</c:v>
                </c:pt>
                <c:pt idx="4">
                  <c:v>30.227743271221531</c:v>
                </c:pt>
                <c:pt idx="5">
                  <c:v>30.632411067193676</c:v>
                </c:pt>
                <c:pt idx="6">
                  <c:v>32.377049180327866</c:v>
                </c:pt>
                <c:pt idx="7">
                  <c:v>35.172413793103452</c:v>
                </c:pt>
                <c:pt idx="8">
                  <c:v>35.955056179775291</c:v>
                </c:pt>
                <c:pt idx="9">
                  <c:v>36.450381679389309</c:v>
                </c:pt>
                <c:pt idx="10">
                  <c:v>37.037037037037038</c:v>
                </c:pt>
                <c:pt idx="11">
                  <c:v>39.92932862190812</c:v>
                </c:pt>
                <c:pt idx="12">
                  <c:v>41.685144124168517</c:v>
                </c:pt>
                <c:pt idx="13">
                  <c:v>41.865079365079374</c:v>
                </c:pt>
                <c:pt idx="14">
                  <c:v>43.913043478260875</c:v>
                </c:pt>
                <c:pt idx="15">
                  <c:v>48.814229249011852</c:v>
                </c:pt>
              </c:numCache>
            </c:numRef>
          </c:val>
          <c:extLst>
            <c:ext xmlns:c16="http://schemas.microsoft.com/office/drawing/2014/chart" uri="{C3380CC4-5D6E-409C-BE32-E72D297353CC}">
              <c16:uniqueId val="{00000005-16CE-451E-863B-A63801636A48}"/>
            </c:ext>
          </c:extLst>
        </c:ser>
        <c:dLbls>
          <c:showLegendKey val="0"/>
          <c:showVal val="0"/>
          <c:showCatName val="0"/>
          <c:showSerName val="0"/>
          <c:showPercent val="0"/>
          <c:showBubbleSize val="0"/>
        </c:dLbls>
        <c:gapWidth val="150"/>
        <c:axId val="288034424"/>
        <c:axId val="288034816"/>
      </c:barChart>
      <c:catAx>
        <c:axId val="288034424"/>
        <c:scaling>
          <c:orientation val="minMax"/>
        </c:scaling>
        <c:delete val="0"/>
        <c:axPos val="l"/>
        <c:numFmt formatCode="General" sourceLinked="0"/>
        <c:majorTickMark val="out"/>
        <c:minorTickMark val="none"/>
        <c:tickLblPos val="nextTo"/>
        <c:txPr>
          <a:bodyPr/>
          <a:lstStyle/>
          <a:p>
            <a:pPr>
              <a:defRPr sz="900"/>
            </a:pPr>
            <a:endParaRPr lang="en-US"/>
          </a:p>
        </c:txPr>
        <c:crossAx val="288034816"/>
        <c:crosses val="autoZero"/>
        <c:auto val="1"/>
        <c:lblAlgn val="ctr"/>
        <c:lblOffset val="100"/>
        <c:noMultiLvlLbl val="0"/>
      </c:catAx>
      <c:valAx>
        <c:axId val="288034816"/>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spPr>
          <a:ln>
            <a:noFill/>
          </a:ln>
        </c:spPr>
        <c:crossAx val="28803442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'Employment-pop ratio'!$A$6</c:f>
              <c:strCache>
                <c:ptCount val="1"/>
                <c:pt idx="0">
                  <c:v>Australia</c:v>
                </c:pt>
              </c:strCache>
            </c:strRef>
          </c:tx>
          <c:spPr>
            <a:ln w="19050" cap="rnd">
              <a:solidFill>
                <a:schemeClr val="accent1"/>
              </a:solidFill>
              <a:round/>
            </a:ln>
            <a:effectLst/>
          </c:spPr>
          <c:marker>
            <c:symbol val="none"/>
          </c:marker>
          <c:cat>
            <c:strRef>
              <c:f>'Employment-pop ratio'!$B$5:$AT$5</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'Employment-pop ratio'!$B$6:$AT$6</c:f>
              <c:numCache>
                <c:formatCode>#,##0.0_ ;\-#,##0.0\ </c:formatCode>
                <c:ptCount val="45"/>
                <c:pt idx="0">
                  <c:v>72.88485</c:v>
                </c:pt>
                <c:pt idx="1">
                  <c:v>73.053719999999998</c:v>
                </c:pt>
                <c:pt idx="2">
                  <c:v>73.246719999999996</c:v>
                </c:pt>
                <c:pt idx="3">
                  <c:v>73.300870000000003</c:v>
                </c:pt>
                <c:pt idx="4">
                  <c:v>73.186589999999995</c:v>
                </c:pt>
                <c:pt idx="5">
                  <c:v>73.004300000000001</c:v>
                </c:pt>
                <c:pt idx="6">
                  <c:v>72.460220000000007</c:v>
                </c:pt>
                <c:pt idx="7">
                  <c:v>72.044139999999999</c:v>
                </c:pt>
                <c:pt idx="8">
                  <c:v>71.737610000000004</c:v>
                </c:pt>
                <c:pt idx="9">
                  <c:v>71.924750000000003</c:v>
                </c:pt>
                <c:pt idx="10">
                  <c:v>72.096919999999997</c:v>
                </c:pt>
                <c:pt idx="11">
                  <c:v>72.067949999999996</c:v>
                </c:pt>
                <c:pt idx="12">
                  <c:v>72.454930000000004</c:v>
                </c:pt>
                <c:pt idx="13">
                  <c:v>72.837900000000005</c:v>
                </c:pt>
                <c:pt idx="14">
                  <c:v>72.877440000000007</c:v>
                </c:pt>
                <c:pt idx="15">
                  <c:v>72.65943</c:v>
                </c:pt>
                <c:pt idx="16">
                  <c:v>72.629840000000002</c:v>
                </c:pt>
                <c:pt idx="17">
                  <c:v>72.451269999999994</c:v>
                </c:pt>
                <c:pt idx="18">
                  <c:v>72.427459999999996</c:v>
                </c:pt>
                <c:pt idx="19">
                  <c:v>72.400009999999995</c:v>
                </c:pt>
                <c:pt idx="20">
                  <c:v>72.287530000000004</c:v>
                </c:pt>
                <c:pt idx="21">
                  <c:v>72.238079999999997</c:v>
                </c:pt>
                <c:pt idx="22">
                  <c:v>72.287599999999998</c:v>
                </c:pt>
                <c:pt idx="23">
                  <c:v>72.084180000000003</c:v>
                </c:pt>
                <c:pt idx="24">
                  <c:v>71.859459999999999</c:v>
                </c:pt>
                <c:pt idx="25">
                  <c:v>71.637119999999996</c:v>
                </c:pt>
                <c:pt idx="26">
                  <c:v>71.571340000000006</c:v>
                </c:pt>
                <c:pt idx="27">
                  <c:v>71.533559999999994</c:v>
                </c:pt>
                <c:pt idx="28">
                  <c:v>71.511210000000005</c:v>
                </c:pt>
                <c:pt idx="29">
                  <c:v>71.476150000000004</c:v>
                </c:pt>
                <c:pt idx="30">
                  <c:v>71.826580000000007</c:v>
                </c:pt>
                <c:pt idx="31">
                  <c:v>72.03116</c:v>
                </c:pt>
                <c:pt idx="32">
                  <c:v>72.1173</c:v>
                </c:pt>
                <c:pt idx="33">
                  <c:v>72.520390000000006</c:v>
                </c:pt>
                <c:pt idx="34">
                  <c:v>72.531800000000004</c:v>
                </c:pt>
                <c:pt idx="35">
                  <c:v>72.433300000000003</c:v>
                </c:pt>
                <c:pt idx="36">
                  <c:v>72.347329999999999</c:v>
                </c:pt>
                <c:pt idx="37">
                  <c:v>72.291970000000006</c:v>
                </c:pt>
                <c:pt idx="38">
                  <c:v>72.394000000000005</c:v>
                </c:pt>
                <c:pt idx="39">
                  <c:v>72.803749999999994</c:v>
                </c:pt>
                <c:pt idx="40">
                  <c:v>73.180130000000005</c:v>
                </c:pt>
                <c:pt idx="41">
                  <c:v>73.461280000000002</c:v>
                </c:pt>
                <c:pt idx="42">
                  <c:v>73.633769999999998</c:v>
                </c:pt>
                <c:pt idx="43">
                  <c:v>73.615949999999998</c:v>
                </c:pt>
                <c:pt idx="44">
                  <c:v>73.787909999999997</c:v>
                </c:pt>
              </c:numCache>
            </c:numRef>
          </c:val>
          <c:smooth val="0"/>
          <c:extLst>
            <c:ext xmlns:c16="http://schemas.microsoft.com/office/drawing/2014/chart" uri="{C3380CC4-5D6E-409C-BE32-E72D297353CC}">
              <c16:uniqueId val="{00000000-E543-43DD-96CE-BEC8EBF435EC}"/>
            </c:ext>
          </c:extLst>
        </c:ser>
        <c:ser>
          <c:idx val="1"/>
          <c:order val="1"/>
          <c:tx>
            <c:strRef>
              <c:f>'Employment-pop ratio'!$A$7</c:f>
              <c:strCache>
                <c:ptCount val="1"/>
                <c:pt idx="0">
                  <c:v>Canada</c:v>
                </c:pt>
              </c:strCache>
            </c:strRef>
          </c:tx>
          <c:spPr>
            <a:ln w="19050" cap="rnd">
              <a:solidFill>
                <a:schemeClr val="accent6"/>
              </a:solidFill>
              <a:prstDash val="dash"/>
              <a:round/>
            </a:ln>
            <a:effectLst/>
          </c:spPr>
          <c:marker>
            <c:symbol val="none"/>
          </c:marker>
          <c:cat>
            <c:strRef>
              <c:f>'Employment-pop ratio'!$B$5:$AT$5</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'Employment-pop ratio'!$B$7:$AT$7</c:f>
              <c:numCache>
                <c:formatCode>#,##0.0_ ;\-#,##0.0\ </c:formatCode>
                <c:ptCount val="45"/>
                <c:pt idx="0">
                  <c:v>73.633330000000001</c:v>
                </c:pt>
                <c:pt idx="1">
                  <c:v>73.7</c:v>
                </c:pt>
                <c:pt idx="2">
                  <c:v>73.733329999999995</c:v>
                </c:pt>
                <c:pt idx="3">
                  <c:v>73.633330000000001</c:v>
                </c:pt>
                <c:pt idx="4">
                  <c:v>73.433329999999998</c:v>
                </c:pt>
                <c:pt idx="5">
                  <c:v>73.133330000000001</c:v>
                </c:pt>
                <c:pt idx="6">
                  <c:v>72.066670000000002</c:v>
                </c:pt>
                <c:pt idx="7">
                  <c:v>71.333340000000007</c:v>
                </c:pt>
                <c:pt idx="8">
                  <c:v>71.033330000000007</c:v>
                </c:pt>
                <c:pt idx="9">
                  <c:v>71.099999999999994</c:v>
                </c:pt>
                <c:pt idx="10">
                  <c:v>71.333340000000007</c:v>
                </c:pt>
                <c:pt idx="11">
                  <c:v>71.633330000000001</c:v>
                </c:pt>
                <c:pt idx="12">
                  <c:v>71.466669999999993</c:v>
                </c:pt>
                <c:pt idx="13">
                  <c:v>71.566670000000002</c:v>
                </c:pt>
                <c:pt idx="14">
                  <c:v>71.900000000000006</c:v>
                </c:pt>
                <c:pt idx="15">
                  <c:v>71.866669999999999</c:v>
                </c:pt>
                <c:pt idx="16">
                  <c:v>72</c:v>
                </c:pt>
                <c:pt idx="17">
                  <c:v>71.733329999999995</c:v>
                </c:pt>
                <c:pt idx="18">
                  <c:v>71.766670000000005</c:v>
                </c:pt>
                <c:pt idx="19">
                  <c:v>72.133330000000001</c:v>
                </c:pt>
                <c:pt idx="20">
                  <c:v>72.133330000000001</c:v>
                </c:pt>
                <c:pt idx="21">
                  <c:v>72.333340000000007</c:v>
                </c:pt>
                <c:pt idx="22">
                  <c:v>72.466669999999993</c:v>
                </c:pt>
                <c:pt idx="23">
                  <c:v>72.5</c:v>
                </c:pt>
                <c:pt idx="24">
                  <c:v>72.400000000000006</c:v>
                </c:pt>
                <c:pt idx="25">
                  <c:v>72.266670000000005</c:v>
                </c:pt>
                <c:pt idx="26">
                  <c:v>72.266670000000005</c:v>
                </c:pt>
                <c:pt idx="27">
                  <c:v>72.166659999999993</c:v>
                </c:pt>
                <c:pt idx="28">
                  <c:v>72.233329999999995</c:v>
                </c:pt>
                <c:pt idx="29">
                  <c:v>72.466669999999993</c:v>
                </c:pt>
                <c:pt idx="30">
                  <c:v>72.533330000000007</c:v>
                </c:pt>
                <c:pt idx="31">
                  <c:v>72.533330000000007</c:v>
                </c:pt>
                <c:pt idx="32">
                  <c:v>72.633330000000001</c:v>
                </c:pt>
                <c:pt idx="33">
                  <c:v>72.433329999999998</c:v>
                </c:pt>
                <c:pt idx="34">
                  <c:v>72.433329999999998</c:v>
                </c:pt>
                <c:pt idx="35">
                  <c:v>72.533330000000007</c:v>
                </c:pt>
                <c:pt idx="36">
                  <c:v>72.5</c:v>
                </c:pt>
                <c:pt idx="37">
                  <c:v>72.900000000000006</c:v>
                </c:pt>
                <c:pt idx="38">
                  <c:v>73.233329999999995</c:v>
                </c:pt>
                <c:pt idx="39">
                  <c:v>73.333340000000007</c:v>
                </c:pt>
                <c:pt idx="40">
                  <c:v>73.466669999999993</c:v>
                </c:pt>
                <c:pt idx="41">
                  <c:v>73.866669999999999</c:v>
                </c:pt>
                <c:pt idx="42">
                  <c:v>73.666659999999993</c:v>
                </c:pt>
                <c:pt idx="43">
                  <c:v>73.633330000000001</c:v>
                </c:pt>
                <c:pt idx="44">
                  <c:v>73.8</c:v>
                </c:pt>
              </c:numCache>
            </c:numRef>
          </c:val>
          <c:smooth val="0"/>
          <c:extLst>
            <c:ext xmlns:c16="http://schemas.microsoft.com/office/drawing/2014/chart" uri="{C3380CC4-5D6E-409C-BE32-E72D297353CC}">
              <c16:uniqueId val="{00000001-E543-43DD-96CE-BEC8EBF435EC}"/>
            </c:ext>
          </c:extLst>
        </c:ser>
        <c:dLbls>
          <c:showLegendKey val="0"/>
          <c:showVal val="0"/>
          <c:showCatName val="0"/>
          <c:showSerName val="0"/>
          <c:showPercent val="0"/>
          <c:showBubbleSize val="0"/>
        </c:dLbls>
        <c:smooth val="0"/>
        <c:axId val="288035600"/>
        <c:axId val="288035992"/>
      </c:lineChart>
      <c:catAx>
        <c:axId val="288035600"/>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5992"/>
        <c:crosses val="autoZero"/>
        <c:auto val="1"/>
        <c:lblAlgn val="ctr"/>
        <c:lblOffset val="100"/>
        <c:noMultiLvlLbl val="0"/>
      </c:catAx>
      <c:valAx>
        <c:axId val="288035992"/>
        <c:scaling>
          <c:orientation val="minMax"/>
        </c:scaling>
        <c:delete val="0"/>
        <c:axPos val="l"/>
        <c:numFmt formatCode="#,##0.0_ ;\-#,##0.0\ "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3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'15+ UE'!$A$5</c:f>
              <c:strCache>
                <c:ptCount val="1"/>
                <c:pt idx="0">
                  <c:v>Australia</c:v>
                </c:pt>
              </c:strCache>
            </c:strRef>
          </c:tx>
          <c:spPr>
            <a:ln w="19050" cap="rnd">
              <a:solidFill>
                <a:schemeClr val="accent1"/>
              </a:solidFill>
              <a:round/>
            </a:ln>
            <a:effectLst/>
          </c:spPr>
          <c:marker>
            <c:symbol val="none"/>
          </c:marker>
          <c:cat>
            <c:strRef>
              <c:f>'15+ UE'!$B$4:$AT$4</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'15+ UE'!$B$5:$AT$5</c:f>
              <c:numCache>
                <c:formatCode>#,##0.0_ ;\-#,##0.0\ </c:formatCode>
                <c:ptCount val="45"/>
                <c:pt idx="0">
                  <c:v>4.253476</c:v>
                </c:pt>
                <c:pt idx="1">
                  <c:v>4.3541970000000001</c:v>
                </c:pt>
                <c:pt idx="2">
                  <c:v>4.0850999999999997</c:v>
                </c:pt>
                <c:pt idx="3">
                  <c:v>4.2587210000000004</c:v>
                </c:pt>
                <c:pt idx="4">
                  <c:v>4.1828709999999996</c:v>
                </c:pt>
                <c:pt idx="5">
                  <c:v>4.4415750000000003</c:v>
                </c:pt>
                <c:pt idx="6">
                  <c:v>5.3074050000000002</c:v>
                </c:pt>
                <c:pt idx="7">
                  <c:v>5.7292670000000001</c:v>
                </c:pt>
                <c:pt idx="8">
                  <c:v>5.6791479999999996</c:v>
                </c:pt>
                <c:pt idx="9">
                  <c:v>5.5585360000000001</c:v>
                </c:pt>
                <c:pt idx="10">
                  <c:v>5.3298839999999998</c:v>
                </c:pt>
                <c:pt idx="11">
                  <c:v>5.2912270000000001</c:v>
                </c:pt>
                <c:pt idx="12">
                  <c:v>5.1208179999999999</c:v>
                </c:pt>
                <c:pt idx="13">
                  <c:v>5.0914650000000004</c:v>
                </c:pt>
                <c:pt idx="14">
                  <c:v>4.9684109999999997</c:v>
                </c:pt>
                <c:pt idx="15">
                  <c:v>4.9636579999999997</c:v>
                </c:pt>
                <c:pt idx="16">
                  <c:v>5.1898819999999999</c:v>
                </c:pt>
                <c:pt idx="17">
                  <c:v>5.2071889999999996</c:v>
                </c:pt>
                <c:pt idx="18">
                  <c:v>5.1427420000000001</c:v>
                </c:pt>
                <c:pt idx="19">
                  <c:v>5.121632</c:v>
                </c:pt>
                <c:pt idx="20">
                  <c:v>5.2721660000000004</c:v>
                </c:pt>
                <c:pt idx="21">
                  <c:v>5.3696479999999998</c:v>
                </c:pt>
                <c:pt idx="22">
                  <c:v>5.4763809999999999</c:v>
                </c:pt>
                <c:pt idx="23">
                  <c:v>5.634493</c:v>
                </c:pt>
                <c:pt idx="24">
                  <c:v>5.7224830000000004</c:v>
                </c:pt>
                <c:pt idx="25">
                  <c:v>5.8442239999999996</c:v>
                </c:pt>
                <c:pt idx="26">
                  <c:v>5.897246</c:v>
                </c:pt>
                <c:pt idx="27">
                  <c:v>5.9325760000000001</c:v>
                </c:pt>
                <c:pt idx="28">
                  <c:v>6.1697649999999999</c:v>
                </c:pt>
                <c:pt idx="29">
                  <c:v>6.259074</c:v>
                </c:pt>
                <c:pt idx="30">
                  <c:v>6.174169</c:v>
                </c:pt>
                <c:pt idx="31">
                  <c:v>6.0266859999999998</c:v>
                </c:pt>
                <c:pt idx="32">
                  <c:v>6.179265</c:v>
                </c:pt>
                <c:pt idx="33">
                  <c:v>5.8390360000000001</c:v>
                </c:pt>
                <c:pt idx="34">
                  <c:v>5.7670899999999996</c:v>
                </c:pt>
                <c:pt idx="35">
                  <c:v>5.6978080000000002</c:v>
                </c:pt>
                <c:pt idx="36">
                  <c:v>5.6523770000000004</c:v>
                </c:pt>
                <c:pt idx="37">
                  <c:v>5.7227209999999999</c:v>
                </c:pt>
                <c:pt idx="38">
                  <c:v>5.7751650000000003</c:v>
                </c:pt>
                <c:pt idx="39">
                  <c:v>5.6023160000000001</c:v>
                </c:pt>
                <c:pt idx="40">
                  <c:v>5.52339</c:v>
                </c:pt>
                <c:pt idx="41">
                  <c:v>5.4602430000000002</c:v>
                </c:pt>
                <c:pt idx="42">
                  <c:v>5.5135709999999998</c:v>
                </c:pt>
                <c:pt idx="43">
                  <c:v>5.4356609999999996</c:v>
                </c:pt>
                <c:pt idx="44">
                  <c:v>5.188841</c:v>
                </c:pt>
              </c:numCache>
            </c:numRef>
          </c:val>
          <c:smooth val="0"/>
          <c:extLst>
            <c:ext xmlns:c16="http://schemas.microsoft.com/office/drawing/2014/chart" uri="{C3380CC4-5D6E-409C-BE32-E72D297353CC}">
              <c16:uniqueId val="{00000000-F673-4D2C-A1D1-644010B9CC81}"/>
            </c:ext>
          </c:extLst>
        </c:ser>
        <c:ser>
          <c:idx val="1"/>
          <c:order val="1"/>
          <c:tx>
            <c:strRef>
              <c:f>'15+ UE'!$A$6</c:f>
              <c:strCache>
                <c:ptCount val="1"/>
                <c:pt idx="0">
                  <c:v>Canada</c:v>
                </c:pt>
              </c:strCache>
            </c:strRef>
          </c:tx>
          <c:spPr>
            <a:ln w="19050" cap="rnd">
              <a:solidFill>
                <a:schemeClr val="accent6"/>
              </a:solidFill>
              <a:prstDash val="dash"/>
              <a:round/>
            </a:ln>
            <a:effectLst/>
          </c:spPr>
          <c:marker>
            <c:symbol val="none"/>
          </c:marker>
          <c:cat>
            <c:strRef>
              <c:f>'15+ UE'!$B$4:$AT$4</c:f>
              <c:strCache>
                <c:ptCount val="45"/>
                <c:pt idx="0">
                  <c:v>Q3-2007</c:v>
                </c:pt>
                <c:pt idx="1">
                  <c:v>Q4-2007</c:v>
                </c:pt>
                <c:pt idx="2">
                  <c:v>Q1-2008</c:v>
                </c:pt>
                <c:pt idx="3">
                  <c:v>Q2-2008</c:v>
                </c:pt>
                <c:pt idx="4">
                  <c:v>Q3-2008</c:v>
                </c:pt>
                <c:pt idx="5">
                  <c:v>Q4-2008</c:v>
                </c:pt>
                <c:pt idx="6">
                  <c:v>Q1-2009</c:v>
                </c:pt>
                <c:pt idx="7">
                  <c:v>Q2-2009</c:v>
                </c:pt>
                <c:pt idx="8">
                  <c:v>Q3-2009</c:v>
                </c:pt>
                <c:pt idx="9">
                  <c:v>Q4-2009</c:v>
                </c:pt>
                <c:pt idx="10">
                  <c:v>Q1-2010</c:v>
                </c:pt>
                <c:pt idx="11">
                  <c:v>Q2-2010</c:v>
                </c:pt>
                <c:pt idx="12">
                  <c:v>Q3-2010</c:v>
                </c:pt>
                <c:pt idx="13">
                  <c:v>Q4-2010</c:v>
                </c:pt>
                <c:pt idx="14">
                  <c:v>Q1-2011</c:v>
                </c:pt>
                <c:pt idx="15">
                  <c:v>Q2-2011</c:v>
                </c:pt>
                <c:pt idx="16">
                  <c:v>Q3-2011</c:v>
                </c:pt>
                <c:pt idx="17">
                  <c:v>Q4-2011</c:v>
                </c:pt>
                <c:pt idx="18">
                  <c:v>Q1-2012</c:v>
                </c:pt>
                <c:pt idx="19">
                  <c:v>Q2-2012</c:v>
                </c:pt>
                <c:pt idx="20">
                  <c:v>Q3-2012</c:v>
                </c:pt>
                <c:pt idx="21">
                  <c:v>Q4-2012</c:v>
                </c:pt>
                <c:pt idx="22">
                  <c:v>Q1-2013</c:v>
                </c:pt>
                <c:pt idx="23">
                  <c:v>Q2-2013</c:v>
                </c:pt>
                <c:pt idx="24">
                  <c:v>Q3-2013</c:v>
                </c:pt>
                <c:pt idx="25">
                  <c:v>Q4-2013</c:v>
                </c:pt>
                <c:pt idx="26">
                  <c:v>Q1-2014</c:v>
                </c:pt>
                <c:pt idx="27">
                  <c:v>Q2-2014</c:v>
                </c:pt>
                <c:pt idx="28">
                  <c:v>Q3-2014</c:v>
                </c:pt>
                <c:pt idx="29">
                  <c:v>Q4-2014</c:v>
                </c:pt>
                <c:pt idx="30">
                  <c:v>Q1-2015</c:v>
                </c:pt>
                <c:pt idx="31">
                  <c:v>Q2-2015</c:v>
                </c:pt>
                <c:pt idx="32">
                  <c:v>Q3-2015</c:v>
                </c:pt>
                <c:pt idx="33">
                  <c:v>Q4-2015</c:v>
                </c:pt>
                <c:pt idx="34">
                  <c:v>Q1-2016</c:v>
                </c:pt>
                <c:pt idx="35">
                  <c:v>Q2-2016</c:v>
                </c:pt>
                <c:pt idx="36">
                  <c:v>Q3-2016</c:v>
                </c:pt>
                <c:pt idx="37">
                  <c:v>Q4-2016</c:v>
                </c:pt>
                <c:pt idx="38">
                  <c:v>Q1-2017</c:v>
                </c:pt>
                <c:pt idx="39">
                  <c:v>Q2-2017</c:v>
                </c:pt>
                <c:pt idx="40">
                  <c:v>Q3-2017</c:v>
                </c:pt>
                <c:pt idx="41">
                  <c:v>Q4-2017</c:v>
                </c:pt>
                <c:pt idx="42">
                  <c:v>Q1-2018</c:v>
                </c:pt>
                <c:pt idx="43">
                  <c:v>Q2-2018</c:v>
                </c:pt>
                <c:pt idx="44">
                  <c:v>Q3-2018</c:v>
                </c:pt>
              </c:strCache>
            </c:strRef>
          </c:cat>
          <c:val>
            <c:numRef>
              <c:f>'15+ UE'!$B$6:$AT$6</c:f>
              <c:numCache>
                <c:formatCode>#,##0.0_ ;\-#,##0.0\ </c:formatCode>
                <c:ptCount val="45"/>
                <c:pt idx="0">
                  <c:v>5.9333330000000002</c:v>
                </c:pt>
                <c:pt idx="1">
                  <c:v>5.9333330000000002</c:v>
                </c:pt>
                <c:pt idx="2">
                  <c:v>5.9666670000000002</c:v>
                </c:pt>
                <c:pt idx="3">
                  <c:v>6</c:v>
                </c:pt>
                <c:pt idx="4">
                  <c:v>6.1</c:v>
                </c:pt>
                <c:pt idx="5">
                  <c:v>6.5666669999999998</c:v>
                </c:pt>
                <c:pt idx="6">
                  <c:v>7.8333329999999997</c:v>
                </c:pt>
                <c:pt idx="7">
                  <c:v>8.533334</c:v>
                </c:pt>
                <c:pt idx="8">
                  <c:v>8.6</c:v>
                </c:pt>
                <c:pt idx="9">
                  <c:v>8.466666</c:v>
                </c:pt>
                <c:pt idx="10">
                  <c:v>8.2333339999999993</c:v>
                </c:pt>
                <c:pt idx="11">
                  <c:v>8</c:v>
                </c:pt>
                <c:pt idx="12">
                  <c:v>8.1</c:v>
                </c:pt>
                <c:pt idx="13">
                  <c:v>7.6666670000000003</c:v>
                </c:pt>
                <c:pt idx="14">
                  <c:v>7.7</c:v>
                </c:pt>
                <c:pt idx="15">
                  <c:v>7.5333329999999998</c:v>
                </c:pt>
                <c:pt idx="16">
                  <c:v>7.3333329999999997</c:v>
                </c:pt>
                <c:pt idx="17">
                  <c:v>7.4333330000000002</c:v>
                </c:pt>
                <c:pt idx="18">
                  <c:v>7.4666670000000002</c:v>
                </c:pt>
                <c:pt idx="19">
                  <c:v>7.3</c:v>
                </c:pt>
                <c:pt idx="20">
                  <c:v>7.266667</c:v>
                </c:pt>
                <c:pt idx="21">
                  <c:v>7.266667</c:v>
                </c:pt>
                <c:pt idx="22">
                  <c:v>7.1666670000000003</c:v>
                </c:pt>
                <c:pt idx="23">
                  <c:v>7.0666669999999998</c:v>
                </c:pt>
                <c:pt idx="24">
                  <c:v>7.1</c:v>
                </c:pt>
                <c:pt idx="25">
                  <c:v>7.0666669999999998</c:v>
                </c:pt>
                <c:pt idx="26">
                  <c:v>7</c:v>
                </c:pt>
                <c:pt idx="27">
                  <c:v>7</c:v>
                </c:pt>
                <c:pt idx="28">
                  <c:v>7</c:v>
                </c:pt>
                <c:pt idx="29">
                  <c:v>6.7</c:v>
                </c:pt>
                <c:pt idx="30">
                  <c:v>6.733333</c:v>
                </c:pt>
                <c:pt idx="31">
                  <c:v>6.8333329999999997</c:v>
                </c:pt>
                <c:pt idx="32">
                  <c:v>6.9666670000000002</c:v>
                </c:pt>
                <c:pt idx="33">
                  <c:v>7.0666669999999998</c:v>
                </c:pt>
                <c:pt idx="34">
                  <c:v>7.1333330000000004</c:v>
                </c:pt>
                <c:pt idx="35">
                  <c:v>6.9333330000000002</c:v>
                </c:pt>
                <c:pt idx="36">
                  <c:v>7</c:v>
                </c:pt>
                <c:pt idx="37">
                  <c:v>6.8666669999999996</c:v>
                </c:pt>
                <c:pt idx="38">
                  <c:v>6.6333330000000004</c:v>
                </c:pt>
                <c:pt idx="39">
                  <c:v>6.4666670000000002</c:v>
                </c:pt>
                <c:pt idx="40">
                  <c:v>6.233333</c:v>
                </c:pt>
                <c:pt idx="41">
                  <c:v>5.9666670000000002</c:v>
                </c:pt>
                <c:pt idx="42">
                  <c:v>5.8333329999999997</c:v>
                </c:pt>
                <c:pt idx="43">
                  <c:v>5.8666669999999996</c:v>
                </c:pt>
                <c:pt idx="44">
                  <c:v>5.9</c:v>
                </c:pt>
              </c:numCache>
            </c:numRef>
          </c:val>
          <c:smooth val="0"/>
          <c:extLst>
            <c:ext xmlns:c16="http://schemas.microsoft.com/office/drawing/2014/chart" uri="{C3380CC4-5D6E-409C-BE32-E72D297353CC}">
              <c16:uniqueId val="{00000001-F673-4D2C-A1D1-644010B9CC81}"/>
            </c:ext>
          </c:extLst>
        </c:ser>
        <c:dLbls>
          <c:showLegendKey val="0"/>
          <c:showVal val="0"/>
          <c:showCatName val="0"/>
          <c:showSerName val="0"/>
          <c:showPercent val="0"/>
          <c:showBubbleSize val="0"/>
        </c:dLbls>
        <c:smooth val="0"/>
        <c:axId val="347278744"/>
        <c:axId val="347277176"/>
      </c:lineChart>
      <c:catAx>
        <c:axId val="347278744"/>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77176"/>
        <c:crosses val="autoZero"/>
        <c:auto val="1"/>
        <c:lblAlgn val="ctr"/>
        <c:lblOffset val="100"/>
        <c:noMultiLvlLbl val="0"/>
      </c:catAx>
      <c:valAx>
        <c:axId val="347277176"/>
        <c:scaling>
          <c:orientation val="minMax"/>
        </c:scaling>
        <c:delete val="0"/>
        <c:axPos val="l"/>
        <c:numFmt formatCode="#,##0.0_ ;\-#,##0.0\ "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787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0.21988</cdr:x>
      <cdr:y>0.19412</cdr:y>
    </cdr:from>
    <cdr:to>
      <cdr:x>0.45537</cdr:x>
      <cdr:y>0.29789</cdr:y>
    </cdr:to>
    <cdr:sp macro="" textlink="">
      <cdr:nvSpPr>
        <cdr:cNvPr id="2" name="Text Box 1"/>
        <cdr:cNvSpPr txBox="1"/>
      </cdr:nvSpPr>
      <cdr:spPr>
        <a:xfrm xmlns:a="http://schemas.openxmlformats.org/drawingml/2006/main">
          <a:off x="639336" y="599934"/>
          <a:ext cx="684726" cy="3207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solidFill>
                <a:schemeClr val="tx1">
                  <a:lumMod val="65000"/>
                  <a:lumOff val="35000"/>
                </a:schemeClr>
              </a:solidFill>
            </a:rPr>
            <a:t>Percentage of gross value added</a:t>
          </a:r>
        </a:p>
      </cdr:txBody>
    </cdr:sp>
  </cdr:relSizeAnchor>
  <cdr:relSizeAnchor xmlns:cdr="http://schemas.openxmlformats.org/drawingml/2006/chartDrawing">
    <cdr:from>
      <cdr:x>0.01341</cdr:x>
      <cdr:y>0.8792</cdr:y>
    </cdr:from>
    <cdr:to>
      <cdr:x>0.98815</cdr:x>
      <cdr:y>1</cdr:y>
    </cdr:to>
    <cdr:sp macro="" textlink="">
      <cdr:nvSpPr>
        <cdr:cNvPr id="3" name="Text Box 2"/>
        <cdr:cNvSpPr txBox="1"/>
      </cdr:nvSpPr>
      <cdr:spPr>
        <a:xfrm xmlns:a="http://schemas.openxmlformats.org/drawingml/2006/main">
          <a:off x="39003" y="2717198"/>
          <a:ext cx="2834206" cy="373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600"/>
        </a:p>
      </cdr:txBody>
    </cdr:sp>
  </cdr:relSizeAnchor>
</c:userShapes>
</file>

<file path=word/drawings/drawing2.xml><?xml version="1.0" encoding="utf-8"?>
<c:userShapes xmlns:c="http://schemas.openxmlformats.org/drawingml/2006/chart">
  <cdr:relSizeAnchor xmlns:cdr="http://schemas.openxmlformats.org/drawingml/2006/chartDrawing">
    <cdr:from>
      <cdr:x>0.09969</cdr:x>
      <cdr:y>0.00619</cdr:y>
    </cdr:from>
    <cdr:to>
      <cdr:x>0.88785</cdr:x>
      <cdr:y>0.1548</cdr:y>
    </cdr:to>
    <cdr:sp macro="" textlink="">
      <cdr:nvSpPr>
        <cdr:cNvPr id="2" name="Text Box 1"/>
        <cdr:cNvSpPr txBox="1"/>
      </cdr:nvSpPr>
      <cdr:spPr>
        <a:xfrm xmlns:a="http://schemas.openxmlformats.org/drawingml/2006/main">
          <a:off x="304799" y="19050"/>
          <a:ext cx="24098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Business</a:t>
          </a:r>
          <a:r>
            <a:rPr lang="en-US" sz="1100" b="1" baseline="0"/>
            <a:t> expenditure on R&amp;D, 2017*</a:t>
          </a:r>
          <a:endParaRPr lang="en-US" sz="1100" b="1"/>
        </a:p>
      </cdr:txBody>
    </cdr:sp>
  </cdr:relSizeAnchor>
  <cdr:relSizeAnchor xmlns:cdr="http://schemas.openxmlformats.org/drawingml/2006/chartDrawing">
    <cdr:from>
      <cdr:x>0.31365</cdr:x>
      <cdr:y>0.20266</cdr:y>
    </cdr:from>
    <cdr:to>
      <cdr:x>0.5376</cdr:x>
      <cdr:y>0.30689</cdr:y>
    </cdr:to>
    <cdr:sp macro="" textlink="">
      <cdr:nvSpPr>
        <cdr:cNvPr id="3" name="Text Box 1"/>
        <cdr:cNvSpPr txBox="1"/>
      </cdr:nvSpPr>
      <cdr:spPr>
        <a:xfrm xmlns:a="http://schemas.openxmlformats.org/drawingml/2006/main">
          <a:off x="959005" y="626702"/>
          <a:ext cx="684733" cy="3223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tx1">
                  <a:lumMod val="65000"/>
                  <a:lumOff val="35000"/>
                </a:schemeClr>
              </a:solidFill>
            </a:rPr>
            <a:t>Percentage of GDP</a:t>
          </a:r>
        </a:p>
      </cdr:txBody>
    </cdr:sp>
  </cdr:relSizeAnchor>
</c:userShapes>
</file>

<file path=word/drawings/drawing3.xml><?xml version="1.0" encoding="utf-8"?>
<c:userShapes xmlns:c="http://schemas.openxmlformats.org/drawingml/2006/chart">
  <cdr:relSizeAnchor xmlns:cdr="http://schemas.openxmlformats.org/drawingml/2006/chartDrawing">
    <cdr:from>
      <cdr:x>0.12508</cdr:x>
      <cdr:y>0.33995</cdr:y>
    </cdr:from>
    <cdr:to>
      <cdr:x>0.98906</cdr:x>
      <cdr:y>0.34204</cdr:y>
    </cdr:to>
    <cdr:cxnSp macro="">
      <cdr:nvCxnSpPr>
        <cdr:cNvPr id="3" name="Straight Connector 2"/>
        <cdr:cNvCxnSpPr/>
      </cdr:nvCxnSpPr>
      <cdr:spPr>
        <a:xfrm xmlns:a="http://schemas.openxmlformats.org/drawingml/2006/main" flipV="1">
          <a:off x="362973" y="1103087"/>
          <a:ext cx="2507227" cy="6781"/>
        </a:xfrm>
        <a:prstGeom xmlns:a="http://schemas.openxmlformats.org/drawingml/2006/main" prst="line">
          <a:avLst/>
        </a:prstGeom>
        <a:ln xmlns:a="http://schemas.openxmlformats.org/drawingml/2006/main" w="19050">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0.12563</cdr:x>
      <cdr:y>0.20294</cdr:y>
    </cdr:from>
    <cdr:to>
      <cdr:x>0.64333</cdr:x>
      <cdr:y>0.29487</cdr:y>
    </cdr:to>
    <cdr:sp macro="" textlink="">
      <cdr:nvSpPr>
        <cdr:cNvPr id="4" name="TextBox 3"/>
        <cdr:cNvSpPr txBox="1"/>
      </cdr:nvSpPr>
      <cdr:spPr>
        <a:xfrm xmlns:a="http://schemas.openxmlformats.org/drawingml/2006/main">
          <a:off x="364572" y="658510"/>
          <a:ext cx="1502328" cy="298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200" dirty="0" smtClean="0"/>
            <a:t>OECD average (0.32)</a:t>
          </a:r>
          <a:endParaRPr lang="en-CA" sz="1200" dirty="0"/>
        </a:p>
      </cdr:txBody>
    </cdr:sp>
  </cdr:relSizeAnchor>
  <cdr:relSizeAnchor xmlns:cdr="http://schemas.openxmlformats.org/drawingml/2006/chartDrawing">
    <cdr:from>
      <cdr:x>0.28381</cdr:x>
      <cdr:y>0.27802</cdr:y>
    </cdr:from>
    <cdr:to>
      <cdr:x>0.34233</cdr:x>
      <cdr:y>0.32291</cdr:y>
    </cdr:to>
    <cdr:cxnSp macro="">
      <cdr:nvCxnSpPr>
        <cdr:cNvPr id="5" name="Straight Connector 4"/>
        <cdr:cNvCxnSpPr/>
      </cdr:nvCxnSpPr>
      <cdr:spPr>
        <a:xfrm xmlns:a="http://schemas.openxmlformats.org/drawingml/2006/main" flipH="1" flipV="1">
          <a:off x="823594" y="902128"/>
          <a:ext cx="169823" cy="145661"/>
        </a:xfrm>
        <a:prstGeom xmlns:a="http://schemas.openxmlformats.org/drawingml/2006/main" prst="line">
          <a:avLst/>
        </a:prstGeom>
        <a:ln xmlns:a="http://schemas.openxmlformats.org/drawingml/2006/main">
          <a:solidFill>
            <a:schemeClr val="tx1"/>
          </a:solidFill>
          <a:headEnd type="non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0.65806</cdr:x>
      <cdr:y>0.1462</cdr:y>
    </cdr:from>
    <cdr:to>
      <cdr:x>0.66203</cdr:x>
      <cdr:y>0.85717</cdr:y>
    </cdr:to>
    <cdr:cxnSp macro="">
      <cdr:nvCxnSpPr>
        <cdr:cNvPr id="2" name="Straight Connector 1"/>
        <cdr:cNvCxnSpPr/>
      </cdr:nvCxnSpPr>
      <cdr:spPr>
        <a:xfrm xmlns:a="http://schemas.openxmlformats.org/drawingml/2006/main" flipH="1">
          <a:off x="2101885" y="476263"/>
          <a:ext cx="12680" cy="2316020"/>
        </a:xfrm>
        <a:prstGeom xmlns:a="http://schemas.openxmlformats.org/drawingml/2006/main" prst="line">
          <a:avLst/>
        </a:prstGeom>
        <a:ln xmlns:a="http://schemas.openxmlformats.org/drawingml/2006/main" w="19050">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0.74265</cdr:x>
      <cdr:y>0.59434</cdr:y>
    </cdr:from>
    <cdr:to>
      <cdr:x>0.93638</cdr:x>
      <cdr:y>0.6985</cdr:y>
    </cdr:to>
    <cdr:sp macro="" textlink="">
      <cdr:nvSpPr>
        <cdr:cNvPr id="5" name="TextBox 1"/>
        <cdr:cNvSpPr txBox="1"/>
      </cdr:nvSpPr>
      <cdr:spPr>
        <a:xfrm xmlns:a="http://schemas.openxmlformats.org/drawingml/2006/main">
          <a:off x="2372067" y="1936092"/>
          <a:ext cx="618783" cy="3393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1000" dirty="0" smtClean="0"/>
            <a:t>OECD average (32</a:t>
          </a:r>
          <a:r>
            <a:rPr lang="en-CA" sz="1000" dirty="0" smtClean="0">
              <a:latin typeface="+mn-lt"/>
              <a:ea typeface="+mn-ea"/>
              <a:cs typeface="+mn-cs"/>
            </a:rPr>
            <a:t>%</a:t>
          </a:r>
          <a:r>
            <a:rPr lang="en-CA" sz="1000" dirty="0" smtClean="0"/>
            <a:t>)</a:t>
          </a:r>
          <a:endParaRPr lang="en-CA" sz="1000" dirty="0"/>
        </a:p>
      </cdr:txBody>
    </cdr:sp>
  </cdr:relSizeAnchor>
  <cdr:relSizeAnchor xmlns:cdr="http://schemas.openxmlformats.org/drawingml/2006/chartDrawing">
    <cdr:from>
      <cdr:x>0.68603</cdr:x>
      <cdr:y>0.69589</cdr:y>
    </cdr:from>
    <cdr:to>
      <cdr:x>0.74277</cdr:x>
      <cdr:y>0.73351</cdr:y>
    </cdr:to>
    <cdr:cxnSp macro="">
      <cdr:nvCxnSpPr>
        <cdr:cNvPr id="6" name="Straight Connector 5"/>
        <cdr:cNvCxnSpPr/>
      </cdr:nvCxnSpPr>
      <cdr:spPr>
        <a:xfrm xmlns:a="http://schemas.openxmlformats.org/drawingml/2006/main" flipH="1">
          <a:off x="2191204" y="2266905"/>
          <a:ext cx="181230" cy="122549"/>
        </a:xfrm>
        <a:prstGeom xmlns:a="http://schemas.openxmlformats.org/drawingml/2006/main" prst="line">
          <a:avLst/>
        </a:prstGeom>
        <a:ln xmlns:a="http://schemas.openxmlformats.org/drawingml/2006/main">
          <a:solidFill>
            <a:schemeClr val="tx1"/>
          </a:solidFill>
          <a:headEnd type="non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0.52089</cdr:x>
      <cdr:y>0.91478</cdr:y>
    </cdr:from>
    <cdr:to>
      <cdr:x>0.71934</cdr:x>
      <cdr:y>1</cdr:y>
    </cdr:to>
    <cdr:sp macro="" textlink="">
      <cdr:nvSpPr>
        <cdr:cNvPr id="7" name="TextBox 22"/>
        <cdr:cNvSpPr txBox="1"/>
      </cdr:nvSpPr>
      <cdr:spPr>
        <a:xfrm xmlns:a="http://schemas.openxmlformats.org/drawingml/2006/main">
          <a:off x="1663756" y="2979942"/>
          <a:ext cx="633859" cy="277608"/>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CA" sz="1000" dirty="0" smtClean="0"/>
            <a:t>Per cent</a:t>
          </a:r>
          <a:endParaRPr lang="en-CA" sz="10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EA40AC8314B62849863C79CB39A7E8FA" ma:contentTypeVersion="11" ma:contentTypeDescription="PMC Document" ma:contentTypeScope="" ma:versionID="eadea53713e241ab11bd003c759a383e">
  <xsd:schema xmlns:xsd="http://www.w3.org/2001/XMLSchema" xmlns:xs="http://www.w3.org/2001/XMLSchema" xmlns:p="http://schemas.microsoft.com/office/2006/metadata/properties" xmlns:ns1="63134daf-f59e-4db7-a35c-450a99b2ffd7" xmlns:ns3="685f9fda-bd71-4433-b331-92feb9553089" targetNamespace="http://schemas.microsoft.com/office/2006/metadata/properties" ma:root="true" ma:fieldsID="402bd145446d5de8019a4c6cdf5d6a3c" ns1:_="" ns3:_="">
    <xsd:import namespace="63134daf-f59e-4db7-a35c-450a99b2ffd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jf43624ff82d476f950aa6325c587b1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34daf-f59e-4db7-a35c-450a99b2ffd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6cc00d-7fb9-4d4c-8c6f-1d7c7535a8e8}" ma:internalName="TaxCatchAll" ma:showField="CatchAllData" ma:web="63134daf-f59e-4db7-a35c-450a99b2ffd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6cc00d-7fb9-4d4c-8c6f-1d7c7535a8e8}" ma:internalName="TaxCatchAllLabel" ma:readOnly="true" ma:showField="CatchAllDataLabel" ma:web="63134daf-f59e-4db7-a35c-450a99b2ffd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f43624ff82d476f950aa6325c587b1a" ma:index="18" nillable="true" ma:taxonomy="true" ma:internalName="jf43624ff82d476f950aa6325c587b1a" ma:taxonomyFieldName="ESearchTags" ma:displayName="Tags" ma:fieldId="{3f43624f-f82d-476f-950a-a6325c587b1a}"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134daf-f59e-4db7-a35c-450a99b2ffd7">
      <Value>13</Value>
      <Value>12</Value>
      <Value>24</Value>
      <Value>18</Value>
      <Value>19</Value>
      <Value>1</Value>
    </TaxCatchAll>
    <PMCNotes xmlns="63134daf-f59e-4db7-a35c-450a99b2ffd7" xsi:nil="true"/>
    <ShareHubID xmlns="63134daf-f59e-4db7-a35c-450a99b2ffd7">DOC18-432591</ShareHubID>
    <jf43624ff82d476f950aa6325c587b1a xmlns="63134daf-f59e-4db7-a35c-450a99b2ffd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Unclassified</TermName>
          <TermId xmlns="http://schemas.microsoft.com/office/infopath/2007/PartnerControls">b9f8e2f7-525e-4bf1-b1ab-95851883fd09</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G20</TermName>
          <TermId xmlns="http://schemas.microsoft.com/office/infopath/2007/PartnerControls">db353482-d3c2-4523-aae8-afa3f70b7fb2</TermId>
        </TermInfo>
      </Terms>
    </jf43624ff82d476f950aa6325c587b1a>
    <NonRecordJustification xmlns="685f9fda-bd71-4433-b331-92feb9553089">None</NonRecordJustification>
    <mc5611b894cf49d8aeeb8ebf39dc09bc xmlns="63134daf-f59e-4db7-a35c-450a99b2ffd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63134daf-f59e-4db7-a35c-450a99b2ffd7">
      <Terms xmlns="http://schemas.microsoft.com/office/infopath/2007/PartnerControls"/>
    </jd1c641577414dfdab1686c9d5d0dbd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B260B-8413-4740-9286-CB607BCFA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34daf-f59e-4db7-a35c-450a99b2ffd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1F4FD-3881-4572-A552-CB87CCB902F8}">
  <ds:schemaRefs>
    <ds:schemaRef ds:uri="http://schemas.microsoft.com/sharepoint/v3/contenttype/forms"/>
  </ds:schemaRefs>
</ds:datastoreItem>
</file>

<file path=customXml/itemProps3.xml><?xml version="1.0" encoding="utf-8"?>
<ds:datastoreItem xmlns:ds="http://schemas.openxmlformats.org/officeDocument/2006/customXml" ds:itemID="{A65489A4-980E-4F9E-8790-1A022507C081}">
  <ds:schemaRefs>
    <ds:schemaRef ds:uri="685f9fda-bd71-4433-b331-92feb9553089"/>
    <ds:schemaRef ds:uri="http://schemas.openxmlformats.org/package/2006/metadata/core-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63134daf-f59e-4db7-a35c-450a99b2ffd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E07EDF6-B5DA-415B-9D36-58B348D8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11089</Words>
  <Characters>63209</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74150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Dylan</dc:creator>
  <cp:keywords/>
  <dc:description/>
  <cp:lastModifiedBy>Busby, Jason</cp:lastModifiedBy>
  <cp:revision>2</cp:revision>
  <cp:lastPrinted>2018-12-18T20:34:00Z</cp:lastPrinted>
  <dcterms:created xsi:type="dcterms:W3CDTF">2019-01-04T20:01:00Z</dcterms:created>
  <dcterms:modified xsi:type="dcterms:W3CDTF">2019-01-04T20:01:00Z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0x0101002825A64A6E1845A99A9D8EE8A5686ECB00EA40AC8314B62849863C79CB39A7E8FA</vt:lpwstr>
  </property>
  <property fmtid="{D5CDD505-2E9C-101B-9397-08002B2CF9AE}" pid="3" name="TSYRecordClass">
    <vt:lpwstr>2;#TSY RA-9081 - Retain as national archives|bbf0bcde-1687-4ff2-bc57-f31b5d545d4b</vt:lpwstr>
  </property>
  <property fmtid="{D5CDD505-2E9C-101B-9397-08002B2CF9AE}" pid="4" name="_dlc_DocIdItemGuid">
    <vt:lpwstr>a00095dd-9aee-4519-bc53-8749b9b894d9</vt:lpwstr>
  </property>
  <property fmtid="{D5CDD505-2E9C-101B-9397-08002B2CF9AE}" pid="5" name="RecordPoint_WorkflowType">
    <vt:lpwstr>ActiveSubmitStub</vt:lpwstr>
  </property>
  <property fmtid="{D5CDD505-2E9C-101B-9397-08002B2CF9AE}" pid="6" name="RecordPoint_ActiveItemSiteId">
    <vt:lpwstr>{08cedf7d-7ad2-4b81-a81f-47e3ec332c41}</vt:lpwstr>
  </property>
  <property fmtid="{D5CDD505-2E9C-101B-9397-08002B2CF9AE}" pid="7" name="RecordPoint_ActiveItemListId">
    <vt:lpwstr>{020b99f8-d659-456c-88bf-b1c791ab809a}</vt:lpwstr>
  </property>
  <property fmtid="{D5CDD505-2E9C-101B-9397-08002B2CF9AE}" pid="8" name="RecordPoint_ActiveItemUniqueId">
    <vt:lpwstr>{5a05cd34-8c23-476b-aa30-4491690ffe27}</vt:lpwstr>
  </property>
  <property fmtid="{D5CDD505-2E9C-101B-9397-08002B2CF9AE}" pid="9" name="RecordPoint_ActiveItemWebId">
    <vt:lpwstr>{682871c2-4073-4158-957a-6d924b9ba0a6}</vt:lpwstr>
  </property>
  <property fmtid="{D5CDD505-2E9C-101B-9397-08002B2CF9AE}" pid="10" name="RecordPoint_SubmissionDate">
    <vt:lpwstr/>
  </property>
  <property fmtid="{D5CDD505-2E9C-101B-9397-08002B2CF9AE}" pid="11" name="RecordPoint_RecordNumberSubmitted">
    <vt:lpwstr>R0001209530</vt:lpwstr>
  </property>
  <property fmtid="{D5CDD505-2E9C-101B-9397-08002B2CF9AE}" pid="12" name="RecordPoint_ActiveItemMoved">
    <vt:lpwstr/>
  </property>
  <property fmtid="{D5CDD505-2E9C-101B-9397-08002B2CF9AE}" pid="13" name="RecordPoint_RecordFormat">
    <vt:lpwstr/>
  </property>
  <property fmtid="{D5CDD505-2E9C-101B-9397-08002B2CF9AE}" pid="14" name="_NewReviewCycle">
    <vt:lpwstr/>
  </property>
  <property fmtid="{D5CDD505-2E9C-101B-9397-08002B2CF9AE}" pid="15" name="RecordPoint_SubmissionCompleted">
    <vt:lpwstr>2017-02-17T16:47:27.3373370+11:00</vt:lpwstr>
  </property>
  <property fmtid="{D5CDD505-2E9C-101B-9397-08002B2CF9AE}" pid="16" name="HPRMSecurityLevel">
    <vt:lpwstr>1;#UNCLASSIFIED|9c49a7c7-17c7-412f-8077-62dec89b9196</vt:lpwstr>
  </property>
  <property fmtid="{D5CDD505-2E9C-101B-9397-08002B2CF9AE}" pid="17" name="HPRMSecurityCaveat">
    <vt:lpwstr/>
  </property>
  <property fmtid="{D5CDD505-2E9C-101B-9397-08002B2CF9AE}" pid="18" name="DocHub_Year">
    <vt:lpwstr/>
  </property>
  <property fmtid="{D5CDD505-2E9C-101B-9397-08002B2CF9AE}" pid="19" name="DocHub_DocumentType">
    <vt:lpwstr>32;#Submission|3407b47c-0a22-4cac-8385-04198c3d2cb3</vt:lpwstr>
  </property>
  <property fmtid="{D5CDD505-2E9C-101B-9397-08002B2CF9AE}" pid="20" name="DocHub_SecurityClassification">
    <vt:lpwstr>30;#UNCLASSIFIED|6106d03b-a1a0-4e30-9d91-d5e9fb4314f9</vt:lpwstr>
  </property>
  <property fmtid="{D5CDD505-2E9C-101B-9397-08002B2CF9AE}" pid="21" name="DocHub_WorkActivity">
    <vt:lpwstr/>
  </property>
  <property fmtid="{D5CDD505-2E9C-101B-9397-08002B2CF9AE}" pid="22" name="DocHub_Keywords">
    <vt:lpwstr/>
  </property>
  <property fmtid="{D5CDD505-2E9C-101B-9397-08002B2CF9AE}" pid="23" name="h340abcd533648e7a9601f2c89ff7605">
    <vt:lpwstr>Politique stratégiques|a2f2d5e7-bc7e-460a-8575-3396a314d928</vt:lpwstr>
  </property>
  <property fmtid="{D5CDD505-2E9C-101B-9397-08002B2CF9AE}" pid="24" name="BusinessFunction">
    <vt:lpwstr>74;#Strategic Policy|fd7d178f-53da-4d33-9439-82ce873fbf3d</vt:lpwstr>
  </property>
  <property fmtid="{D5CDD505-2E9C-101B-9397-08002B2CF9AE}" pid="25" name="Recipient">
    <vt:lpwstr>2;#Executive|d979b0c4-faa0-46db-bf3a-8ea0445e4226</vt:lpwstr>
  </property>
  <property fmtid="{D5CDD505-2E9C-101B-9397-08002B2CF9AE}" pid="26" name="FonctionOpérationnelle">
    <vt:lpwstr>749;#Politique stratégiques|a2f2d5e7-bc7e-460a-8575-3396a314d928</vt:lpwstr>
  </property>
  <property fmtid="{D5CDD505-2E9C-101B-9397-08002B2CF9AE}" pid="27" name="SecurityClassification">
    <vt:lpwstr>971;#UNCLASSIFIED|382dea39-7c2d-421d-af66-ee4cfb3548b1</vt:lpwstr>
  </property>
  <property fmtid="{D5CDD505-2E9C-101B-9397-08002B2CF9AE}" pid="28" name="TaxKeyword">
    <vt:lpwstr/>
  </property>
  <property fmtid="{D5CDD505-2E9C-101B-9397-08002B2CF9AE}" pid="29" name="GeographicRegion0">
    <vt:lpwstr/>
  </property>
  <property fmtid="{D5CDD505-2E9C-101B-9397-08002B2CF9AE}" pid="30" name="n99e4c9942c6404eb103464a00e6097b">
    <vt:lpwstr>2018|224abc7b-6f7e-4064-b773-6750976429b5</vt:lpwstr>
  </property>
  <property fmtid="{D5CDD505-2E9C-101B-9397-08002B2CF9AE}" pid="31" name="Topic">
    <vt:lpwstr>560;#Inequality, poverty, inclusive growth|85157ce3-767b-4870-863b-059c325ae40e</vt:lpwstr>
  </property>
  <property fmtid="{D5CDD505-2E9C-101B-9397-08002B2CF9AE}" pid="32" name="EconomicTheme0">
    <vt:lpwstr/>
  </property>
  <property fmtid="{D5CDD505-2E9C-101B-9397-08002B2CF9AE}" pid="33" name="g7bcb40ba23249a78edca7d43a67c1c9">
    <vt:lpwstr>Drafting|5fe11d9d-5f5a-4301-b7b3-0d2ee8e5c31c</vt:lpwstr>
  </property>
  <property fmtid="{D5CDD505-2E9C-101B-9397-08002B2CF9AE}" pid="34" name="Entity">
    <vt:lpwstr/>
  </property>
  <property fmtid="{D5CDD505-2E9C-101B-9397-08002B2CF9AE}" pid="35" name="ProgramInventory0">
    <vt:lpwstr>Economic and Fiscal Policy, Planning and Forecasting|89cf1d17-c659-4650-a1b1-c14dbaed6a52</vt:lpwstr>
  </property>
  <property fmtid="{D5CDD505-2E9C-101B-9397-08002B2CF9AE}" pid="36" name="ClientDivision">
    <vt:lpwstr/>
  </property>
  <property fmtid="{D5CDD505-2E9C-101B-9397-08002B2CF9AE}" pid="37" name="LegalInstrument">
    <vt:lpwstr/>
  </property>
  <property fmtid="{D5CDD505-2E9C-101B-9397-08002B2CF9AE}" pid="38" name="ProgramInventory">
    <vt:lpwstr>96;#Economic and Fiscal Policy, Planning and Forecasting|89cf1d17-c659-4650-a1b1-c14dbaed6a52</vt:lpwstr>
  </property>
  <property fmtid="{D5CDD505-2E9C-101B-9397-08002B2CF9AE}" pid="39" name="RecipientTitle">
    <vt:lpwstr/>
  </property>
  <property fmtid="{D5CDD505-2E9C-101B-9397-08002B2CF9AE}" pid="40" name="EconomicTheme">
    <vt:lpwstr/>
  </property>
  <property fmtid="{D5CDD505-2E9C-101B-9397-08002B2CF9AE}" pid="41" name="FederalTransferProgram">
    <vt:lpwstr/>
  </property>
  <property fmtid="{D5CDD505-2E9C-101B-9397-08002B2CF9AE}" pid="42" name="FederalTransferProgram0">
    <vt:lpwstr/>
  </property>
  <property fmtid="{D5CDD505-2E9C-101B-9397-08002B2CF9AE}" pid="43" name="ClientDivision0">
    <vt:lpwstr/>
  </property>
  <property fmtid="{D5CDD505-2E9C-101B-9397-08002B2CF9AE}" pid="44" name="ClientBranch">
    <vt:lpwstr/>
  </property>
  <property fmtid="{D5CDD505-2E9C-101B-9397-08002B2CF9AE}" pid="45" name="Steward0">
    <vt:lpwstr/>
  </property>
  <property fmtid="{D5CDD505-2E9C-101B-9397-08002B2CF9AE}" pid="46" name="ie6df9491d404da795a59a49c360165a">
    <vt:lpwstr/>
  </property>
  <property fmtid="{D5CDD505-2E9C-101B-9397-08002B2CF9AE}" pid="47" name="pe2555c81638466f9eb614edb9ecde52">
    <vt:lpwstr>Paper|4fd73e9f-ceb6-4d3f-8d1d-e6ca9b922532</vt:lpwstr>
  </property>
  <property fmtid="{D5CDD505-2E9C-101B-9397-08002B2CF9AE}" pid="48" name="adb9bed2e36e4a93af574aeb444da63e">
    <vt:lpwstr>SPR|a0fc5849-d363-489d-9559-cfffd8d1ebd1;Canada|d4d3fcbd-a681-414a-a324-35fc204987ec;CAPPI|b30101e2-9ad6-445e-9fd1-69b3dda5d89f</vt:lpwstr>
  </property>
  <property fmtid="{D5CDD505-2E9C-101B-9397-08002B2CF9AE}" pid="49" name="DocumentType">
    <vt:lpwstr>82;#Analysis|224d5258-9d26-4886-a840-44af17e85c69</vt:lpwstr>
  </property>
  <property fmtid="{D5CDD505-2E9C-101B-9397-08002B2CF9AE}" pid="50" name="SubDomain">
    <vt:lpwstr>808;#Inequality, Poverty, Inclusive Growth|ce21428a-1d47-4132-88af-8bb5af5d2051</vt:lpwstr>
  </property>
  <property fmtid="{D5CDD505-2E9C-101B-9397-08002B2CF9AE}" pid="51" name="StewardBranch">
    <vt:lpwstr>94;#Economic and Fiscal Policy Branch|c3c72175-93ca-40d2-9a90-42777712e95a</vt:lpwstr>
  </property>
  <property fmtid="{D5CDD505-2E9C-101B-9397-08002B2CF9AE}" pid="52" name="LegalInstrument0">
    <vt:lpwstr/>
  </property>
  <property fmtid="{D5CDD505-2E9C-101B-9397-08002B2CF9AE}" pid="53" name="DocumentLanguage">
    <vt:lpwstr/>
  </property>
  <property fmtid="{D5CDD505-2E9C-101B-9397-08002B2CF9AE}" pid="54" name="DocumentLanguage0">
    <vt:lpwstr/>
  </property>
  <property fmtid="{D5CDD505-2E9C-101B-9397-08002B2CF9AE}" pid="55" name="StewardSection">
    <vt:lpwstr/>
  </property>
  <property fmtid="{D5CDD505-2E9C-101B-9397-08002B2CF9AE}" pid="56" name="Stakeholder">
    <vt:lpwstr/>
  </property>
  <property fmtid="{D5CDD505-2E9C-101B-9397-08002B2CF9AE}" pid="57" name="Stakeholder0">
    <vt:lpwstr/>
  </property>
  <property fmtid="{D5CDD505-2E9C-101B-9397-08002B2CF9AE}" pid="58" name="DocumentType0">
    <vt:lpwstr>Analysis|224d5258-9d26-4886-a840-44af17e85c69</vt:lpwstr>
  </property>
  <property fmtid="{D5CDD505-2E9C-101B-9397-08002B2CF9AE}" pid="59" name="GeographicRegion">
    <vt:lpwstr/>
  </property>
  <property fmtid="{D5CDD505-2E9C-101B-9397-08002B2CF9AE}" pid="60" name="e0bfc5a1b6394e0a9addc91b4ac1cff2">
    <vt:lpwstr/>
  </property>
  <property fmtid="{D5CDD505-2E9C-101B-9397-08002B2CF9AE}" pid="61" name="PublishedReleased">
    <vt:bool>false</vt:bool>
  </property>
  <property fmtid="{D5CDD505-2E9C-101B-9397-08002B2CF9AE}" pid="62" name="OrganizerHost">
    <vt:lpwstr/>
  </property>
  <property fmtid="{D5CDD505-2E9C-101B-9397-08002B2CF9AE}" pid="63" name="OrganizerHost0">
    <vt:lpwstr/>
  </property>
  <property fmtid="{D5CDD505-2E9C-101B-9397-08002B2CF9AE}" pid="64" name="ReleaseCriteria">
    <vt:lpwstr/>
  </property>
  <property fmtid="{D5CDD505-2E9C-101B-9397-08002B2CF9AE}" pid="65" name="StewardDivision">
    <vt:lpwstr>158;#Economic Studies and Policy Analysis Division|a5b47d5d-86de-419c-b836-f91b5cdb0285</vt:lpwstr>
  </property>
  <property fmtid="{D5CDD505-2E9C-101B-9397-08002B2CF9AE}" pid="66" name="Year">
    <vt:lpwstr>28;#2018|fb041a46-1f96-484d-a60e-542816d0356f;#30;#2019|99a08f39-db69-483f-abb0-5ab658b3846e</vt:lpwstr>
  </property>
  <property fmtid="{D5CDD505-2E9C-101B-9397-08002B2CF9AE}" pid="67" name="ClientBranch0">
    <vt:lpwstr/>
  </property>
  <property fmtid="{D5CDD505-2E9C-101B-9397-08002B2CF9AE}" pid="68" name="DisseminationControlMarkings">
    <vt:lpwstr/>
  </property>
  <property fmtid="{D5CDD505-2E9C-101B-9397-08002B2CF9AE}" pid="69" name="ReleaseCriteria0">
    <vt:lpwstr/>
  </property>
  <property fmtid="{D5CDD505-2E9C-101B-9397-08002B2CF9AE}" pid="70" name="aa25a1a23adf4c92a153145de6afe324">
    <vt:lpwstr>UNCLASSIFIED|6106d03b-a1a0-4e30-9d91-d5e9fb4314f9</vt:lpwstr>
  </property>
  <property fmtid="{D5CDD505-2E9C-101B-9397-08002B2CF9AE}" pid="71" name="Topic0">
    <vt:lpwstr>Inequality, poverty, inclusive growth|85157ce3-767b-4870-863b-059c325ae40e</vt:lpwstr>
  </property>
  <property fmtid="{D5CDD505-2E9C-101B-9397-08002B2CF9AE}" pid="72" name="p3948e442cac43dd9f17622348a1e5cf">
    <vt:lpwstr>Economic and Fiscal Policy Branch|c3c72175-93ca-40d2-9a90-42777712e95a</vt:lpwstr>
  </property>
  <property fmtid="{D5CDD505-2E9C-101B-9397-08002B2CF9AE}" pid="73" name="StewardDivision0">
    <vt:lpwstr>Economic Studies and Policy Analysis Division|a5b47d5d-86de-419c-b836-f91b5cdb0285</vt:lpwstr>
  </property>
  <property fmtid="{D5CDD505-2E9C-101B-9397-08002B2CF9AE}" pid="74" name="RecipientName">
    <vt:lpwstr/>
  </property>
  <property fmtid="{D5CDD505-2E9C-101B-9397-08002B2CF9AE}" pid="75" name="SubDomain0">
    <vt:lpwstr>Inequality, Poverty, Inclusive Growth|ce21428a-1d47-4132-88af-8bb5af5d2051</vt:lpwstr>
  </property>
  <property fmtid="{D5CDD505-2E9C-101B-9397-08002B2CF9AE}" pid="76" name="SecurityClassification0">
    <vt:lpwstr>UNCLASSIFIED|382dea39-7c2d-421d-af66-ee4cfb3548b1</vt:lpwstr>
  </property>
  <property fmtid="{D5CDD505-2E9C-101B-9397-08002B2CF9AE}" pid="77" name="DisseminationControlMarkings0">
    <vt:lpwstr/>
  </property>
  <property fmtid="{D5CDD505-2E9C-101B-9397-08002B2CF9AE}" pid="78" name="TaxCatchAll">
    <vt:lpwstr>94;#Economic and Fiscal Policy Branch|c3c72175-93ca-40d2-9a90-42777712e95a;#32;#UNCLASSIFIED|382dea39-7c2d-421d-af66-ee4cfb3548b1;#82;#Analysis|224d5258-9d26-4886-a840-44af17e85c69;#30;#2019|99a08f39-db69-483f-abb0-5ab658b3846e;#96;#Economic and Fiscal Po</vt:lpwstr>
  </property>
  <property fmtid="{D5CDD505-2E9C-101B-9397-08002B2CF9AE}" pid="79" name="ESearchTags">
    <vt:lpwstr>12;#Training|2f396fb6-baad-479d-8254-1550153bbe31;#19;#Unclassified|b9f8e2f7-525e-4bf1-b1ab-95851883fd09;#18;#Royal Commission|1b5ec731-3e16-44b1-86f4-0c46c4cdd7b2;#13;#Climate Change|41dd6691-cb87-446f-a384-c62c202138b9;#24;#G20|db353482-d3c2-4523-aae8-a</vt:lpwstr>
  </property>
  <property fmtid="{D5CDD505-2E9C-101B-9397-08002B2CF9AE}" pid="80" name="PMC.ESearch.TagGeneratedTime">
    <vt:lpwstr>2018-12-19T15:02:29</vt:lpwstr>
  </property>
</Properties>
</file>