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2" w:rsidRPr="00B8724F" w:rsidRDefault="00B05123" w:rsidP="001D52A2">
      <w:pPr>
        <w:spacing w:before="240"/>
        <w:rPr>
          <w:lang w:val="fr-CA"/>
        </w:rPr>
      </w:pPr>
      <w:r w:rsidRPr="001D52A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450850</wp:posOffset>
                </wp:positionV>
                <wp:extent cx="7645400" cy="679450"/>
                <wp:effectExtent l="0" t="0" r="0" b="0"/>
                <wp:wrapTight wrapText="bothSides">
                  <wp:wrapPolygon edited="0">
                    <wp:start x="108" y="1817"/>
                    <wp:lineTo x="108" y="19379"/>
                    <wp:lineTo x="21421" y="19379"/>
                    <wp:lineTo x="21421" y="1817"/>
                    <wp:lineTo x="108" y="181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B05123" w:rsidRDefault="003D0C45" w:rsidP="00B05123">
                            <w:pPr>
                              <w:pStyle w:val="Title1"/>
                              <w:rPr>
                                <w:lang w:val="fr-CA"/>
                              </w:rPr>
                            </w:pPr>
                            <w:r w:rsidRPr="00B05123">
                              <w:rPr>
                                <w:bCs/>
                                <w:lang w:val="fr-CA"/>
                              </w:rPr>
                              <w:t>Confirmation de la paie et des avantag</w:t>
                            </w:r>
                            <w:r w:rsidRPr="00B05123">
                              <w:rPr>
                                <w:bCs/>
                                <w:lang w:val="fr-CA"/>
                              </w:rPr>
                              <w:t>es</w:t>
                            </w:r>
                          </w:p>
                          <w:p w:rsidR="00CA47A9" w:rsidRPr="00B05123" w:rsidRDefault="00CA47A9" w:rsidP="00FD45C4">
                            <w:pPr>
                              <w:pStyle w:val="Title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8pt;margin-top:35.5pt;width:602pt;height:53.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" filled="f" stroked="f">
                <v:textbox inset=",7.2pt,,7.2pt">
                  <w:txbxContent>
                    <w:p w:rsidR="00000000" w:rsidRPr="00B05123" w:rsidRDefault="003D0C45" w:rsidP="00B05123">
                      <w:pPr>
                        <w:pStyle w:val="Title1"/>
                        <w:rPr>
                          <w:lang w:val="fr-CA"/>
                        </w:rPr>
                      </w:pPr>
                      <w:r w:rsidRPr="00B05123">
                        <w:rPr>
                          <w:bCs/>
                          <w:lang w:val="fr-CA"/>
                        </w:rPr>
                        <w:t>Confirmation de la paie et des avantag</w:t>
                      </w:r>
                      <w:r w:rsidRPr="00B05123">
                        <w:rPr>
                          <w:bCs/>
                          <w:lang w:val="fr-CA"/>
                        </w:rPr>
                        <w:t>es</w:t>
                      </w:r>
                    </w:p>
                    <w:p w:rsidR="00CA47A9" w:rsidRPr="00B05123" w:rsidRDefault="00CA47A9" w:rsidP="00FD45C4">
                      <w:pPr>
                        <w:pStyle w:val="Title1"/>
                        <w:rPr>
                          <w:lang w:val="fr-C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724F" w:rsidRPr="00B8724F">
        <w:rPr>
          <w:noProof/>
          <w:lang w:val="fr-CA"/>
        </w:rPr>
        <w:t>À ce stade de votre nouvel emploi, vous devriez avoir reçu votre premier chèque de paie et vous être inscrit à votre régime d'assurance-maladie</w:t>
      </w:r>
      <w:r w:rsidR="001D52A2" w:rsidRPr="00B8724F">
        <w:rPr>
          <w:lang w:val="fr-CA"/>
        </w:rPr>
        <w:t xml:space="preserve">. </w:t>
      </w:r>
    </w:p>
    <w:p w:rsidR="001D52A2" w:rsidRPr="00B8724F" w:rsidRDefault="00B8724F" w:rsidP="001D52A2">
      <w:pPr>
        <w:spacing w:before="240"/>
        <w:rPr>
          <w:lang w:val="fr-CA"/>
        </w:rPr>
      </w:pPr>
      <w:r w:rsidRPr="00B8724F">
        <w:rPr>
          <w:lang w:val="fr-CA"/>
        </w:rPr>
        <w:t>Assurez-vous que votre salaire reflète ce qui a été convenu dans votre lettre d'offre et confirmez que vous avez souscrit à votre plan de soins de santé. Utilisez les liens ci-dessous pour trouver plus d'informations sur votre salai</w:t>
      </w:r>
      <w:r>
        <w:rPr>
          <w:lang w:val="fr-CA"/>
        </w:rPr>
        <w:t>re, vos avantages sociaux et votre</w:t>
      </w:r>
      <w:r w:rsidRPr="00B8724F">
        <w:rPr>
          <w:lang w:val="fr-CA"/>
        </w:rPr>
        <w:t xml:space="preserve"> </w:t>
      </w:r>
      <w:r>
        <w:rPr>
          <w:lang w:val="fr-CA"/>
        </w:rPr>
        <w:t>pension.</w:t>
      </w:r>
      <w:bookmarkStart w:id="0" w:name="_GoBack"/>
      <w:bookmarkEnd w:id="0"/>
    </w:p>
    <w:p w:rsidR="00917620" w:rsidRDefault="00B05123" w:rsidP="00B05123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B05123">
        <w:rPr>
          <w:b/>
          <w:lang w:val="fr-CA"/>
        </w:rPr>
        <w:t>Rémunération</w:t>
      </w:r>
      <w:r w:rsidR="002E2E04">
        <w:rPr>
          <w:b/>
          <w:lang w:val="fr-CA"/>
        </w:rPr>
        <w:t>:</w:t>
      </w:r>
    </w:p>
    <w:p w:rsidR="00B05123" w:rsidRPr="00B05123" w:rsidRDefault="00B05123" w:rsidP="00B05123">
      <w:pPr>
        <w:spacing w:before="240"/>
        <w:ind w:left="360"/>
        <w:rPr>
          <w:b/>
          <w:color w:val="0070C0"/>
          <w:lang w:val="fr-CA"/>
        </w:rPr>
      </w:pPr>
      <w:hyperlink r:id="rId8" w:history="1">
        <w:r w:rsidRPr="00B05123">
          <w:rPr>
            <w:rStyle w:val="Hyperlink"/>
            <w:color w:val="0070C0"/>
            <w:lang w:val="fr-CA"/>
          </w:rPr>
          <w:t>Rémunération | Intranet de Santé Canada ASPC (hc-sc.gc.ca)</w:t>
        </w:r>
      </w:hyperlink>
    </w:p>
    <w:p w:rsidR="002E2E04" w:rsidRPr="002E2E04" w:rsidRDefault="00B05123" w:rsidP="00B05123">
      <w:pPr>
        <w:pStyle w:val="ListParagraph"/>
        <w:numPr>
          <w:ilvl w:val="0"/>
          <w:numId w:val="46"/>
        </w:numPr>
        <w:spacing w:before="240"/>
        <w:rPr>
          <w:b/>
        </w:rPr>
      </w:pPr>
      <w:proofErr w:type="spellStart"/>
      <w:r w:rsidRPr="00B05123">
        <w:rPr>
          <w:b/>
        </w:rPr>
        <w:t>Système</w:t>
      </w:r>
      <w:proofErr w:type="spellEnd"/>
      <w:r w:rsidRPr="00B05123">
        <w:rPr>
          <w:b/>
        </w:rPr>
        <w:t xml:space="preserve"> de </w:t>
      </w:r>
      <w:proofErr w:type="spellStart"/>
      <w:r w:rsidRPr="00B05123">
        <w:rPr>
          <w:b/>
        </w:rPr>
        <w:t>paye</w:t>
      </w:r>
      <w:proofErr w:type="spellEnd"/>
      <w:r w:rsidRPr="00B05123">
        <w:rPr>
          <w:b/>
        </w:rPr>
        <w:t xml:space="preserve"> </w:t>
      </w:r>
      <w:proofErr w:type="spellStart"/>
      <w:r w:rsidRPr="00B05123">
        <w:rPr>
          <w:b/>
        </w:rPr>
        <w:t>Phénix</w:t>
      </w:r>
      <w:proofErr w:type="spellEnd"/>
      <w:r w:rsidR="002E2E04" w:rsidRPr="002E2E04">
        <w:rPr>
          <w:b/>
        </w:rPr>
        <w:t>:</w:t>
      </w:r>
    </w:p>
    <w:p w:rsidR="00B05123" w:rsidRPr="00B05123" w:rsidRDefault="00B05123" w:rsidP="00B05123">
      <w:pPr>
        <w:spacing w:before="240"/>
        <w:ind w:left="360"/>
        <w:rPr>
          <w:b/>
          <w:color w:val="0070C0"/>
          <w:lang w:val="fr-CA"/>
        </w:rPr>
      </w:pPr>
      <w:hyperlink r:id="rId9" w:history="1">
        <w:r w:rsidRPr="00B05123">
          <w:rPr>
            <w:rStyle w:val="Hyperlink"/>
            <w:color w:val="0070C0"/>
            <w:lang w:val="fr-CA"/>
          </w:rPr>
          <w:t>Système de paye Phénix | Intranet de Santé Canada ASPC (hc-sc.gc.ca)</w:t>
        </w:r>
      </w:hyperlink>
    </w:p>
    <w:p w:rsidR="001D52A2" w:rsidRPr="00B05123" w:rsidRDefault="00B05123" w:rsidP="00B05123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B05123">
        <w:rPr>
          <w:b/>
          <w:lang w:val="fr-CA"/>
        </w:rPr>
        <w:t>Régime de soins de santé de la fonction publique</w:t>
      </w:r>
      <w:r w:rsidR="002E2E04" w:rsidRPr="00B05123">
        <w:rPr>
          <w:b/>
          <w:lang w:val="fr-CA"/>
        </w:rPr>
        <w:t xml:space="preserve">: </w:t>
      </w:r>
    </w:p>
    <w:p w:rsidR="00B05123" w:rsidRPr="00B05123" w:rsidRDefault="00B05123" w:rsidP="00B05123">
      <w:pPr>
        <w:spacing w:before="240"/>
        <w:ind w:left="360"/>
        <w:rPr>
          <w:b/>
          <w:color w:val="0070C0"/>
          <w:lang w:val="fr-CA"/>
        </w:rPr>
      </w:pPr>
      <w:hyperlink r:id="rId10" w:history="1">
        <w:r w:rsidRPr="00B05123">
          <w:rPr>
            <w:rStyle w:val="Hyperlink"/>
            <w:color w:val="0070C0"/>
            <w:lang w:val="fr-CA"/>
          </w:rPr>
          <w:t>Régime de soins de santé de la fonction publique - Canada.ca</w:t>
        </w:r>
      </w:hyperlink>
    </w:p>
    <w:p w:rsidR="001D52A2" w:rsidRPr="001D52A2" w:rsidRDefault="00B05123" w:rsidP="00B05123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B05123">
        <w:rPr>
          <w:b/>
          <w:lang w:val="fr-CA"/>
        </w:rPr>
        <w:t>Sommaire du Régime de soins de santé de la fonction publique</w:t>
      </w:r>
      <w:r w:rsidR="002E2E04">
        <w:rPr>
          <w:b/>
          <w:lang w:val="fr-CA"/>
        </w:rPr>
        <w:t xml:space="preserve">: </w:t>
      </w:r>
    </w:p>
    <w:p w:rsidR="00B05123" w:rsidRPr="00B05123" w:rsidRDefault="00B05123" w:rsidP="00B05123">
      <w:pPr>
        <w:spacing w:before="240"/>
        <w:ind w:left="360"/>
        <w:rPr>
          <w:b/>
          <w:color w:val="0070C0"/>
          <w:lang w:val="fr-CA"/>
        </w:rPr>
      </w:pPr>
      <w:hyperlink r:id="rId11" w:history="1">
        <w:r w:rsidRPr="00B05123">
          <w:rPr>
            <w:rStyle w:val="Hyperlink"/>
            <w:color w:val="0070C0"/>
            <w:lang w:val="fr-CA"/>
          </w:rPr>
          <w:t>Sommaire du Régime de soins de santé de la fonction publique - Canada.ca</w:t>
        </w:r>
      </w:hyperlink>
    </w:p>
    <w:p w:rsidR="001D52A2" w:rsidRDefault="001D52A2" w:rsidP="001D52A2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1D52A2">
        <w:rPr>
          <w:b/>
          <w:lang w:val="fr-CA"/>
        </w:rPr>
        <w:t>P</w:t>
      </w:r>
      <w:r w:rsidR="00B05123">
        <w:rPr>
          <w:b/>
          <w:lang w:val="fr-CA"/>
        </w:rPr>
        <w:t>ension</w:t>
      </w:r>
      <w:r w:rsidR="002E2E04">
        <w:rPr>
          <w:b/>
          <w:lang w:val="fr-CA"/>
        </w:rPr>
        <w:t>:</w:t>
      </w:r>
    </w:p>
    <w:p w:rsidR="002E2E04" w:rsidRPr="00B05123" w:rsidRDefault="00B05123" w:rsidP="00B05123">
      <w:pPr>
        <w:pStyle w:val="ListParagraph"/>
        <w:numPr>
          <w:ilvl w:val="0"/>
          <w:numId w:val="47"/>
        </w:numPr>
        <w:spacing w:before="240"/>
        <w:rPr>
          <w:b/>
          <w:lang w:val="fr-CA"/>
        </w:rPr>
      </w:pPr>
      <w:r w:rsidRPr="00B05123">
        <w:rPr>
          <w:lang w:val="fr-CA"/>
        </w:rPr>
        <w:t>Nouvel employé à la fonction publique - Pension</w:t>
      </w:r>
      <w:r w:rsidR="002E2E04" w:rsidRPr="00B05123">
        <w:rPr>
          <w:lang w:val="fr-CA"/>
        </w:rPr>
        <w:t>:</w:t>
      </w:r>
      <w:r w:rsidR="002E2E04" w:rsidRPr="00B05123">
        <w:rPr>
          <w:b/>
          <w:lang w:val="fr-CA"/>
        </w:rPr>
        <w:t xml:space="preserve"> </w:t>
      </w:r>
      <w:hyperlink r:id="rId12" w:history="1">
        <w:r w:rsidRPr="00B05123">
          <w:rPr>
            <w:rStyle w:val="Hyperlink"/>
            <w:color w:val="0070C0"/>
            <w:lang w:val="fr-CA"/>
          </w:rPr>
          <w:t>Nouvel employé à la fonction publique - Pension - Canada.ca</w:t>
        </w:r>
      </w:hyperlink>
    </w:p>
    <w:p w:rsidR="002E2E04" w:rsidRPr="00B05123" w:rsidRDefault="00B05123" w:rsidP="00B05123">
      <w:pPr>
        <w:pStyle w:val="ListParagraph"/>
        <w:numPr>
          <w:ilvl w:val="0"/>
          <w:numId w:val="47"/>
        </w:numPr>
        <w:spacing w:before="240"/>
        <w:rPr>
          <w:b/>
          <w:lang w:val="fr-CA"/>
        </w:rPr>
      </w:pPr>
      <w:r w:rsidRPr="00B05123">
        <w:rPr>
          <w:lang w:val="fr-CA"/>
        </w:rPr>
        <w:t>Bienvenue au régime de retraite de la fonction publique</w:t>
      </w:r>
      <w:r w:rsidR="002E2E04" w:rsidRPr="00B05123">
        <w:rPr>
          <w:lang w:val="fr-CA"/>
        </w:rPr>
        <w:t>:</w:t>
      </w:r>
      <w:r w:rsidR="002E2E04" w:rsidRPr="00B05123">
        <w:rPr>
          <w:b/>
          <w:lang w:val="fr-CA"/>
        </w:rPr>
        <w:t xml:space="preserve"> </w:t>
      </w:r>
      <w:hyperlink r:id="rId13" w:history="1">
        <w:r w:rsidRPr="00B05123">
          <w:rPr>
            <w:rStyle w:val="Hyperlink"/>
            <w:color w:val="0070C0"/>
            <w:lang w:val="fr-CA"/>
          </w:rPr>
          <w:t>Bienvenue au régime de retraite de la fonction publique - Services de pension - Services de paye et de pension pour les employés du gouvernement du Canada - SPAC (tpsgc-pwgsc.gc.ca)</w:t>
        </w:r>
      </w:hyperlink>
    </w:p>
    <w:p w:rsidR="002E2E04" w:rsidRPr="00B05123" w:rsidRDefault="00B05123" w:rsidP="00B05123">
      <w:pPr>
        <w:pStyle w:val="ListParagraph"/>
        <w:numPr>
          <w:ilvl w:val="0"/>
          <w:numId w:val="47"/>
        </w:numPr>
        <w:spacing w:before="240"/>
        <w:rPr>
          <w:b/>
          <w:lang w:val="fr-CA"/>
        </w:rPr>
      </w:pPr>
      <w:r w:rsidRPr="00B05123">
        <w:rPr>
          <w:lang w:val="fr-CA"/>
        </w:rPr>
        <w:t>Coup d’œil sur la pension de la fonction publique</w:t>
      </w:r>
      <w:r w:rsidR="00912CF0" w:rsidRPr="00B05123">
        <w:rPr>
          <w:lang w:val="fr-CA"/>
        </w:rPr>
        <w:t>:</w:t>
      </w:r>
      <w:r w:rsidR="00912CF0" w:rsidRPr="00B05123">
        <w:rPr>
          <w:b/>
          <w:lang w:val="fr-CA"/>
        </w:rPr>
        <w:t xml:space="preserve"> </w:t>
      </w:r>
      <w:hyperlink r:id="rId14" w:history="1">
        <w:r w:rsidRPr="00B05123">
          <w:rPr>
            <w:rStyle w:val="Hyperlink"/>
            <w:color w:val="0070C0"/>
            <w:lang w:val="fr-CA"/>
          </w:rPr>
          <w:t>Coup d’œil sur la pension de la fonction publique - Canada.ca</w:t>
        </w:r>
      </w:hyperlink>
    </w:p>
    <w:p w:rsidR="00912CF0" w:rsidRPr="00B05123" w:rsidRDefault="00B05123" w:rsidP="00B05123">
      <w:pPr>
        <w:pStyle w:val="ListParagraph"/>
        <w:numPr>
          <w:ilvl w:val="0"/>
          <w:numId w:val="47"/>
        </w:numPr>
        <w:spacing w:before="240"/>
        <w:rPr>
          <w:lang w:val="fr-CA"/>
        </w:rPr>
      </w:pPr>
      <w:r>
        <w:rPr>
          <w:lang w:val="fr-CA"/>
        </w:rPr>
        <w:t>B</w:t>
      </w:r>
      <w:r w:rsidRPr="00B05123">
        <w:rPr>
          <w:lang w:val="fr-CA"/>
        </w:rPr>
        <w:t>rochu</w:t>
      </w:r>
      <w:r>
        <w:rPr>
          <w:lang w:val="fr-CA"/>
        </w:rPr>
        <w:t>re d'orientation sur la pension</w:t>
      </w:r>
    </w:p>
    <w:p w:rsidR="00912CF0" w:rsidRPr="002E2E04" w:rsidRDefault="00B05123" w:rsidP="00912CF0">
      <w:pPr>
        <w:pStyle w:val="ListParagraph"/>
        <w:spacing w:before="240"/>
        <w:rPr>
          <w:b/>
        </w:rPr>
      </w:pPr>
      <w:r>
        <w:rPr>
          <w:b/>
        </w:rPr>
        <w:object w:dxaOrig="1505" w:dyaOrig="982">
          <v:shape id="_x0000_i1040" type="#_x0000_t75" style="width:75.25pt;height:49.1pt" o:ole="">
            <v:imagedata r:id="rId15" o:title=""/>
          </v:shape>
          <o:OLEObject Type="Embed" ProgID="FoxitPhantomPDF.Document" ShapeID="_x0000_i1040" DrawAspect="Icon" ObjectID="_1706024364" r:id="rId16"/>
        </w:object>
      </w:r>
    </w:p>
    <w:p w:rsidR="002E2E04" w:rsidRDefault="00B05123" w:rsidP="00B05123">
      <w:pPr>
        <w:pStyle w:val="ListParagraph"/>
        <w:numPr>
          <w:ilvl w:val="0"/>
          <w:numId w:val="46"/>
        </w:numPr>
        <w:spacing w:before="240"/>
        <w:rPr>
          <w:b/>
          <w:lang w:val="fr-CA"/>
        </w:rPr>
      </w:pPr>
      <w:r w:rsidRPr="00B05123">
        <w:rPr>
          <w:b/>
          <w:lang w:val="fr-CA"/>
        </w:rPr>
        <w:t>Congés</w:t>
      </w:r>
      <w:r w:rsidR="002E2E04">
        <w:rPr>
          <w:b/>
          <w:lang w:val="fr-CA"/>
        </w:rPr>
        <w:t>:</w:t>
      </w:r>
    </w:p>
    <w:p w:rsidR="00B05123" w:rsidRDefault="00B05123" w:rsidP="00B05123">
      <w:pPr>
        <w:ind w:firstLine="720"/>
      </w:pPr>
    </w:p>
    <w:p w:rsidR="004A486B" w:rsidRPr="00B05123" w:rsidRDefault="00B05123" w:rsidP="00B05123">
      <w:pPr>
        <w:ind w:firstLine="720"/>
        <w:rPr>
          <w:color w:val="0070C0"/>
          <w:lang w:val="fr-CA"/>
        </w:rPr>
      </w:pPr>
      <w:hyperlink r:id="rId17" w:history="1">
        <w:r w:rsidRPr="00B05123">
          <w:rPr>
            <w:rStyle w:val="Hyperlink"/>
            <w:color w:val="0070C0"/>
            <w:lang w:val="fr-CA"/>
          </w:rPr>
          <w:t>Congés | Intranet de Santé Canada ASPC (hc-sc.gc.ca)</w:t>
        </w:r>
      </w:hyperlink>
    </w:p>
    <w:sectPr w:rsidR="004A486B" w:rsidRPr="00B05123" w:rsidSect="006110C1">
      <w:headerReference w:type="default" r:id="rId18"/>
      <w:footerReference w:type="default" r:id="rId19"/>
      <w:headerReference w:type="first" r:id="rId20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45" w:rsidRDefault="003D0C45">
      <w:r>
        <w:separator/>
      </w:r>
    </w:p>
  </w:endnote>
  <w:endnote w:type="continuationSeparator" w:id="0">
    <w:p w:rsidR="003D0C45" w:rsidRDefault="003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8600BC" w:rsidRDefault="00CA47A9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TITLE GOES HERE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B05123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45" w:rsidRDefault="003D0C45">
      <w:r>
        <w:separator/>
      </w:r>
    </w:p>
  </w:footnote>
  <w:footnote w:type="continuationSeparator" w:id="0">
    <w:p w:rsidR="003D0C45" w:rsidRDefault="003D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Default="00413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5C25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9" w:rsidRPr="006110C1" w:rsidRDefault="004133FA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4" type="#_x0000_t75" style="width:3in;height:3in" o:bullet="t"/>
    </w:pict>
  </w:numPicBullet>
  <w:numPicBullet w:numPicBulletId="1">
    <w:pict>
      <v:shape id="_x0000_i2125" type="#_x0000_t75" style="width:3in;height:3in" o:bullet="t"/>
    </w:pict>
  </w:numPicBullet>
  <w:numPicBullet w:numPicBulletId="2">
    <w:pict>
      <v:shape id="_x0000_i2126" type="#_x0000_t75" style="width:3in;height:3in" o:bullet="t"/>
    </w:pict>
  </w:numPicBullet>
  <w:numPicBullet w:numPicBulletId="3">
    <w:pict>
      <v:shape id="_x0000_i2127" type="#_x0000_t75" style="width:3in;height:3in" o:bullet="t"/>
    </w:pict>
  </w:numPicBullet>
  <w:numPicBullet w:numPicBulletId="4">
    <w:pict>
      <v:shape id="_x0000_i2128" type="#_x0000_t75" style="width:3in;height:3in" o:bullet="t"/>
    </w:pict>
  </w:numPicBullet>
  <w:numPicBullet w:numPicBulletId="5">
    <w:pict>
      <v:shape id="_x0000_i2129" type="#_x0000_t75" style="width:3in;height:3in" o:bullet="t"/>
    </w:pict>
  </w:numPicBullet>
  <w:numPicBullet w:numPicBulletId="6">
    <w:pict>
      <v:shape id="_x0000_i2130" type="#_x0000_t75" style="width:3in;height:3in" o:bullet="t"/>
    </w:pict>
  </w:numPicBullet>
  <w:numPicBullet w:numPicBulletId="7">
    <w:pict>
      <v:shape id="_x0000_i2131" type="#_x0000_t75" style="width:3in;height:3in" o:bullet="t"/>
    </w:pict>
  </w:numPicBullet>
  <w:numPicBullet w:numPicBulletId="8">
    <w:pict>
      <v:shape id="_x0000_i2132" type="#_x0000_t75" style="width:3in;height:3in" o:bullet="t"/>
    </w:pict>
  </w:numPicBullet>
  <w:abstractNum w:abstractNumId="0" w15:restartNumberingAfterBreak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E481B"/>
    <w:multiLevelType w:val="hybridMultilevel"/>
    <w:tmpl w:val="3E0835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81C96"/>
    <w:multiLevelType w:val="hybridMultilevel"/>
    <w:tmpl w:val="A22050CC"/>
    <w:lvl w:ilvl="0" w:tplc="2C96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03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4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AF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E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A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A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86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2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0A5EB0"/>
    <w:multiLevelType w:val="hybridMultilevel"/>
    <w:tmpl w:val="072A5140"/>
    <w:lvl w:ilvl="0" w:tplc="492ED90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1" w15:restartNumberingAfterBreak="0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4F3BB9"/>
    <w:multiLevelType w:val="hybridMultilevel"/>
    <w:tmpl w:val="F4AAD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4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11"/>
  </w:num>
  <w:num w:numId="4">
    <w:abstractNumId w:val="34"/>
  </w:num>
  <w:num w:numId="5">
    <w:abstractNumId w:val="44"/>
  </w:num>
  <w:num w:numId="6">
    <w:abstractNumId w:val="26"/>
  </w:num>
  <w:num w:numId="7">
    <w:abstractNumId w:val="28"/>
  </w:num>
  <w:num w:numId="8">
    <w:abstractNumId w:val="46"/>
  </w:num>
  <w:num w:numId="9">
    <w:abstractNumId w:val="39"/>
  </w:num>
  <w:num w:numId="10">
    <w:abstractNumId w:val="5"/>
  </w:num>
  <w:num w:numId="11">
    <w:abstractNumId w:val="41"/>
  </w:num>
  <w:num w:numId="12">
    <w:abstractNumId w:val="25"/>
  </w:num>
  <w:num w:numId="13">
    <w:abstractNumId w:val="19"/>
  </w:num>
  <w:num w:numId="14">
    <w:abstractNumId w:val="1"/>
  </w:num>
  <w:num w:numId="15">
    <w:abstractNumId w:val="36"/>
  </w:num>
  <w:num w:numId="16">
    <w:abstractNumId w:val="44"/>
    <w:lvlOverride w:ilvl="0">
      <w:startOverride w:val="1"/>
    </w:lvlOverride>
  </w:num>
  <w:num w:numId="17">
    <w:abstractNumId w:val="45"/>
  </w:num>
  <w:num w:numId="18">
    <w:abstractNumId w:val="8"/>
  </w:num>
  <w:num w:numId="19">
    <w:abstractNumId w:val="42"/>
  </w:num>
  <w:num w:numId="20">
    <w:abstractNumId w:val="10"/>
  </w:num>
  <w:num w:numId="21">
    <w:abstractNumId w:val="6"/>
  </w:num>
  <w:num w:numId="22">
    <w:abstractNumId w:val="16"/>
  </w:num>
  <w:num w:numId="23">
    <w:abstractNumId w:val="27"/>
  </w:num>
  <w:num w:numId="24">
    <w:abstractNumId w:val="23"/>
  </w:num>
  <w:num w:numId="25">
    <w:abstractNumId w:val="31"/>
  </w:num>
  <w:num w:numId="26">
    <w:abstractNumId w:val="22"/>
  </w:num>
  <w:num w:numId="27">
    <w:abstractNumId w:val="40"/>
  </w:num>
  <w:num w:numId="28">
    <w:abstractNumId w:val="21"/>
  </w:num>
  <w:num w:numId="29">
    <w:abstractNumId w:val="24"/>
  </w:num>
  <w:num w:numId="30">
    <w:abstractNumId w:val="7"/>
  </w:num>
  <w:num w:numId="31">
    <w:abstractNumId w:val="4"/>
  </w:num>
  <w:num w:numId="32">
    <w:abstractNumId w:val="30"/>
  </w:num>
  <w:num w:numId="33">
    <w:abstractNumId w:val="29"/>
  </w:num>
  <w:num w:numId="34">
    <w:abstractNumId w:val="37"/>
  </w:num>
  <w:num w:numId="35">
    <w:abstractNumId w:val="13"/>
  </w:num>
  <w:num w:numId="36">
    <w:abstractNumId w:val="3"/>
  </w:num>
  <w:num w:numId="37">
    <w:abstractNumId w:val="15"/>
  </w:num>
  <w:num w:numId="38">
    <w:abstractNumId w:val="17"/>
  </w:num>
  <w:num w:numId="39">
    <w:abstractNumId w:val="32"/>
  </w:num>
  <w:num w:numId="40">
    <w:abstractNumId w:val="18"/>
  </w:num>
  <w:num w:numId="41">
    <w:abstractNumId w:val="20"/>
  </w:num>
  <w:num w:numId="42">
    <w:abstractNumId w:val="38"/>
  </w:num>
  <w:num w:numId="43">
    <w:abstractNumId w:val="35"/>
  </w:num>
  <w:num w:numId="44">
    <w:abstractNumId w:val="0"/>
  </w:num>
  <w:num w:numId="45">
    <w:abstractNumId w:val="33"/>
  </w:num>
  <w:num w:numId="46">
    <w:abstractNumId w:val="2"/>
  </w:num>
  <w:num w:numId="47">
    <w:abstractNumId w:val="12"/>
  </w:num>
  <w:num w:numId="48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2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52A2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2E04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4D9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0C45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65772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7AB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6C37"/>
    <w:rsid w:val="0090785A"/>
    <w:rsid w:val="00911AE7"/>
    <w:rsid w:val="00912CF0"/>
    <w:rsid w:val="00913526"/>
    <w:rsid w:val="009136F9"/>
    <w:rsid w:val="00917620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6D72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B1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04CC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123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4F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545C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16C1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454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642E49B7"/>
  <w15:docId w15:val="{1EB3DF16-387E-4B4B-A0FE-2C67216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styleId="FollowedHyperlink">
    <w:name w:val="FollowedHyperlink"/>
    <w:basedOn w:val="DefaultParagraphFont"/>
    <w:semiHidden/>
    <w:unhideWhenUsed/>
    <w:rsid w:val="00B05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ource.hc-sc.gc.ca/fra/sp/programmes-services/ressources-humaines/remuneration-avantages-sociaux/ressources-supplementair-1" TargetMode="External"/><Relationship Id="rId13" Type="http://schemas.openxmlformats.org/officeDocument/2006/relationships/hyperlink" Target="https://www.tpsgc-pwgsc.gc.ca/remuneration-compensation/services-pension-services/pension/info/bienvenue-welcome-fr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fr/secretariat-conseil-tresor/services/regime-retraite/participants-actifs/nouvel-employe-fonction-publique-pension.html" TargetMode="External"/><Relationship Id="rId17" Type="http://schemas.openxmlformats.org/officeDocument/2006/relationships/hyperlink" Target="http://mysource.hc-sc.gc.ca/fra/sp/programmes-services/ressources-humaines/remuneration-avantages-sociaux/conges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ecretariat-conseil-tresor/services/regimes-assurance/regime-soins-sante/votre-regime-soins-sante-fonction-publique-coup-oeil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s://www.canada.ca/fr/secretariat-conseil-tresor/sujets/regimes-assurance/regimes/regime-soins-sant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ysource.hc-sc.gc.ca/fra/sp/programmes-services/ressources-humaines/remuneration-avantages-sociaux/systeme-paye-phenix" TargetMode="External"/><Relationship Id="rId14" Type="http://schemas.openxmlformats.org/officeDocument/2006/relationships/hyperlink" Target="https://www.canada.ca/fr/secretariat-conseil-tresor/services/regime-retraite/renseignements-regime/coup-oeil-votre-pension-retrait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88CAF-1ED6-4D8E-A9BD-858DF69F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2607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4</cp:revision>
  <cp:lastPrinted>2012-06-14T18:09:00Z</cp:lastPrinted>
  <dcterms:created xsi:type="dcterms:W3CDTF">2022-02-10T23:39:00Z</dcterms:created>
  <dcterms:modified xsi:type="dcterms:W3CDTF">2022-02-10T23:50:00Z</dcterms:modified>
</cp:coreProperties>
</file>