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DFFC2" w14:textId="360C9203" w:rsidR="002E709C" w:rsidRDefault="0037759D" w:rsidP="0037759D">
      <w:pPr>
        <w:pStyle w:val="Title"/>
        <w:jc w:val="center"/>
      </w:pPr>
      <w:bookmarkStart w:id="0" w:name="_GoBack"/>
      <w:bookmarkEnd w:id="0"/>
      <w:r w:rsidRPr="00B4217E">
        <w:t>Introduction to Strategic Foresight</w:t>
      </w:r>
    </w:p>
    <w:p w14:paraId="30C22E67" w14:textId="77777777" w:rsidR="002E709C" w:rsidRPr="00B4217E" w:rsidRDefault="002E709C" w:rsidP="002E709C">
      <w:pPr>
        <w:spacing w:after="0" w:line="240" w:lineRule="auto"/>
        <w:rPr>
          <w:i/>
        </w:rPr>
      </w:pPr>
      <w:r w:rsidRPr="00B4217E">
        <w:rPr>
          <w:i/>
        </w:rPr>
        <w:t>Human Resources Innovation Team (HRI)</w:t>
      </w:r>
    </w:p>
    <w:p w14:paraId="247AE14A" w14:textId="77777777" w:rsidR="002E709C" w:rsidRPr="00B4217E" w:rsidRDefault="002E709C" w:rsidP="002E709C">
      <w:pPr>
        <w:spacing w:after="0" w:line="240" w:lineRule="auto"/>
        <w:rPr>
          <w:i/>
        </w:rPr>
      </w:pPr>
      <w:r w:rsidRPr="00B4217E">
        <w:rPr>
          <w:i/>
        </w:rPr>
        <w:t>Human Resources Management Branch (HRSB)</w:t>
      </w:r>
    </w:p>
    <w:p w14:paraId="3CC3375B" w14:textId="3D524E94" w:rsidR="00D90E4B" w:rsidRPr="00B4217E" w:rsidRDefault="002E709C" w:rsidP="002E709C">
      <w:pPr>
        <w:spacing w:after="0" w:line="240" w:lineRule="auto"/>
        <w:rPr>
          <w:i/>
        </w:rPr>
      </w:pPr>
      <w:r w:rsidRPr="00B4217E">
        <w:rPr>
          <w:i/>
        </w:rPr>
        <w:t>August 2021</w:t>
      </w:r>
    </w:p>
    <w:p w14:paraId="73031A69" w14:textId="5E75CB1D" w:rsidR="00E529B1" w:rsidRPr="004570DF" w:rsidRDefault="00A76CA7" w:rsidP="00B4217E">
      <w:pPr>
        <w:pStyle w:val="Heading1"/>
      </w:pPr>
      <w:r>
        <w:t>W</w:t>
      </w:r>
      <w:r w:rsidR="00BB2D2B" w:rsidRPr="004570DF">
        <w:t xml:space="preserve">hat is Foresight? </w:t>
      </w:r>
    </w:p>
    <w:p w14:paraId="59192488" w14:textId="77777777" w:rsidR="00BB2D2B" w:rsidRDefault="00BB2D2B" w:rsidP="003302C4">
      <w:pPr>
        <w:spacing w:after="0" w:line="240" w:lineRule="auto"/>
      </w:pPr>
      <w:r>
        <w:t xml:space="preserve">Foresight is a critical activity that involves analyzing the future. </w:t>
      </w:r>
      <w:r w:rsidR="00B329C1">
        <w:t xml:space="preserve">The objective of conducting foresight activities is to examine plausible, alternative futures </w:t>
      </w:r>
      <w:r w:rsidR="008B24F4">
        <w:t>and identify the challenges and opportunities that may arise.</w:t>
      </w:r>
      <w:r w:rsidR="00B84B04">
        <w:rPr>
          <w:rStyle w:val="FootnoteReference"/>
        </w:rPr>
        <w:footnoteReference w:id="2"/>
      </w:r>
      <w:r w:rsidR="008B24F4">
        <w:t xml:space="preserve"> Foresight gives us the opportunity to understand the various forces that shape a system, how the system may evolve and what unanticipated circumstances may come about.</w:t>
      </w:r>
      <w:r w:rsidR="008B24F4">
        <w:rPr>
          <w:rStyle w:val="FootnoteReference"/>
        </w:rPr>
        <w:footnoteReference w:id="3"/>
      </w:r>
      <w:r w:rsidR="008B24F4">
        <w:t xml:space="preserve"> Within the context of the Public Service, foresight helps governments adjust to a quickly changing world.</w:t>
      </w:r>
      <w:r w:rsidR="008B24F4">
        <w:rPr>
          <w:rStyle w:val="FootnoteReference"/>
        </w:rPr>
        <w:footnoteReference w:id="4"/>
      </w:r>
      <w:r w:rsidR="008B24F4">
        <w:t xml:space="preserve"> It can be applied to policy development, strategic planning, decision-making, auditing and evaluating as a mechanism to promote proactive governance</w:t>
      </w:r>
      <w:r w:rsidR="00692ABA">
        <w:t>.</w:t>
      </w:r>
      <w:r w:rsidR="008B716A">
        <w:t xml:space="preserve"> </w:t>
      </w:r>
    </w:p>
    <w:p w14:paraId="349B4EF2" w14:textId="77777777" w:rsidR="00164F3D" w:rsidRDefault="00164F3D" w:rsidP="003302C4">
      <w:pPr>
        <w:spacing w:after="0" w:line="240" w:lineRule="auto"/>
      </w:pPr>
    </w:p>
    <w:p w14:paraId="45307613" w14:textId="44CF3916" w:rsidR="008B716A" w:rsidRDefault="008B716A" w:rsidP="003302C4">
      <w:pPr>
        <w:spacing w:after="0" w:line="240" w:lineRule="auto"/>
      </w:pPr>
      <w:r>
        <w:t>Foresight is not to be confused with forecasting. Forecasting refers to the process of trying to predict the future</w:t>
      </w:r>
      <w:r w:rsidR="000F2FD4">
        <w:t xml:space="preserve"> using past data</w:t>
      </w:r>
      <w:r>
        <w:t xml:space="preserve">; whereas foresight </w:t>
      </w:r>
      <w:r w:rsidR="000F2FD4">
        <w:t>helps us prepare for a wider range of futures</w:t>
      </w:r>
      <w:r w:rsidR="00B84B04">
        <w:t>.</w:t>
      </w:r>
      <w:r w:rsidR="00B84B04">
        <w:rPr>
          <w:rStyle w:val="FootnoteReference"/>
        </w:rPr>
        <w:footnoteReference w:id="5"/>
      </w:r>
      <w:r w:rsidR="00B84B04">
        <w:t xml:space="preserve"> </w:t>
      </w:r>
    </w:p>
    <w:p w14:paraId="6ADABF04" w14:textId="77777777" w:rsidR="00B84B04" w:rsidRDefault="004570DF" w:rsidP="00B4217E">
      <w:pPr>
        <w:pStyle w:val="Heading1"/>
      </w:pPr>
      <w:r w:rsidRPr="004570DF">
        <w:t xml:space="preserve">The Steps in Foresight </w:t>
      </w:r>
    </w:p>
    <w:p w14:paraId="18F76A2D" w14:textId="6E029B84" w:rsidR="00A76CA7" w:rsidRDefault="4DB1114C" w:rsidP="00D90E4B">
      <w:pPr>
        <w:spacing w:after="0" w:line="240" w:lineRule="auto"/>
      </w:pPr>
      <w:r>
        <w:t xml:space="preserve">The Horizons Foresight Method is the preferable approach </w:t>
      </w:r>
      <w:r w:rsidR="002B6C47">
        <w:t>with</w:t>
      </w:r>
      <w:r>
        <w:t xml:space="preserve">in </w:t>
      </w:r>
      <w:r w:rsidR="7FA7BE41">
        <w:t xml:space="preserve">the Canadian </w:t>
      </w:r>
      <w:r>
        <w:t>Government because it has been created to consider the uncertainty and complexity of public policy.</w:t>
      </w:r>
      <w:r w:rsidR="006753FF">
        <w:rPr>
          <w:rStyle w:val="FootnoteReference"/>
        </w:rPr>
        <w:footnoteReference w:id="6"/>
      </w:r>
      <w:r>
        <w:t xml:space="preserve"> </w:t>
      </w:r>
      <w:r w:rsidR="7BF4A418">
        <w:t>It is not until after the entire team understands the process that a foresight study can take place; this can take anywhere from 2 to 12 months.</w:t>
      </w:r>
      <w:r w:rsidR="00692ABA">
        <w:rPr>
          <w:rStyle w:val="FootnoteReference"/>
        </w:rPr>
        <w:footnoteReference w:id="7"/>
      </w:r>
      <w:r w:rsidR="1FE9D8CA">
        <w:t xml:space="preserve"> The </w:t>
      </w:r>
      <w:r w:rsidR="002E709C">
        <w:t xml:space="preserve">HRI </w:t>
      </w:r>
      <w:r w:rsidR="1FE9D8CA">
        <w:t>team follows an iteration of Policy Horizon’s</w:t>
      </w:r>
      <w:r w:rsidR="3A40F1D7">
        <w:t xml:space="preserve"> strategic foresight</w:t>
      </w:r>
      <w:r w:rsidR="7BF4A418">
        <w:t xml:space="preserve"> process. </w:t>
      </w:r>
    </w:p>
    <w:p w14:paraId="75150DB6" w14:textId="0BABFE66" w:rsidR="00D90E4B" w:rsidRDefault="00D90E4B" w:rsidP="00D90E4B">
      <w:pPr>
        <w:spacing w:after="0" w:line="240" w:lineRule="auto"/>
      </w:pPr>
    </w:p>
    <w:p w14:paraId="726B6A8B" w14:textId="35A619B6" w:rsidR="00D90E4B" w:rsidRDefault="00C35107" w:rsidP="00C35107">
      <w:pPr>
        <w:spacing w:after="0" w:line="240" w:lineRule="auto"/>
        <w:jc w:val="center"/>
      </w:pPr>
      <w:r>
        <w:rPr>
          <w:noProof/>
          <w:lang w:eastAsia="en-CA"/>
        </w:rPr>
        <w:drawing>
          <wp:inline distT="0" distB="0" distL="0" distR="0" wp14:anchorId="4035328F" wp14:editId="61DA47D5">
            <wp:extent cx="4187952" cy="2532888"/>
            <wp:effectExtent l="0" t="0" r="0" b="0"/>
            <wp:docPr id="1" name="Picture 1" descr="Frame the problem, identify assumptions, scan for weak signals, map the system, select change drivers, develop scenarios, test assumptions, identify challenges." title="The Strategic Foresight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sight Process-EN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6" t="17706" r="8329" b="17784"/>
                    <a:stretch/>
                  </pic:blipFill>
                  <pic:spPr bwMode="auto">
                    <a:xfrm>
                      <a:off x="0" y="0"/>
                      <a:ext cx="4187952" cy="2532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5DAD64" w14:textId="521EEA45" w:rsidR="00D90E4B" w:rsidRPr="00D90E4B" w:rsidRDefault="00D90E4B" w:rsidP="00D90E4B">
      <w:pPr>
        <w:spacing w:after="0" w:line="240" w:lineRule="auto"/>
        <w:rPr>
          <w:i/>
        </w:rPr>
      </w:pPr>
      <w:r w:rsidRPr="00D90E4B">
        <w:rPr>
          <w:i/>
        </w:rPr>
        <w:t xml:space="preserve">Figure 1 - The Strategic Foresight Process. </w:t>
      </w:r>
    </w:p>
    <w:p w14:paraId="083C4FC1" w14:textId="77777777" w:rsidR="003C2924" w:rsidRPr="00B4217E" w:rsidRDefault="003C2924" w:rsidP="003302C4">
      <w:pPr>
        <w:spacing w:after="0" w:line="240" w:lineRule="auto"/>
        <w:rPr>
          <w:bCs/>
        </w:rPr>
      </w:pPr>
    </w:p>
    <w:p w14:paraId="4CF5E167" w14:textId="77777777" w:rsidR="00D90E4B" w:rsidRDefault="00795C21" w:rsidP="00D90E4B">
      <w:pPr>
        <w:pStyle w:val="Heading2"/>
        <w:rPr>
          <w:rStyle w:val="CommentReference"/>
        </w:rPr>
      </w:pPr>
      <w:r w:rsidRPr="0EA58704">
        <w:lastRenderedPageBreak/>
        <w:t>Step 1a: Fram</w:t>
      </w:r>
      <w:r w:rsidR="009D0336" w:rsidRPr="0EA58704">
        <w:t>e</w:t>
      </w:r>
      <w:r w:rsidRPr="0EA58704">
        <w:t xml:space="preserve"> the problem</w:t>
      </w:r>
    </w:p>
    <w:p w14:paraId="10A9D4C6" w14:textId="37016E6B" w:rsidR="00795C21" w:rsidRPr="00F810F7" w:rsidRDefault="00F810F7" w:rsidP="003302C4">
      <w:pPr>
        <w:spacing w:after="0" w:line="240" w:lineRule="auto"/>
      </w:pPr>
      <w:r>
        <w:t>Framing is subject to changes as you continue to le</w:t>
      </w:r>
      <w:r w:rsidR="00B60FB3">
        <w:t xml:space="preserve">arn new pathways </w:t>
      </w:r>
      <w:r>
        <w:t xml:space="preserve">that drivers may impact the system. </w:t>
      </w:r>
    </w:p>
    <w:p w14:paraId="5E547C21" w14:textId="77777777" w:rsidR="00651E25" w:rsidRDefault="00651E25" w:rsidP="003302C4">
      <w:pPr>
        <w:spacing w:after="0" w:line="240" w:lineRule="auto"/>
        <w:rPr>
          <w:b/>
        </w:rPr>
      </w:pPr>
    </w:p>
    <w:p w14:paraId="53041192" w14:textId="77777777" w:rsidR="00D90E4B" w:rsidRDefault="00CC134D" w:rsidP="00D90E4B">
      <w:pPr>
        <w:pStyle w:val="Heading2"/>
      </w:pPr>
      <w:r w:rsidRPr="0EA58704">
        <w:t>Step 1</w:t>
      </w:r>
      <w:r w:rsidR="00795C21" w:rsidRPr="0EA58704">
        <w:t>b</w:t>
      </w:r>
      <w:r w:rsidRPr="0EA58704">
        <w:t xml:space="preserve">: </w:t>
      </w:r>
      <w:r w:rsidR="00A848C8" w:rsidRPr="0EA58704">
        <w:t>Identify a</w:t>
      </w:r>
      <w:r w:rsidR="00651E25" w:rsidRPr="0EA58704">
        <w:t>ssumptions</w:t>
      </w:r>
    </w:p>
    <w:p w14:paraId="6A2AF3C6" w14:textId="049E9699" w:rsidR="00CC134D" w:rsidRDefault="00A848C8" w:rsidP="003C2924">
      <w:pPr>
        <w:spacing w:after="0" w:line="240" w:lineRule="auto"/>
      </w:pPr>
      <w:r>
        <w:t xml:space="preserve">Surface </w:t>
      </w:r>
      <w:r w:rsidR="00CC134D">
        <w:t>the “current, commonly held assumptions” about the topic.</w:t>
      </w:r>
      <w:r w:rsidR="00CC134D">
        <w:rPr>
          <w:rStyle w:val="FootnoteReference"/>
        </w:rPr>
        <w:footnoteReference w:id="8"/>
      </w:r>
      <w:r w:rsidR="003302C4">
        <w:t xml:space="preserve"> The assumptions that shape </w:t>
      </w:r>
      <w:r>
        <w:t xml:space="preserve">a given </w:t>
      </w:r>
      <w:r w:rsidR="003302C4">
        <w:t>public policy</w:t>
      </w:r>
      <w:r>
        <w:t xml:space="preserve"> area</w:t>
      </w:r>
      <w:r w:rsidR="003302C4">
        <w:t xml:space="preserve"> are collected through interviews and research, and will be used later in the process to test </w:t>
      </w:r>
      <w:r w:rsidR="009D0336">
        <w:t xml:space="preserve">the </w:t>
      </w:r>
      <w:r w:rsidR="003302C4">
        <w:t>robustness</w:t>
      </w:r>
      <w:r w:rsidR="009D0336">
        <w:t xml:space="preserve"> of the strategy developed in the foresight process</w:t>
      </w:r>
      <w:r w:rsidR="003302C4">
        <w:t xml:space="preserve">. </w:t>
      </w:r>
    </w:p>
    <w:p w14:paraId="0CD6E174" w14:textId="77777777" w:rsidR="00513801" w:rsidRDefault="00513801" w:rsidP="003302C4">
      <w:pPr>
        <w:spacing w:after="0" w:line="240" w:lineRule="auto"/>
        <w:rPr>
          <w:b/>
        </w:rPr>
      </w:pPr>
    </w:p>
    <w:p w14:paraId="3EBC57F4" w14:textId="77777777" w:rsidR="00D90E4B" w:rsidRDefault="003302C4" w:rsidP="00D90E4B">
      <w:pPr>
        <w:pStyle w:val="Heading2"/>
      </w:pPr>
      <w:r w:rsidRPr="33B63128">
        <w:t xml:space="preserve">Step 2: Scan for </w:t>
      </w:r>
      <w:r w:rsidR="009D0336">
        <w:t>w</w:t>
      </w:r>
      <w:r w:rsidRPr="33B63128">
        <w:t xml:space="preserve">eak </w:t>
      </w:r>
      <w:r w:rsidR="009D0336">
        <w:t>s</w:t>
      </w:r>
      <w:r w:rsidRPr="33B63128">
        <w:t>ignals</w:t>
      </w:r>
      <w:r w:rsidR="009D0336">
        <w:t xml:space="preserve"> of change</w:t>
      </w:r>
    </w:p>
    <w:p w14:paraId="2A93CF8C" w14:textId="17D76EA4" w:rsidR="00CC134D" w:rsidRDefault="003302C4" w:rsidP="003302C4">
      <w:pPr>
        <w:spacing w:after="0" w:line="240" w:lineRule="auto"/>
      </w:pPr>
      <w:r>
        <w:t xml:space="preserve">Scanning identifies </w:t>
      </w:r>
      <w:r w:rsidR="009D0336">
        <w:t xml:space="preserve">possible </w:t>
      </w:r>
      <w:r>
        <w:t xml:space="preserve">shifts that may have significant implications on the issue and the system. Scanning can include literature reviews and interviews </w:t>
      </w:r>
      <w:r w:rsidR="6B0F83F7">
        <w:t>that aim to uncover the mentalities of people who have knowledge in the system.</w:t>
      </w:r>
      <w:r w:rsidR="00B01382">
        <w:rPr>
          <w:rStyle w:val="FootnoteReference"/>
        </w:rPr>
        <w:footnoteReference w:id="9"/>
      </w:r>
      <w:r w:rsidR="6B0F83F7">
        <w:t xml:space="preserve"> </w:t>
      </w:r>
      <w:r w:rsidR="009D0336">
        <w:t>Groups of related</w:t>
      </w:r>
      <w:r w:rsidR="6B0F83F7">
        <w:t xml:space="preserve"> weak signals </w:t>
      </w:r>
      <w:r w:rsidR="6B0F83F7" w:rsidRPr="00B60FB3">
        <w:t>are later developed into insights.</w:t>
      </w:r>
      <w:r w:rsidR="6B0F83F7">
        <w:t xml:space="preserve"> </w:t>
      </w:r>
    </w:p>
    <w:p w14:paraId="038DEE60" w14:textId="77777777" w:rsidR="00513801" w:rsidRDefault="00513801" w:rsidP="003302C4">
      <w:pPr>
        <w:spacing w:after="0" w:line="240" w:lineRule="auto"/>
        <w:rPr>
          <w:b/>
        </w:rPr>
      </w:pPr>
    </w:p>
    <w:p w14:paraId="30B6BCB2" w14:textId="77777777" w:rsidR="00D90E4B" w:rsidRDefault="004B2172" w:rsidP="00D90E4B">
      <w:pPr>
        <w:pStyle w:val="Heading2"/>
      </w:pPr>
      <w:r w:rsidRPr="33B63128">
        <w:t>Step 3: Map the System</w:t>
      </w:r>
    </w:p>
    <w:p w14:paraId="76FE9B69" w14:textId="49432A33" w:rsidR="00CC134D" w:rsidRPr="004B2172" w:rsidRDefault="004B2172" w:rsidP="003302C4">
      <w:pPr>
        <w:spacing w:after="0" w:line="240" w:lineRule="auto"/>
      </w:pPr>
      <w:r>
        <w:t xml:space="preserve">Participants of the study draw a picture of their mental model of the system. The objective is to develop a group system map that identifies where participants think </w:t>
      </w:r>
      <w:r w:rsidR="543CB5A3">
        <w:t>meaningful change</w:t>
      </w:r>
      <w:r>
        <w:t xml:space="preserve"> is possible. This can be done through a variety of diagrams such as process diagrams or casual loop diagrams.</w:t>
      </w:r>
    </w:p>
    <w:p w14:paraId="209CF060" w14:textId="77777777" w:rsidR="00513801" w:rsidRDefault="00513801" w:rsidP="003302C4">
      <w:pPr>
        <w:spacing w:after="0" w:line="240" w:lineRule="auto"/>
        <w:rPr>
          <w:b/>
        </w:rPr>
      </w:pPr>
    </w:p>
    <w:p w14:paraId="26A1FE8D" w14:textId="77777777" w:rsidR="00D90E4B" w:rsidRDefault="004B2172" w:rsidP="00D90E4B">
      <w:pPr>
        <w:pStyle w:val="Heading2"/>
        <w:rPr>
          <w:rStyle w:val="CommentReference"/>
        </w:rPr>
      </w:pPr>
      <w:r w:rsidRPr="33B63128">
        <w:t>Step 4: Select Change Drivers</w:t>
      </w:r>
    </w:p>
    <w:p w14:paraId="3FBE55A3" w14:textId="72725133" w:rsidR="00CC134D" w:rsidRPr="004B2172" w:rsidRDefault="004B2172" w:rsidP="003302C4">
      <w:pPr>
        <w:spacing w:after="0" w:line="240" w:lineRule="auto"/>
      </w:pPr>
      <w:r>
        <w:t>All the insights from the scanning phase are reviewed and the ones that hold significant potential to disrupt are chosen as change drivers for the scenario activity.</w:t>
      </w:r>
      <w:r>
        <w:rPr>
          <w:rStyle w:val="FootnoteReference"/>
        </w:rPr>
        <w:footnoteReference w:id="10"/>
      </w:r>
      <w:r>
        <w:t xml:space="preserve"> Cascade diagrams are used to identify the </w:t>
      </w:r>
      <w:r w:rsidR="009D0336">
        <w:t xml:space="preserve">possible </w:t>
      </w:r>
      <w:r>
        <w:t>second, third, and fourth order implications</w:t>
      </w:r>
      <w:r w:rsidR="009D0336">
        <w:t>, or knock-on effects,</w:t>
      </w:r>
      <w:r>
        <w:t xml:space="preserve"> of the drivers. Additionally, </w:t>
      </w:r>
      <w:r w:rsidR="519D2FF7">
        <w:t>a cross</w:t>
      </w:r>
      <w:r>
        <w:t>-impact analysis is conducted to assess how the given drivers and insights may interact with one another and how the system may evolve.</w:t>
      </w:r>
      <w:r>
        <w:rPr>
          <w:rStyle w:val="FootnoteReference"/>
        </w:rPr>
        <w:footnoteReference w:id="11"/>
      </w:r>
    </w:p>
    <w:p w14:paraId="03E821FD" w14:textId="77777777" w:rsidR="00513801" w:rsidRDefault="00513801" w:rsidP="003302C4">
      <w:pPr>
        <w:spacing w:after="0" w:line="240" w:lineRule="auto"/>
        <w:rPr>
          <w:b/>
        </w:rPr>
      </w:pPr>
    </w:p>
    <w:p w14:paraId="6575DA86" w14:textId="77777777" w:rsidR="00D90E4B" w:rsidRDefault="00C17817" w:rsidP="00D90E4B">
      <w:pPr>
        <w:pStyle w:val="Heading2"/>
        <w:rPr>
          <w:rStyle w:val="CommentReference"/>
        </w:rPr>
      </w:pPr>
      <w:r>
        <w:t>Step 5: Develop Scenarios</w:t>
      </w:r>
    </w:p>
    <w:p w14:paraId="7B6C9D3B" w14:textId="3C7812CB" w:rsidR="00CC134D" w:rsidRPr="00661995" w:rsidRDefault="00C17817" w:rsidP="003302C4">
      <w:pPr>
        <w:spacing w:after="0" w:line="240" w:lineRule="auto"/>
      </w:pPr>
      <w:r>
        <w:t>Scenarios are stories that explore different possible futures based on the insights and change drivers developed through the earlier stages of this foresight process</w:t>
      </w:r>
      <w:r w:rsidR="00661995">
        <w:t xml:space="preserve">. The aim is to allow participants to see what the system could look like under the specific conditions. </w:t>
      </w:r>
      <w:r>
        <w:t>The method undertaken by HRI</w:t>
      </w:r>
      <w:r w:rsidR="16BFADF2">
        <w:t xml:space="preserve"> generally develops four scenarios</w:t>
      </w:r>
      <w:r>
        <w:t xml:space="preserve">: muddling through, incremental progress, incremental decline, and transformation. </w:t>
      </w:r>
    </w:p>
    <w:p w14:paraId="10D8D4BA" w14:textId="77777777" w:rsidR="00513801" w:rsidRDefault="00513801" w:rsidP="003302C4">
      <w:pPr>
        <w:spacing w:after="0" w:line="240" w:lineRule="auto"/>
        <w:rPr>
          <w:b/>
        </w:rPr>
      </w:pPr>
    </w:p>
    <w:p w14:paraId="1E2DF5A0" w14:textId="77777777" w:rsidR="00D90E4B" w:rsidRDefault="00CC134D" w:rsidP="00D90E4B">
      <w:pPr>
        <w:pStyle w:val="Heading2"/>
      </w:pPr>
      <w:r w:rsidRPr="0EA58704">
        <w:t>Step 6: Test Assu</w:t>
      </w:r>
      <w:r w:rsidR="2A460869" w:rsidRPr="0EA58704">
        <w:t>mptions and Identify Challenges</w:t>
      </w:r>
    </w:p>
    <w:p w14:paraId="69659373" w14:textId="043F99AA" w:rsidR="00CC134D" w:rsidRPr="00164F3D" w:rsidRDefault="12FCBC52" w:rsidP="003302C4">
      <w:pPr>
        <w:spacing w:after="0" w:line="240" w:lineRule="auto"/>
      </w:pPr>
      <w:r>
        <w:t>Participants are asked to immerse themselves into each scenario. Then they are asked to identify challenges and opportunities</w:t>
      </w:r>
      <w:r w:rsidR="00BA532C">
        <w:t xml:space="preserve"> within each scenario</w:t>
      </w:r>
      <w:r>
        <w:t xml:space="preserve"> that current policies and systems are not prepared for. The last step is to test the current assumptions from step 1 against each scenario</w:t>
      </w:r>
      <w:r w:rsidR="00AC090C">
        <w:t>.</w:t>
      </w:r>
      <w:r>
        <w:t xml:space="preserve"> </w:t>
      </w:r>
      <w:r w:rsidR="00513801">
        <w:rPr>
          <w:rStyle w:val="FootnoteReference"/>
        </w:rPr>
        <w:footnoteReference w:id="12"/>
      </w:r>
      <w:r>
        <w:t xml:space="preserve"> </w:t>
      </w:r>
    </w:p>
    <w:p w14:paraId="49959D33" w14:textId="77777777" w:rsidR="00F527D6" w:rsidRDefault="00F527D6">
      <w:pPr>
        <w:rPr>
          <w:rFonts w:eastAsiaTheme="majorEastAsia" w:cstheme="majorBidi"/>
          <w:b/>
          <w:color w:val="1F4E79" w:themeColor="accent1" w:themeShade="80"/>
          <w:sz w:val="32"/>
          <w:szCs w:val="32"/>
        </w:rPr>
      </w:pPr>
      <w:r>
        <w:br w:type="page"/>
      </w:r>
    </w:p>
    <w:p w14:paraId="57DC268B" w14:textId="29B616CE" w:rsidR="00164F3D" w:rsidRPr="00164F3D" w:rsidRDefault="00164F3D" w:rsidP="00D90E4B">
      <w:pPr>
        <w:pStyle w:val="Heading1"/>
      </w:pPr>
      <w:r w:rsidRPr="00164F3D">
        <w:lastRenderedPageBreak/>
        <w:t>The Results from the Horizons Foresight Method</w:t>
      </w:r>
      <w:r w:rsidR="009166D3">
        <w:t>:</w:t>
      </w:r>
      <w:r w:rsidR="009166D3">
        <w:rPr>
          <w:rStyle w:val="FootnoteReference"/>
        </w:rPr>
        <w:footnoteReference w:id="13"/>
      </w:r>
      <w:r w:rsidRPr="00164F3D">
        <w:t xml:space="preserve"> </w:t>
      </w:r>
    </w:p>
    <w:p w14:paraId="33BF852D" w14:textId="18EDF635" w:rsidR="00164F3D" w:rsidRDefault="00164F3D" w:rsidP="00164F3D">
      <w:pPr>
        <w:pStyle w:val="ListParagraph"/>
        <w:numPr>
          <w:ilvl w:val="0"/>
          <w:numId w:val="1"/>
        </w:numPr>
        <w:spacing w:after="0"/>
      </w:pPr>
      <w:r>
        <w:t xml:space="preserve">Clarifies </w:t>
      </w:r>
      <w:r w:rsidR="00651E25">
        <w:t>and tests the assumptions that decision-makers use to shape the future</w:t>
      </w:r>
      <w:r w:rsidR="00317A85">
        <w:t>.</w:t>
      </w:r>
    </w:p>
    <w:p w14:paraId="5564F1A7" w14:textId="424E9D3B" w:rsidR="00164F3D" w:rsidRDefault="00164F3D" w:rsidP="00164F3D">
      <w:pPr>
        <w:pStyle w:val="ListParagraph"/>
        <w:numPr>
          <w:ilvl w:val="0"/>
          <w:numId w:val="1"/>
        </w:numPr>
        <w:spacing w:after="0"/>
      </w:pPr>
      <w:r>
        <w:t>Identifies emerging policy challenges and opportunities</w:t>
      </w:r>
      <w:r w:rsidR="00317A85">
        <w:t>.</w:t>
      </w:r>
    </w:p>
    <w:p w14:paraId="1C97797F" w14:textId="28B1AC4F" w:rsidR="00164F3D" w:rsidRDefault="00164F3D" w:rsidP="00164F3D">
      <w:pPr>
        <w:pStyle w:val="ListParagraph"/>
        <w:numPr>
          <w:ilvl w:val="0"/>
          <w:numId w:val="1"/>
        </w:numPr>
        <w:spacing w:after="0"/>
      </w:pPr>
      <w:r>
        <w:t>Develops more robust policy and strategy</w:t>
      </w:r>
      <w:r w:rsidR="00317A85">
        <w:t>.</w:t>
      </w:r>
      <w:r>
        <w:t xml:space="preserve"> </w:t>
      </w:r>
    </w:p>
    <w:p w14:paraId="7A1CD134" w14:textId="77777777" w:rsidR="00463289" w:rsidRPr="002B61DE" w:rsidRDefault="00164F3D" w:rsidP="00795C21">
      <w:pPr>
        <w:pStyle w:val="ListParagraph"/>
        <w:numPr>
          <w:ilvl w:val="0"/>
          <w:numId w:val="1"/>
        </w:numPr>
        <w:spacing w:after="0"/>
      </w:pPr>
      <w:r>
        <w:t>Helps individual</w:t>
      </w:r>
      <w:r w:rsidR="00651E25">
        <w:t xml:space="preserve">s and organizations prepare for </w:t>
      </w:r>
      <w:r>
        <w:t xml:space="preserve">change. </w:t>
      </w:r>
    </w:p>
    <w:p w14:paraId="1C880FA9" w14:textId="77777777" w:rsidR="001924BE" w:rsidRDefault="00590A4C" w:rsidP="00D90E4B">
      <w:pPr>
        <w:pStyle w:val="Heading1"/>
      </w:pPr>
      <w:r w:rsidRPr="00590A4C">
        <w:t>The Importance of Foresight</w:t>
      </w:r>
      <w:r w:rsidR="00513801">
        <w:t xml:space="preserve"> in Government</w:t>
      </w:r>
      <w:r w:rsidR="00651E25">
        <w:t>:</w:t>
      </w:r>
      <w:r w:rsidR="00651E25">
        <w:rPr>
          <w:rStyle w:val="FootnoteReference"/>
        </w:rPr>
        <w:footnoteReference w:id="14"/>
      </w:r>
      <w:r w:rsidRPr="00590A4C">
        <w:t xml:space="preserve"> </w:t>
      </w:r>
    </w:p>
    <w:p w14:paraId="2ACD7EBE" w14:textId="77777777" w:rsidR="00B60FB3" w:rsidRDefault="00590A4C" w:rsidP="00795C21">
      <w:pPr>
        <w:pStyle w:val="ListParagraph"/>
        <w:numPr>
          <w:ilvl w:val="0"/>
          <w:numId w:val="3"/>
        </w:numPr>
        <w:spacing w:after="0"/>
      </w:pPr>
      <w:r w:rsidRPr="00590A4C">
        <w:t>Government needs t</w:t>
      </w:r>
      <w:r>
        <w:t>o ensure anticipatory capacity to be able to prepare and respond to new opportunities and challenges that may emerge in the future.</w:t>
      </w:r>
      <w:r w:rsidR="00513801">
        <w:rPr>
          <w:rStyle w:val="FootnoteReference"/>
        </w:rPr>
        <w:footnoteReference w:id="15"/>
      </w:r>
    </w:p>
    <w:p w14:paraId="28840947" w14:textId="77777777" w:rsidR="00590A4C" w:rsidRDefault="00513801" w:rsidP="00795C21">
      <w:pPr>
        <w:pStyle w:val="ListParagraph"/>
        <w:numPr>
          <w:ilvl w:val="0"/>
          <w:numId w:val="3"/>
        </w:numPr>
        <w:spacing w:after="0"/>
      </w:pPr>
      <w:r>
        <w:t xml:space="preserve">Foresight allows for the best innovative policies that address the opportunities and challenges. </w:t>
      </w:r>
    </w:p>
    <w:p w14:paraId="6C64C2DB" w14:textId="77777777" w:rsidR="001924BE" w:rsidRDefault="00513801" w:rsidP="00513801">
      <w:pPr>
        <w:pStyle w:val="ListParagraph"/>
        <w:numPr>
          <w:ilvl w:val="0"/>
          <w:numId w:val="3"/>
        </w:numPr>
        <w:spacing w:after="0"/>
      </w:pPr>
      <w:r>
        <w:t>It is a mechanism that future-proofs existing or new policies against a variety of future scenarios.</w:t>
      </w:r>
    </w:p>
    <w:p w14:paraId="7E49BD21" w14:textId="5FD6BEEB" w:rsidR="00651E25" w:rsidRDefault="00651E25" w:rsidP="00D90E4B">
      <w:pPr>
        <w:pStyle w:val="Heading1"/>
      </w:pPr>
      <w:r w:rsidRPr="00651E25">
        <w:t>Bibliography</w:t>
      </w:r>
    </w:p>
    <w:p w14:paraId="36805223" w14:textId="77777777" w:rsidR="00651E25" w:rsidRDefault="00651E25" w:rsidP="00651E25">
      <w:pPr>
        <w:spacing w:after="0"/>
      </w:pPr>
      <w:r w:rsidRPr="00651E25">
        <w:t xml:space="preserve">Policy Horizons Canada. (2018). Foresight vs Forecast. Retrieved from </w:t>
      </w:r>
    </w:p>
    <w:p w14:paraId="73DBD810" w14:textId="2A9CAFEC" w:rsidR="00651E25" w:rsidRPr="00651E25" w:rsidRDefault="00F527D6" w:rsidP="00651E25">
      <w:pPr>
        <w:spacing w:after="0"/>
        <w:ind w:left="720"/>
        <w:rPr>
          <w:b/>
        </w:rPr>
      </w:pPr>
      <w:hyperlink r:id="rId12" w:history="1">
        <w:r w:rsidR="00A76CA7" w:rsidRPr="00EA7CCA">
          <w:rPr>
            <w:rStyle w:val="Hyperlink"/>
          </w:rPr>
          <w:t>http://canadabeyond150.ca/blog/2018/03/foresight-vs-forecast/</w:t>
        </w:r>
      </w:hyperlink>
      <w:r w:rsidR="00A76CA7">
        <w:t xml:space="preserve"> </w:t>
      </w:r>
    </w:p>
    <w:p w14:paraId="53FCC55D" w14:textId="77777777" w:rsidR="00651E25" w:rsidRPr="00651E25" w:rsidRDefault="00651E25" w:rsidP="00651E25">
      <w:pPr>
        <w:spacing w:after="0"/>
      </w:pPr>
    </w:p>
    <w:p w14:paraId="232C5BD3" w14:textId="77777777" w:rsidR="00651E25" w:rsidRDefault="00651E25" w:rsidP="00651E25">
      <w:pPr>
        <w:spacing w:after="0"/>
      </w:pPr>
      <w:r w:rsidRPr="00651E25">
        <w:t xml:space="preserve">Policy Horizons Canada. (2021). Module 1: Introduction to Foresight. Retrieved from </w:t>
      </w:r>
    </w:p>
    <w:p w14:paraId="77CB7BB9" w14:textId="7C72B27C" w:rsidR="00651E25" w:rsidRPr="00651E25" w:rsidRDefault="00F527D6" w:rsidP="00651E25">
      <w:pPr>
        <w:spacing w:after="0"/>
        <w:ind w:left="720"/>
      </w:pPr>
      <w:hyperlink r:id="rId13" w:history="1">
        <w:r w:rsidR="00A76CA7" w:rsidRPr="00EA7CCA">
          <w:rPr>
            <w:rStyle w:val="Hyperlink"/>
          </w:rPr>
          <w:t>https://horizons.gc.ca/en/our-work/learning-materials/foresight-training-manual-module-1-introduction-to-foresight/</w:t>
        </w:r>
      </w:hyperlink>
      <w:r w:rsidR="00A76CA7">
        <w:t xml:space="preserve"> </w:t>
      </w:r>
    </w:p>
    <w:p w14:paraId="545672C0" w14:textId="77777777" w:rsidR="00651E25" w:rsidRPr="00D90E4B" w:rsidRDefault="00651E25" w:rsidP="00651E25">
      <w:pPr>
        <w:spacing w:after="0"/>
      </w:pPr>
    </w:p>
    <w:p w14:paraId="3E110119" w14:textId="641C1D49" w:rsidR="00651E25" w:rsidRDefault="433D009D" w:rsidP="00A76CA7">
      <w:pPr>
        <w:spacing w:after="0"/>
        <w:ind w:left="720" w:hanging="720"/>
      </w:pPr>
      <w:r>
        <w:t>OECD (Organization for Economic Cooperation and Development)</w:t>
      </w:r>
      <w:r w:rsidR="00651E25">
        <w:t>. Strategic Foresight</w:t>
      </w:r>
      <w:r w:rsidR="009D3522">
        <w:t xml:space="preserve"> for Better Policies</w:t>
      </w:r>
      <w:r w:rsidR="00651E25">
        <w:t xml:space="preserve">. (2019). Retrieved from </w:t>
      </w:r>
      <w:hyperlink r:id="rId14" w:history="1">
        <w:r w:rsidR="00A76CA7" w:rsidRPr="00EA7CCA">
          <w:rPr>
            <w:rStyle w:val="Hyperlink"/>
          </w:rPr>
          <w:t>https://www.oecd.org/strategic-foresight/ourwork/Strategic%20Foresight%20for%20Better%20Policies.pdf</w:t>
        </w:r>
      </w:hyperlink>
      <w:r w:rsidR="00A76CA7">
        <w:t xml:space="preserve"> </w:t>
      </w:r>
    </w:p>
    <w:p w14:paraId="1426A2AC" w14:textId="77777777" w:rsidR="00DA6102" w:rsidRDefault="00DA6102" w:rsidP="00D90E4B">
      <w:pPr>
        <w:pStyle w:val="Heading1"/>
      </w:pPr>
      <w:r w:rsidRPr="00DA6102">
        <w:t>Additional Resources</w:t>
      </w:r>
    </w:p>
    <w:p w14:paraId="3B0A9743" w14:textId="77777777" w:rsidR="00C17817" w:rsidRDefault="00C17817" w:rsidP="00C17817">
      <w:pPr>
        <w:spacing w:after="0"/>
      </w:pPr>
      <w:r>
        <w:t xml:space="preserve">Learn more about the strategic foresight process at </w:t>
      </w:r>
      <w:hyperlink r:id="rId15">
        <w:r w:rsidRPr="33B63128">
          <w:rPr>
            <w:rStyle w:val="Hyperlink"/>
            <w:rFonts w:ascii="Calibri" w:eastAsia="Calibri" w:hAnsi="Calibri" w:cs="Calibri"/>
          </w:rPr>
          <w:t>Policy Horizons Canada - Resources.</w:t>
        </w:r>
      </w:hyperlink>
    </w:p>
    <w:p w14:paraId="753F4C0C" w14:textId="70D08669" w:rsidR="00C17817" w:rsidRDefault="00C17817" w:rsidP="00C17817">
      <w:pPr>
        <w:spacing w:after="0"/>
      </w:pPr>
    </w:p>
    <w:p w14:paraId="6649FC6E" w14:textId="26686BBF" w:rsidR="00DA6102" w:rsidRDefault="009B224C" w:rsidP="009B224C">
      <w:pPr>
        <w:spacing w:after="0"/>
        <w:ind w:left="720" w:hanging="720"/>
        <w:rPr>
          <w:rStyle w:val="Hyperlink"/>
        </w:rPr>
      </w:pPr>
      <w:r>
        <w:t xml:space="preserve">GOV.UK. </w:t>
      </w:r>
      <w:r w:rsidRPr="009B224C">
        <w:t>Features of effective systemic foresight in governments around the world</w:t>
      </w:r>
      <w:r>
        <w:t xml:space="preserve">. Retrieved from </w:t>
      </w:r>
      <w:hyperlink r:id="rId16" w:history="1">
        <w:r w:rsidR="00DA6102">
          <w:rPr>
            <w:rStyle w:val="Hyperlink"/>
          </w:rPr>
          <w:t>https://foresightprojects.blog.gov.uk/2021/05/12/features-of-effective-systemic-foresight-in-governments-around-the-world/</w:t>
        </w:r>
      </w:hyperlink>
    </w:p>
    <w:p w14:paraId="64C66040" w14:textId="00DCF7C6" w:rsidR="003818D9" w:rsidRPr="00D90E4B" w:rsidRDefault="003818D9" w:rsidP="00D90E4B">
      <w:pPr>
        <w:spacing w:after="0" w:line="240" w:lineRule="auto"/>
      </w:pPr>
    </w:p>
    <w:p w14:paraId="3F65FD60" w14:textId="0EFA3F0E" w:rsidR="00DA6102" w:rsidRDefault="003818D9" w:rsidP="00D90E4B">
      <w:pPr>
        <w:spacing w:after="0" w:line="240" w:lineRule="auto"/>
        <w:ind w:left="720" w:hanging="720"/>
      </w:pPr>
      <w:r w:rsidRPr="00D90E4B">
        <w:t>G</w:t>
      </w:r>
      <w:r>
        <w:t xml:space="preserve">OV.UK. </w:t>
      </w:r>
      <w:r w:rsidRPr="003818D9">
        <w:t>Futures thinking and foresight: a brief guide</w:t>
      </w:r>
      <w:r w:rsidR="009B224C">
        <w:t xml:space="preserve">. Retrieved from </w:t>
      </w:r>
      <w:hyperlink r:id="rId17" w:history="1">
        <w:r w:rsidR="00DA6102">
          <w:rPr>
            <w:rStyle w:val="Hyperlink"/>
          </w:rPr>
          <w:t>https://www.gov.uk/government/publications/futures-thinking-and-foresight-a-brief-guide</w:t>
        </w:r>
      </w:hyperlink>
    </w:p>
    <w:p w14:paraId="0A19DEED" w14:textId="0C4D42D3" w:rsidR="009B224C" w:rsidRDefault="009B224C" w:rsidP="00D90E4B">
      <w:pPr>
        <w:spacing w:after="0" w:line="240" w:lineRule="auto"/>
      </w:pPr>
    </w:p>
    <w:p w14:paraId="46B6178D" w14:textId="3B71E457" w:rsidR="00DA6102" w:rsidRDefault="009B224C" w:rsidP="00D90E4B">
      <w:pPr>
        <w:spacing w:after="0" w:line="240" w:lineRule="auto"/>
        <w:ind w:left="720" w:hanging="720"/>
      </w:pPr>
      <w:r w:rsidRPr="009B224C">
        <w:t>The Finnish Innovation Fund Sitra</w:t>
      </w:r>
      <w:r>
        <w:t xml:space="preserve">. Futures Frequency. Retrieved from </w:t>
      </w:r>
      <w:hyperlink r:id="rId18" w:history="1">
        <w:r w:rsidR="00DA6102">
          <w:rPr>
            <w:rStyle w:val="Hyperlink"/>
          </w:rPr>
          <w:t>https://www.sitra.fi/en/projects/futures-frequency/</w:t>
        </w:r>
      </w:hyperlink>
    </w:p>
    <w:p w14:paraId="0BB9BF16" w14:textId="36A18F34" w:rsidR="009B224C" w:rsidRDefault="009B224C" w:rsidP="00D90E4B">
      <w:pPr>
        <w:spacing w:after="0" w:line="240" w:lineRule="auto"/>
      </w:pPr>
    </w:p>
    <w:p w14:paraId="52B26798" w14:textId="0DD33CE6" w:rsidR="00DA6102" w:rsidRDefault="009B224C" w:rsidP="00D90E4B">
      <w:pPr>
        <w:spacing w:after="0" w:line="240" w:lineRule="auto"/>
        <w:ind w:left="720" w:hanging="720"/>
      </w:pPr>
      <w:r w:rsidRPr="009B224C">
        <w:t>Wilner, Alex; Roy, Martin</w:t>
      </w:r>
      <w:r>
        <w:t xml:space="preserve"> (2020). </w:t>
      </w:r>
      <w:r w:rsidRPr="009B224C">
        <w:t>Canada’s emerging foresight landscape: observations and lessons</w:t>
      </w:r>
      <w:r>
        <w:t xml:space="preserve">. </w:t>
      </w:r>
      <w:r>
        <w:rPr>
          <w:i/>
        </w:rPr>
        <w:t>F</w:t>
      </w:r>
      <w:r w:rsidRPr="00D90E4B">
        <w:rPr>
          <w:i/>
        </w:rPr>
        <w:t>oresight</w:t>
      </w:r>
      <w:r w:rsidRPr="009B224C">
        <w:t>, Volume 22 (5/6): 12 – Dec 10, 2020</w:t>
      </w:r>
      <w:r w:rsidR="009D3522">
        <w:t xml:space="preserve">. Retrieved from </w:t>
      </w:r>
      <w:hyperlink r:id="rId19" w:history="1">
        <w:r w:rsidR="00DA6102">
          <w:rPr>
            <w:rStyle w:val="Hyperlink"/>
          </w:rPr>
          <w:t>https://www.emerald.com/insight/content/doi/10.1108/FS-03-2020-0027/full/html?skipTracking=true</w:t>
        </w:r>
      </w:hyperlink>
    </w:p>
    <w:p w14:paraId="213D1739" w14:textId="77777777" w:rsidR="00DA6102" w:rsidRPr="00D90E4B" w:rsidRDefault="00DA6102" w:rsidP="00D90E4B">
      <w:pPr>
        <w:spacing w:after="0" w:line="240" w:lineRule="auto"/>
      </w:pPr>
    </w:p>
    <w:sectPr w:rsidR="00DA6102" w:rsidRPr="00D90E4B" w:rsidSect="00F527D6">
      <w:headerReference w:type="default" r:id="rId20"/>
      <w:headerReference w:type="first" r:id="rId21"/>
      <w:pgSz w:w="12240" w:h="15840" w:code="1"/>
      <w:pgMar w:top="1296" w:right="1296" w:bottom="1152" w:left="1296" w:header="576" w:footer="576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7DFDF9" w16cex:dateUtc="2021-08-12T15:00:37.4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5391F8" w16cid:durableId="40154375"/>
  <w16cid:commentId w16cid:paraId="51101550" w16cid:durableId="6E05ED3E"/>
  <w16cid:commentId w16cid:paraId="4A5D1C9E" w16cid:durableId="28D63D2B"/>
  <w16cid:commentId w16cid:paraId="7E0A1733" w16cid:durableId="0F69D699"/>
  <w16cid:commentId w16cid:paraId="30928734" w16cid:durableId="2DCAD242"/>
  <w16cid:commentId w16cid:paraId="51F6F3A8" w16cid:durableId="307DFD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BDC20" w14:textId="77777777" w:rsidR="00EC2CC8" w:rsidRDefault="00EC2CC8" w:rsidP="008B24F4">
      <w:pPr>
        <w:spacing w:after="0" w:line="240" w:lineRule="auto"/>
      </w:pPr>
      <w:r>
        <w:separator/>
      </w:r>
    </w:p>
  </w:endnote>
  <w:endnote w:type="continuationSeparator" w:id="0">
    <w:p w14:paraId="51421B00" w14:textId="77777777" w:rsidR="00EC2CC8" w:rsidRDefault="00EC2CC8" w:rsidP="008B24F4">
      <w:pPr>
        <w:spacing w:after="0" w:line="240" w:lineRule="auto"/>
      </w:pPr>
      <w:r>
        <w:continuationSeparator/>
      </w:r>
    </w:p>
  </w:endnote>
  <w:endnote w:type="continuationNotice" w:id="1">
    <w:p w14:paraId="154BE425" w14:textId="77777777" w:rsidR="00EC2CC8" w:rsidRDefault="00EC2C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5344" w14:textId="77777777" w:rsidR="00EC2CC8" w:rsidRDefault="00EC2CC8" w:rsidP="008B24F4">
      <w:pPr>
        <w:spacing w:after="0" w:line="240" w:lineRule="auto"/>
      </w:pPr>
      <w:r>
        <w:separator/>
      </w:r>
    </w:p>
  </w:footnote>
  <w:footnote w:type="continuationSeparator" w:id="0">
    <w:p w14:paraId="1D918E03" w14:textId="77777777" w:rsidR="00EC2CC8" w:rsidRDefault="00EC2CC8" w:rsidP="008B24F4">
      <w:pPr>
        <w:spacing w:after="0" w:line="240" w:lineRule="auto"/>
      </w:pPr>
      <w:r>
        <w:continuationSeparator/>
      </w:r>
    </w:p>
  </w:footnote>
  <w:footnote w:type="continuationNotice" w:id="1">
    <w:p w14:paraId="06A53F0F" w14:textId="77777777" w:rsidR="00EC2CC8" w:rsidRDefault="00EC2CC8">
      <w:pPr>
        <w:spacing w:after="0" w:line="240" w:lineRule="auto"/>
      </w:pPr>
    </w:p>
  </w:footnote>
  <w:footnote w:id="2">
    <w:p w14:paraId="3406CCA0" w14:textId="77777777" w:rsidR="00BA532C" w:rsidRPr="00513801" w:rsidRDefault="00BA532C">
      <w:pPr>
        <w:pStyle w:val="FootnoteText"/>
        <w:rPr>
          <w:sz w:val="14"/>
          <w:szCs w:val="14"/>
        </w:rPr>
      </w:pPr>
      <w:r w:rsidRPr="00513801">
        <w:rPr>
          <w:rStyle w:val="FootnoteReference"/>
          <w:sz w:val="14"/>
          <w:szCs w:val="14"/>
        </w:rPr>
        <w:footnoteRef/>
      </w:r>
      <w:r w:rsidRPr="00513801">
        <w:rPr>
          <w:sz w:val="14"/>
          <w:szCs w:val="14"/>
        </w:rPr>
        <w:t xml:space="preserve"> Policy Horizons Canada. (2021). Module 1: Introduction to Foresight. Retrieved from https://horizons.gc.ca/en/our-work/learning-materials/foresight-training-manual-module-1-introduction-to-foresight/</w:t>
      </w:r>
    </w:p>
  </w:footnote>
  <w:footnote w:id="3">
    <w:p w14:paraId="03E4D36C" w14:textId="77777777" w:rsidR="00BA532C" w:rsidRPr="00513801" w:rsidRDefault="00BA532C">
      <w:pPr>
        <w:pStyle w:val="FootnoteText"/>
        <w:rPr>
          <w:sz w:val="14"/>
          <w:szCs w:val="14"/>
        </w:rPr>
      </w:pPr>
      <w:r w:rsidRPr="00513801">
        <w:rPr>
          <w:rStyle w:val="FootnoteReference"/>
          <w:sz w:val="14"/>
          <w:szCs w:val="14"/>
        </w:rPr>
        <w:footnoteRef/>
      </w:r>
      <w:r w:rsidRPr="00513801">
        <w:rPr>
          <w:sz w:val="14"/>
          <w:szCs w:val="14"/>
        </w:rPr>
        <w:t xml:space="preserve"> Ibid.</w:t>
      </w:r>
    </w:p>
  </w:footnote>
  <w:footnote w:id="4">
    <w:p w14:paraId="7C8F79AC" w14:textId="77777777" w:rsidR="00BA532C" w:rsidRPr="00513801" w:rsidRDefault="00BA532C">
      <w:pPr>
        <w:pStyle w:val="FootnoteText"/>
        <w:rPr>
          <w:sz w:val="14"/>
          <w:szCs w:val="14"/>
        </w:rPr>
      </w:pPr>
      <w:r w:rsidRPr="00513801">
        <w:rPr>
          <w:rStyle w:val="FootnoteReference"/>
          <w:sz w:val="14"/>
          <w:szCs w:val="14"/>
        </w:rPr>
        <w:footnoteRef/>
      </w:r>
      <w:r w:rsidRPr="00513801">
        <w:rPr>
          <w:sz w:val="14"/>
          <w:szCs w:val="14"/>
        </w:rPr>
        <w:t xml:space="preserve"> Ibid. </w:t>
      </w:r>
    </w:p>
  </w:footnote>
  <w:footnote w:id="5">
    <w:p w14:paraId="273BB877" w14:textId="77777777" w:rsidR="00BA532C" w:rsidRPr="00513801" w:rsidRDefault="00BA532C">
      <w:pPr>
        <w:pStyle w:val="FootnoteText"/>
        <w:rPr>
          <w:sz w:val="14"/>
          <w:szCs w:val="14"/>
        </w:rPr>
      </w:pPr>
      <w:r w:rsidRPr="00513801">
        <w:rPr>
          <w:rStyle w:val="FootnoteReference"/>
          <w:sz w:val="14"/>
          <w:szCs w:val="14"/>
        </w:rPr>
        <w:footnoteRef/>
      </w:r>
      <w:r w:rsidRPr="00513801">
        <w:rPr>
          <w:sz w:val="14"/>
          <w:szCs w:val="14"/>
        </w:rPr>
        <w:t xml:space="preserve"> Policy Horizons Canada. (2018). Foresight vs Forecast. Retrieved from http://canadabeyond150.ca/blog/2018/03/foresight-vs-forecast/#:~:text=Foresight%20does%20not%20predict%20the,and%20the%20analysis%20of%20trends.</w:t>
      </w:r>
    </w:p>
  </w:footnote>
  <w:footnote w:id="6">
    <w:p w14:paraId="3920862C" w14:textId="77777777" w:rsidR="00BA532C" w:rsidRPr="00513801" w:rsidRDefault="00BA532C">
      <w:pPr>
        <w:pStyle w:val="FootnoteText"/>
        <w:rPr>
          <w:sz w:val="14"/>
          <w:szCs w:val="14"/>
        </w:rPr>
      </w:pPr>
      <w:r w:rsidRPr="00513801">
        <w:rPr>
          <w:rStyle w:val="FootnoteReference"/>
          <w:sz w:val="14"/>
          <w:szCs w:val="14"/>
        </w:rPr>
        <w:footnoteRef/>
      </w:r>
      <w:r w:rsidRPr="00513801">
        <w:rPr>
          <w:sz w:val="14"/>
          <w:szCs w:val="14"/>
        </w:rPr>
        <w:t xml:space="preserve"> Policy Horizons Canada. (2021). Module 1: Introduction to Foresight. Retrieved from https://horizons.gc.ca/en/our-work/learning-materials/foresight-training-manual-module-1-introduction-to-foresight/</w:t>
      </w:r>
    </w:p>
  </w:footnote>
  <w:footnote w:id="7">
    <w:p w14:paraId="2FC810C4" w14:textId="77777777" w:rsidR="00BA532C" w:rsidRDefault="00BA532C">
      <w:pPr>
        <w:pStyle w:val="FootnoteText"/>
      </w:pPr>
      <w:r w:rsidRPr="00513801">
        <w:rPr>
          <w:rStyle w:val="FootnoteReference"/>
          <w:sz w:val="14"/>
          <w:szCs w:val="14"/>
        </w:rPr>
        <w:footnoteRef/>
      </w:r>
      <w:r w:rsidRPr="00513801">
        <w:rPr>
          <w:sz w:val="14"/>
          <w:szCs w:val="14"/>
        </w:rPr>
        <w:t xml:space="preserve"> Ibid.</w:t>
      </w:r>
      <w:r>
        <w:t xml:space="preserve"> </w:t>
      </w:r>
    </w:p>
  </w:footnote>
  <w:footnote w:id="8">
    <w:p w14:paraId="2937ED52" w14:textId="77777777" w:rsidR="00BA532C" w:rsidRPr="00513801" w:rsidRDefault="00BA532C">
      <w:pPr>
        <w:pStyle w:val="FootnoteText"/>
        <w:rPr>
          <w:sz w:val="14"/>
          <w:szCs w:val="14"/>
        </w:rPr>
      </w:pPr>
      <w:r w:rsidRPr="00513801">
        <w:rPr>
          <w:rStyle w:val="FootnoteReference"/>
          <w:sz w:val="14"/>
          <w:szCs w:val="14"/>
        </w:rPr>
        <w:footnoteRef/>
      </w:r>
      <w:r w:rsidRPr="00513801">
        <w:rPr>
          <w:sz w:val="14"/>
          <w:szCs w:val="14"/>
        </w:rPr>
        <w:t xml:space="preserve"> Policy Horizons Canada. (2021). Module 1: Introduction to Foresight. Retrieved from https://horizons.gc.ca/en/our-work/learning-materials/foresight-training-manual-module-1-introduction-to-foresight/</w:t>
      </w:r>
    </w:p>
  </w:footnote>
  <w:footnote w:id="9">
    <w:p w14:paraId="61982C84" w14:textId="77777777" w:rsidR="00BA532C" w:rsidRPr="00513801" w:rsidRDefault="00BA532C" w:rsidP="00C17817">
      <w:pPr>
        <w:pStyle w:val="FootnoteText"/>
        <w:jc w:val="both"/>
        <w:rPr>
          <w:sz w:val="14"/>
          <w:szCs w:val="14"/>
        </w:rPr>
      </w:pPr>
      <w:r w:rsidRPr="00513801">
        <w:rPr>
          <w:rStyle w:val="FootnoteReference"/>
          <w:sz w:val="14"/>
          <w:szCs w:val="14"/>
        </w:rPr>
        <w:footnoteRef/>
      </w:r>
      <w:r w:rsidRPr="00513801">
        <w:rPr>
          <w:sz w:val="14"/>
          <w:szCs w:val="14"/>
        </w:rPr>
        <w:t xml:space="preserve"> Policy Horizons Canada. (2021). Module 1: Introduction to Foresight. Retrieved from https://horizons.gc.ca/en/our-work/learning-materials/foresight-training-manual-module-1-introduction-to-foresight/</w:t>
      </w:r>
    </w:p>
  </w:footnote>
  <w:footnote w:id="10">
    <w:p w14:paraId="25F0B9F8" w14:textId="77777777" w:rsidR="00BA532C" w:rsidRPr="00513801" w:rsidRDefault="00BA532C" w:rsidP="00C17817">
      <w:pPr>
        <w:pStyle w:val="FootnoteText"/>
        <w:jc w:val="both"/>
        <w:rPr>
          <w:sz w:val="14"/>
          <w:szCs w:val="14"/>
        </w:rPr>
      </w:pPr>
      <w:r w:rsidRPr="00513801">
        <w:rPr>
          <w:rStyle w:val="FootnoteReference"/>
          <w:sz w:val="14"/>
          <w:szCs w:val="14"/>
        </w:rPr>
        <w:footnoteRef/>
      </w:r>
      <w:r w:rsidRPr="00513801">
        <w:rPr>
          <w:sz w:val="14"/>
          <w:szCs w:val="14"/>
        </w:rPr>
        <w:t xml:space="preserve"> Ibid. </w:t>
      </w:r>
    </w:p>
  </w:footnote>
  <w:footnote w:id="11">
    <w:p w14:paraId="1F1B15CB" w14:textId="77777777" w:rsidR="00BA532C" w:rsidRPr="00513801" w:rsidRDefault="00BA532C" w:rsidP="00C17817">
      <w:pPr>
        <w:pStyle w:val="FootnoteText"/>
        <w:jc w:val="both"/>
        <w:rPr>
          <w:sz w:val="14"/>
          <w:szCs w:val="14"/>
        </w:rPr>
      </w:pPr>
      <w:r w:rsidRPr="00513801">
        <w:rPr>
          <w:rStyle w:val="FootnoteReference"/>
          <w:sz w:val="14"/>
          <w:szCs w:val="14"/>
        </w:rPr>
        <w:footnoteRef/>
      </w:r>
      <w:r w:rsidRPr="00513801">
        <w:rPr>
          <w:sz w:val="14"/>
          <w:szCs w:val="14"/>
        </w:rPr>
        <w:t xml:space="preserve"> Ibid. </w:t>
      </w:r>
    </w:p>
  </w:footnote>
  <w:footnote w:id="12">
    <w:p w14:paraId="6D1FD726" w14:textId="77777777" w:rsidR="00BA532C" w:rsidRPr="00513801" w:rsidRDefault="00BA532C" w:rsidP="00C17817">
      <w:pPr>
        <w:pStyle w:val="FootnoteText"/>
        <w:jc w:val="both"/>
        <w:rPr>
          <w:sz w:val="14"/>
          <w:szCs w:val="14"/>
        </w:rPr>
      </w:pPr>
      <w:r w:rsidRPr="00513801">
        <w:rPr>
          <w:rStyle w:val="FootnoteReference"/>
          <w:sz w:val="14"/>
          <w:szCs w:val="14"/>
        </w:rPr>
        <w:footnoteRef/>
      </w:r>
      <w:r w:rsidRPr="00513801">
        <w:rPr>
          <w:sz w:val="14"/>
          <w:szCs w:val="14"/>
        </w:rPr>
        <w:t xml:space="preserve"> Ibid.</w:t>
      </w:r>
    </w:p>
  </w:footnote>
  <w:footnote w:id="13">
    <w:p w14:paraId="798DB4CD" w14:textId="77777777" w:rsidR="00BA532C" w:rsidRPr="009166D3" w:rsidRDefault="00BA532C" w:rsidP="00C17817">
      <w:pPr>
        <w:pStyle w:val="FootnoteText"/>
        <w:jc w:val="both"/>
        <w:rPr>
          <w:sz w:val="14"/>
          <w:szCs w:val="14"/>
        </w:rPr>
      </w:pPr>
      <w:r w:rsidRPr="009166D3">
        <w:rPr>
          <w:rStyle w:val="FootnoteReference"/>
          <w:sz w:val="14"/>
          <w:szCs w:val="14"/>
        </w:rPr>
        <w:footnoteRef/>
      </w:r>
      <w:r w:rsidRPr="009166D3">
        <w:rPr>
          <w:sz w:val="14"/>
          <w:szCs w:val="14"/>
        </w:rPr>
        <w:t xml:space="preserve"> Ibid.</w:t>
      </w:r>
    </w:p>
  </w:footnote>
  <w:footnote w:id="14">
    <w:p w14:paraId="4C5E212C" w14:textId="77777777" w:rsidR="00BA532C" w:rsidRPr="00651E25" w:rsidRDefault="00BA532C" w:rsidP="00C17817">
      <w:pPr>
        <w:pStyle w:val="FootnoteText"/>
        <w:jc w:val="both"/>
        <w:rPr>
          <w:sz w:val="14"/>
          <w:szCs w:val="14"/>
        </w:rPr>
      </w:pPr>
      <w:r w:rsidRPr="00651E25">
        <w:rPr>
          <w:rStyle w:val="FootnoteReference"/>
          <w:sz w:val="14"/>
          <w:szCs w:val="14"/>
        </w:rPr>
        <w:footnoteRef/>
      </w:r>
      <w:r w:rsidRPr="00651E25">
        <w:rPr>
          <w:sz w:val="14"/>
          <w:szCs w:val="14"/>
        </w:rPr>
        <w:t xml:space="preserve"> OECD. Strategic Foresight. (2019). Retrieved from https://www.oecd.org/strategic-foresight/ourwork/Strategic%20Foresight%20for%20Better%20Policies.pdf</w:t>
      </w:r>
    </w:p>
  </w:footnote>
  <w:footnote w:id="15">
    <w:p w14:paraId="522B62D6" w14:textId="77777777" w:rsidR="00BA532C" w:rsidRDefault="00BA532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6128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32E845" w14:textId="3FEA5BEB" w:rsidR="00BA532C" w:rsidRDefault="00BA53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7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231A" w14:textId="3DF82D03" w:rsidR="002D5688" w:rsidRPr="00B4217E" w:rsidRDefault="002D5688" w:rsidP="00B4217E">
    <w:pPr>
      <w:pStyle w:val="Header"/>
      <w:jc w:val="right"/>
      <w:rPr>
        <w:sz w:val="28"/>
      </w:rPr>
    </w:pPr>
    <w:r w:rsidRPr="00B4217E">
      <w:rPr>
        <w:sz w:val="28"/>
      </w:rPr>
      <w:t>UNCLASSIFIED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69"/>
    <w:multiLevelType w:val="hybridMultilevel"/>
    <w:tmpl w:val="47F63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73B1"/>
    <w:multiLevelType w:val="hybridMultilevel"/>
    <w:tmpl w:val="7FBE39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4D22"/>
    <w:multiLevelType w:val="hybridMultilevel"/>
    <w:tmpl w:val="448E7AC0"/>
    <w:lvl w:ilvl="0" w:tplc="BB84493E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5717C"/>
    <w:multiLevelType w:val="hybridMultilevel"/>
    <w:tmpl w:val="00B0E10C"/>
    <w:lvl w:ilvl="0" w:tplc="8CEA6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B7346"/>
    <w:multiLevelType w:val="hybridMultilevel"/>
    <w:tmpl w:val="F40408EC"/>
    <w:lvl w:ilvl="0" w:tplc="7A6E4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B"/>
    <w:rsid w:val="0001594A"/>
    <w:rsid w:val="000F2FD4"/>
    <w:rsid w:val="00164F3D"/>
    <w:rsid w:val="001924BE"/>
    <w:rsid w:val="001C008E"/>
    <w:rsid w:val="002B61DE"/>
    <w:rsid w:val="002B6C47"/>
    <w:rsid w:val="002D5688"/>
    <w:rsid w:val="002E709C"/>
    <w:rsid w:val="00317A85"/>
    <w:rsid w:val="003218DD"/>
    <w:rsid w:val="003302C4"/>
    <w:rsid w:val="0037759D"/>
    <w:rsid w:val="003818D9"/>
    <w:rsid w:val="003C2924"/>
    <w:rsid w:val="004466E7"/>
    <w:rsid w:val="004570DF"/>
    <w:rsid w:val="00463289"/>
    <w:rsid w:val="004B2172"/>
    <w:rsid w:val="004F7725"/>
    <w:rsid w:val="00513801"/>
    <w:rsid w:val="00570D22"/>
    <w:rsid w:val="00590A4C"/>
    <w:rsid w:val="00596E47"/>
    <w:rsid w:val="00651E25"/>
    <w:rsid w:val="00661995"/>
    <w:rsid w:val="00672EBC"/>
    <w:rsid w:val="006753FF"/>
    <w:rsid w:val="00692ABA"/>
    <w:rsid w:val="006B394B"/>
    <w:rsid w:val="006F7B9D"/>
    <w:rsid w:val="00795C21"/>
    <w:rsid w:val="00882C4D"/>
    <w:rsid w:val="008B24F4"/>
    <w:rsid w:val="008B716A"/>
    <w:rsid w:val="0090153C"/>
    <w:rsid w:val="009166D3"/>
    <w:rsid w:val="009B224C"/>
    <w:rsid w:val="009D0336"/>
    <w:rsid w:val="009D3522"/>
    <w:rsid w:val="009E1EED"/>
    <w:rsid w:val="00A74A1E"/>
    <w:rsid w:val="00A76CA7"/>
    <w:rsid w:val="00A848C8"/>
    <w:rsid w:val="00AA2E69"/>
    <w:rsid w:val="00AC090C"/>
    <w:rsid w:val="00B01382"/>
    <w:rsid w:val="00B329C1"/>
    <w:rsid w:val="00B4217E"/>
    <w:rsid w:val="00B60FB3"/>
    <w:rsid w:val="00B84B04"/>
    <w:rsid w:val="00BA532C"/>
    <w:rsid w:val="00BB2D2B"/>
    <w:rsid w:val="00C17817"/>
    <w:rsid w:val="00C35107"/>
    <w:rsid w:val="00C474BF"/>
    <w:rsid w:val="00CC134D"/>
    <w:rsid w:val="00CD40CD"/>
    <w:rsid w:val="00CF6BEC"/>
    <w:rsid w:val="00D104EF"/>
    <w:rsid w:val="00D7086B"/>
    <w:rsid w:val="00D90E4B"/>
    <w:rsid w:val="00DA6102"/>
    <w:rsid w:val="00E529B1"/>
    <w:rsid w:val="00E53F3E"/>
    <w:rsid w:val="00EC2CC8"/>
    <w:rsid w:val="00EE25CC"/>
    <w:rsid w:val="00EE5A2C"/>
    <w:rsid w:val="00F527D6"/>
    <w:rsid w:val="00F810F7"/>
    <w:rsid w:val="0EA58704"/>
    <w:rsid w:val="12FCBC52"/>
    <w:rsid w:val="16BFADF2"/>
    <w:rsid w:val="1A357E2A"/>
    <w:rsid w:val="1FE9D8CA"/>
    <w:rsid w:val="2A460869"/>
    <w:rsid w:val="2DD5D4B5"/>
    <w:rsid w:val="2F31D4F0"/>
    <w:rsid w:val="30291920"/>
    <w:rsid w:val="33B63128"/>
    <w:rsid w:val="3A40F1D7"/>
    <w:rsid w:val="3B26E488"/>
    <w:rsid w:val="433D009D"/>
    <w:rsid w:val="43419FAF"/>
    <w:rsid w:val="4DB1114C"/>
    <w:rsid w:val="519D2FF7"/>
    <w:rsid w:val="543CB5A3"/>
    <w:rsid w:val="58C905F4"/>
    <w:rsid w:val="5B710277"/>
    <w:rsid w:val="6B0F83F7"/>
    <w:rsid w:val="6B313DC9"/>
    <w:rsid w:val="6E35651E"/>
    <w:rsid w:val="7BF4A418"/>
    <w:rsid w:val="7FA7B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D21D48"/>
  <w15:chartTrackingRefBased/>
  <w15:docId w15:val="{BC9AA79F-D457-470A-AD60-CC9EBFDC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0CD"/>
    <w:pPr>
      <w:keepNext/>
      <w:keepLines/>
      <w:spacing w:before="240" w:after="0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E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24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4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4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4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8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25"/>
  </w:style>
  <w:style w:type="paragraph" w:styleId="Footer">
    <w:name w:val="footer"/>
    <w:basedOn w:val="Normal"/>
    <w:link w:val="FooterChar"/>
    <w:uiPriority w:val="99"/>
    <w:unhideWhenUsed/>
    <w:rsid w:val="0065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25"/>
  </w:style>
  <w:style w:type="character" w:styleId="CommentReference">
    <w:name w:val="annotation reference"/>
    <w:basedOn w:val="DefaultParagraphFont"/>
    <w:uiPriority w:val="99"/>
    <w:semiHidden/>
    <w:unhideWhenUsed/>
    <w:rsid w:val="00A84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C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CA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76C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D40CD"/>
    <w:rPr>
      <w:rFonts w:eastAsiaTheme="majorEastAsia" w:cstheme="majorBidi"/>
      <w:b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0E4B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E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7759D"/>
    <w:pPr>
      <w:spacing w:after="24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759D"/>
    <w:rPr>
      <w:rFonts w:eastAsiaTheme="majorEastAsia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orizons.gc.ca/en/our-work/learning-materials/foresight-training-manual-module-1-introduction-to-foresight/" TargetMode="External"/><Relationship Id="rId18" Type="http://schemas.openxmlformats.org/officeDocument/2006/relationships/hyperlink" Target="https://www.sitra.fi/en/projects/futures-frequency/" TargetMode="External"/><Relationship Id="Ra5137f9b3aee4ff0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canadabeyond150.ca/blog/2018/03/foresight-vs-forecast/" TargetMode="External"/><Relationship Id="rId17" Type="http://schemas.openxmlformats.org/officeDocument/2006/relationships/hyperlink" Target="https://www.gov.uk/government/publications/futures-thinking-and-foresight-a-brief-gui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esightprojects.blog.gov.uk/2021/05/12/features-of-effective-systemic-foresight-in-governments-around-the-worl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horizons.gc.ca/en/resource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merald.com/insight/content/doi/10.1108/FS-03-2020-0027/full/html?skipTracking=true" TargetMode="External"/><Relationship Id="R06b1aa12068d404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ecd.org/strategic-foresight/ourwork/Strategic%20Foresight%20for%20Better%20Policie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AD95724B8414680631D3871C01FE3" ma:contentTypeVersion="5" ma:contentTypeDescription="Create a new document." ma:contentTypeScope="" ma:versionID="2cf91a73642552ccb41e7af31c74893e">
  <xsd:schema xmlns:xsd="http://www.w3.org/2001/XMLSchema" xmlns:xs="http://www.w3.org/2001/XMLSchema" xmlns:p="http://schemas.microsoft.com/office/2006/metadata/properties" xmlns:ns2="f411e69e-8c9c-4296-a988-c44aa7846d9b" targetNamespace="http://schemas.microsoft.com/office/2006/metadata/properties" ma:root="true" ma:fieldsID="d99f958e2a3c55d2935205b3a1eba7e7" ns2:_="">
    <xsd:import namespace="f411e69e-8c9c-4296-a988-c44aa7846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1e69e-8c9c-4296-a988-c44aa7846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B4CEF54-53D7-4756-AE6B-74B2338CACC4}">
  <ds:schemaRefs>
    <ds:schemaRef ds:uri="c624f32c-9443-4bbf-9e67-4d9d90a23f6f"/>
    <ds:schemaRef ds:uri="http://schemas.microsoft.com/office/2006/documentManagement/types"/>
    <ds:schemaRef ds:uri="http://schemas.microsoft.com/office/2006/metadata/properties"/>
    <ds:schemaRef ds:uri="http://purl.org/dc/elements/1.1/"/>
    <ds:schemaRef ds:uri="8227ff10-e130-47d4-b8a6-bb79e889b3c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CC3DB0-5C85-4F21-AE43-51B029AAC3FE}"/>
</file>

<file path=customXml/itemProps3.xml><?xml version="1.0" encoding="utf-8"?>
<ds:datastoreItem xmlns:ds="http://schemas.openxmlformats.org/officeDocument/2006/customXml" ds:itemID="{62BD0386-8755-4918-975F-9401CE8E1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D6B52-9031-4B73-9A02-65FCBCF5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Strategic Foresight</vt:lpstr>
    </vt:vector>
  </TitlesOfParts>
  <Company>GoC / GdC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Strategic Foresight</dc:title>
  <dc:subject/>
  <dc:creator>Crossman, Deanna DE [NC]</dc:creator>
  <cp:keywords/>
  <dc:description/>
  <cp:lastModifiedBy>Lee, Hannah H [NC]</cp:lastModifiedBy>
  <cp:revision>7</cp:revision>
  <dcterms:created xsi:type="dcterms:W3CDTF">2021-08-17T19:54:00Z</dcterms:created>
  <dcterms:modified xsi:type="dcterms:W3CDTF">2021-08-23T16:23:00Z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0x010100EF2AD95724B8414680631D3871C01FE3</vt:lpwstr>
  </property>
</Properties>
</file>