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A77B" w14:textId="5720C9E6" w:rsidR="00AA43B1" w:rsidRPr="00AA43B1" w:rsidRDefault="00AA43B1" w:rsidP="00AA43B1">
      <w:pPr>
        <w:jc w:val="center"/>
        <w:rPr>
          <w:b/>
          <w:bCs/>
          <w:sz w:val="28"/>
          <w:szCs w:val="28"/>
          <w:lang w:val="fr-CA"/>
        </w:rPr>
      </w:pPr>
      <w:r w:rsidRPr="00AA43B1">
        <w:rPr>
          <w:b/>
          <w:bCs/>
          <w:sz w:val="28"/>
          <w:szCs w:val="28"/>
          <w:lang w:val="fr-CA"/>
        </w:rPr>
        <w:t>Outil sur la dotation non-impérative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335A2" w:rsidRPr="009A2941" w14:paraId="599104AD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58FC13D0" w14:textId="7C73732B" w:rsidR="000335A2" w:rsidRPr="00C95E2F" w:rsidRDefault="00696F9F" w:rsidP="00C95E2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L</w:t>
            </w:r>
            <w:r w:rsidR="000335A2"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a </w:t>
            </w:r>
            <w:r w:rsidR="006F35ED"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dotation des postes bilingues</w:t>
            </w:r>
          </w:p>
        </w:tc>
      </w:tr>
      <w:tr w:rsidR="000335A2" w:rsidRPr="00FD207E" w14:paraId="1C1D3953" w14:textId="77777777" w:rsidTr="00C95E2F">
        <w:tc>
          <w:tcPr>
            <w:tcW w:w="10065" w:type="dxa"/>
          </w:tcPr>
          <w:p w14:paraId="77222319" w14:textId="2A92BCA0" w:rsidR="006F35ED" w:rsidRDefault="0009630B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En règle générale, </w:t>
            </w:r>
            <w:r w:rsidR="00BA10C5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</w:t>
            </w:r>
            <w:r w:rsidRPr="0009630B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es postes bilingues sont dotés par 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des candidats qui satisfont aux exigences linguistiques du poste au moment de leur nomination</w:t>
            </w:r>
            <w:r w:rsidRPr="0009630B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. 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Dans ce cas, on parle de dotation impérative et c’est la norme de dotation pour tous les postes bilingues.</w:t>
            </w:r>
          </w:p>
          <w:p w14:paraId="2B6D5331" w14:textId="3B28D64C" w:rsidR="000335A2" w:rsidRPr="00C95E2F" w:rsidRDefault="00253741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</w:t>
            </w:r>
            <w:r w:rsidR="0009630B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ans des situations exceptionnelles de dotation, un poste bilingue peut être doté par un candidat qui ne satisfait pas </w:t>
            </w:r>
            <w:r w:rsidR="008C18E3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aux exigences linguistiques</w:t>
            </w:r>
            <w:r w:rsidR="0009630B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du poste au moment de </w:t>
            </w:r>
            <w:r w:rsidR="001E24EE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</w:t>
            </w:r>
            <w:r w:rsidR="0009630B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a nomination. On parle donc de nomination non-impérative</w:t>
            </w:r>
            <w:r w:rsidR="008C18E3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  <w:r w:rsidR="0009630B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="006F35ED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</w:p>
        </w:tc>
      </w:tr>
      <w:tr w:rsidR="009059E0" w:rsidRPr="00C95E2F" w14:paraId="734E8C0C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690B587C" w14:textId="0B6BB199" w:rsidR="009059E0" w:rsidRPr="00C95E2F" w:rsidRDefault="00774CC9" w:rsidP="00C95E2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La dotation non-impérative</w:t>
            </w:r>
          </w:p>
        </w:tc>
      </w:tr>
      <w:tr w:rsidR="009059E0" w:rsidRPr="009A2941" w14:paraId="2C10BA59" w14:textId="77777777" w:rsidTr="00C95E2F">
        <w:tc>
          <w:tcPr>
            <w:tcW w:w="10065" w:type="dxa"/>
          </w:tcPr>
          <w:p w14:paraId="1B231607" w14:textId="4D648F55" w:rsidR="009059E0" w:rsidRPr="00C95E2F" w:rsidRDefault="00774CC9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774CC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La dotation non-impérative est le mode de dotation qui permet de retenir, lors d'un processus de sélection pour la nomination à un poste bilingue, la candidature de personnes qui satisfont à toutes les</w:t>
            </w:r>
            <w:r w:rsidR="003C3A6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qualifications essentielles</w:t>
            </w:r>
            <w:r w:rsidRPr="00774CC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à l'exception des compétences linguistiques requises.</w:t>
            </w:r>
          </w:p>
        </w:tc>
      </w:tr>
      <w:tr w:rsidR="006F35ED" w:rsidRPr="009A2941" w14:paraId="0CA8DD31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202D8089" w14:textId="27921872" w:rsidR="006F35ED" w:rsidRPr="00C95E2F" w:rsidRDefault="006F35ED" w:rsidP="00C95E2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Quels sont les postes bilingues qui ne peuvent pas être dotés de façon non-impérative ? </w:t>
            </w:r>
          </w:p>
        </w:tc>
      </w:tr>
      <w:tr w:rsidR="006F35ED" w:rsidRPr="009A2941" w14:paraId="06B907B0" w14:textId="77777777" w:rsidTr="00C95E2F">
        <w:tc>
          <w:tcPr>
            <w:tcW w:w="10065" w:type="dxa"/>
          </w:tcPr>
          <w:p w14:paraId="0CED51DC" w14:textId="77777777" w:rsidR="006F35ED" w:rsidRPr="006F35ED" w:rsidRDefault="006F35ED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1. </w:t>
            </w:r>
            <w:r w:rsidRPr="006F35E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Postes particuliers</w:t>
            </w:r>
          </w:p>
          <w:p w14:paraId="076A2823" w14:textId="6D33851E" w:rsidR="006F35ED" w:rsidRPr="006F35ED" w:rsidRDefault="006F35ED" w:rsidP="00C95E2F">
            <w:pPr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si</w:t>
            </w:r>
            <w:proofErr w:type="gramEnd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le poste est doté pour une durée limitée;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(l</w:t>
            </w:r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a dotation non-impérative s’applique uniquement à des nominations à durée indéterminée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- </w:t>
            </w:r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postes permanents)</w:t>
            </w:r>
            <w:r w:rsidR="0025374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;</w:t>
            </w:r>
          </w:p>
          <w:p w14:paraId="0E927792" w14:textId="77777777" w:rsidR="006F35ED" w:rsidRPr="006F35ED" w:rsidRDefault="006F35ED" w:rsidP="00C95E2F">
            <w:pPr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si</w:t>
            </w:r>
            <w:proofErr w:type="gramEnd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le poste exige une compétence linguistique technique ou spécialisée;</w:t>
            </w:r>
          </w:p>
          <w:p w14:paraId="76FB302C" w14:textId="6D99B38E" w:rsidR="006F35ED" w:rsidRPr="006F35ED" w:rsidRDefault="006F35ED" w:rsidP="00C95E2F">
            <w:pPr>
              <w:numPr>
                <w:ilvl w:val="0"/>
                <w:numId w:val="1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s'il</w:t>
            </w:r>
            <w:proofErr w:type="gramEnd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s'agit d'un poste bilingue indispensable pour assurer le service au public ou aux employés dans les deux langues officielles</w:t>
            </w:r>
            <w:r w:rsidR="0025374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</w:p>
          <w:p w14:paraId="1EF80469" w14:textId="77777777" w:rsidR="00253741" w:rsidRDefault="006F35ED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2. </w:t>
            </w:r>
            <w:r w:rsidRPr="006F35E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Postes de cadres</w:t>
            </w:r>
          </w:p>
          <w:p w14:paraId="1D73EF76" w14:textId="6C86C84E" w:rsidR="006F35ED" w:rsidRPr="006F35ED" w:rsidRDefault="006F35ED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La dotation impérative est obligatoire (pas de dotation non-impérative)</w:t>
            </w:r>
          </w:p>
          <w:p w14:paraId="03B655DE" w14:textId="25DB7D22" w:rsidR="006F35ED" w:rsidRPr="006F35ED" w:rsidRDefault="006F35ED" w:rsidP="00C95E2F">
            <w:pPr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partout</w:t>
            </w:r>
            <w:proofErr w:type="gramEnd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au Canada pour les postes de sous-ministre adjoint ou équivalent;</w:t>
            </w:r>
          </w:p>
          <w:p w14:paraId="0508CA84" w14:textId="77777777" w:rsidR="006F35ED" w:rsidRPr="006F35ED" w:rsidRDefault="006F35ED" w:rsidP="00C95E2F">
            <w:pPr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dans</w:t>
            </w:r>
            <w:proofErr w:type="gramEnd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les régions bilingues, pour tous les postes de niveau EX-02 à EX-05;</w:t>
            </w:r>
          </w:p>
          <w:p w14:paraId="4165CAA5" w14:textId="77777777" w:rsidR="006F35ED" w:rsidRDefault="006F35ED" w:rsidP="00C95E2F">
            <w:pPr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dans</w:t>
            </w:r>
            <w:proofErr w:type="gramEnd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les régions unilingues, pour tous les postes de niveau EX-02 à EX-05 qui incluent la supervision d'employés situés dans une région bilingue et occupant des postes bilingues ou dont les exigences linguistiques diffèrent.</w:t>
            </w:r>
          </w:p>
          <w:p w14:paraId="6A2774CF" w14:textId="5A016374" w:rsidR="00D31823" w:rsidRPr="00C95E2F" w:rsidRDefault="00D31823" w:rsidP="00D31823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D3182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Exception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 : </w:t>
            </w:r>
            <w:r w:rsidRPr="00D31823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La dotation impérative obligatoire ne s'applique pas aux processus de nominations externes (« ouverts au public ») en vue de la dotation de postes à durée indéterminée. De tels postes peuvent être dotés de façon impérative ou non impérative.</w:t>
            </w:r>
          </w:p>
        </w:tc>
      </w:tr>
      <w:tr w:rsidR="00026519" w:rsidRPr="009A2941" w14:paraId="667182BE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1FD5C19E" w14:textId="08294D2E" w:rsidR="00026519" w:rsidRPr="00C95E2F" w:rsidRDefault="00026519" w:rsidP="00FD207E">
            <w:pPr>
              <w:keepNext/>
              <w:keepLines/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lastRenderedPageBreak/>
              <w:t>Quelles sont les obligations de l’administrateur général lorsqu’il nomme une personne qui s’engage à devenir bilingue ?</w:t>
            </w:r>
          </w:p>
        </w:tc>
      </w:tr>
      <w:tr w:rsidR="00026519" w:rsidRPr="009A2941" w14:paraId="16BC0E28" w14:textId="77777777" w:rsidTr="00C95E2F">
        <w:tc>
          <w:tcPr>
            <w:tcW w:w="10065" w:type="dxa"/>
          </w:tcPr>
          <w:p w14:paraId="16819776" w14:textId="705C3F3D" w:rsidR="00026519" w:rsidRPr="00D34166" w:rsidRDefault="00026519" w:rsidP="00FD207E">
            <w:pPr>
              <w:keepNext/>
              <w:keepLines/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Une fois que le choix du non-impératif est fait par l'institution (en raison d'une situation exceptionnelle de dotation que le gestionnaire doit documenter), sous la condition du </w:t>
            </w:r>
            <w:hyperlink r:id="rId8" w:history="1">
              <w:r w:rsidR="001666E9" w:rsidRPr="00FD207E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4"/>
                  <w:lang w:val="fr-CA"/>
                </w:rPr>
                <w:t>Décret d’exemption concernant les langues officielles</w:t>
              </w:r>
            </w:hyperlink>
            <w:r w:rsidR="001666E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relative à l'engagement du candidat à </w:t>
            </w:r>
            <w:r w:rsidR="00D3416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devenir bilingue</w:t>
            </w:r>
            <w:r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pour répondre aux exigences du poste</w:t>
            </w:r>
            <w:r w:rsidR="003924EB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et</w:t>
            </w:r>
            <w:r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="00D3416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en vertu du </w:t>
            </w:r>
            <w:hyperlink r:id="rId9" w:anchor="h-709372" w:history="1">
              <w:r w:rsidR="00D34166" w:rsidRPr="00FD207E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4"/>
                  <w:lang w:val="fr-CA"/>
                </w:rPr>
                <w:t>Règlement sur les langues officielles — nominations dans la fonction publique</w:t>
              </w:r>
            </w:hyperlink>
            <w:r w:rsidR="00D34166" w:rsidRPr="006C5A26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  <w:lang w:val="fr-CA"/>
              </w:rPr>
              <w:t xml:space="preserve">, </w:t>
            </w:r>
            <w:r w:rsidRPr="006C5A2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</w:t>
            </w:r>
            <w:r w:rsidRPr="00D3416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es conditions ci-dessous doivent être</w:t>
            </w:r>
            <w:r w:rsidR="006C5A2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Pr="00D3416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réunies par l'institution fédérale</w:t>
            </w:r>
            <w:r w:rsidR="008F36A9" w:rsidRPr="00D3416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Pr="00D3416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: </w:t>
            </w:r>
          </w:p>
          <w:p w14:paraId="049C4EA8" w14:textId="1DCD4426" w:rsidR="00026519" w:rsidRPr="00026519" w:rsidRDefault="00026519" w:rsidP="00FD207E">
            <w:pPr>
              <w:keepNext/>
              <w:keepLines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Obligation de fournir la formation linguistique (2 ans) pour que le candidat atteigne le niveau requis</w:t>
            </w:r>
            <w:r w:rsidR="0025374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</w:p>
          <w:p w14:paraId="7B822CC3" w14:textId="2A9821C9" w:rsidR="00026519" w:rsidRPr="00026519" w:rsidRDefault="00026519" w:rsidP="00FD207E">
            <w:pPr>
              <w:keepNext/>
              <w:keepLines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Obligation de nommer ou muter la personne à un autre poste si la personne n'arrive</w:t>
            </w:r>
            <w:r w:rsidR="006C5A2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pas à atteindre le niveau</w:t>
            </w:r>
            <w:r w:rsidR="0025374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</w:p>
          <w:p w14:paraId="3C767E3E" w14:textId="39483073" w:rsidR="00774CC9" w:rsidRPr="00C95E2F" w:rsidRDefault="00026519" w:rsidP="00FD207E">
            <w:pPr>
              <w:keepNext/>
              <w:keepLines/>
              <w:numPr>
                <w:ilvl w:val="0"/>
                <w:numId w:val="3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Prolonger la période de deux ans au maximum si une des raisons suivantes se présente: </w:t>
            </w:r>
          </w:p>
          <w:p w14:paraId="3A264670" w14:textId="1C1A50C9" w:rsidR="00774CC9" w:rsidRPr="00C95E2F" w:rsidRDefault="00026519" w:rsidP="00FD207E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exigences</w:t>
            </w:r>
            <w:proofErr w:type="gramEnd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opérationnelles exceptionnelles qui étaient imprévisibles au moment de la nomination;</w:t>
            </w:r>
          </w:p>
          <w:p w14:paraId="74235663" w14:textId="3899E5A5" w:rsidR="00774CC9" w:rsidRPr="00C95E2F" w:rsidRDefault="00026519" w:rsidP="00FD207E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circonstances</w:t>
            </w:r>
            <w:proofErr w:type="gramEnd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personnelles exceptionnelles qui étaient imprévisibles au moment de la nomination;</w:t>
            </w:r>
          </w:p>
          <w:p w14:paraId="4FC670E8" w14:textId="77777777" w:rsidR="00774CC9" w:rsidRPr="00C95E2F" w:rsidRDefault="00026519" w:rsidP="00FD207E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déficience</w:t>
            </w:r>
            <w:proofErr w:type="gramEnd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d’ordre physique ou mental ou trouble d’apprentissage qui nuit à l’acquisition de l’autre langue officielle au niveau de compétence requis;</w:t>
            </w:r>
          </w:p>
          <w:p w14:paraId="58DFA4A4" w14:textId="061D9757" w:rsidR="00026519" w:rsidRPr="00C95E2F" w:rsidRDefault="00026519" w:rsidP="00FD207E">
            <w:pPr>
              <w:pStyle w:val="ListParagraph"/>
              <w:keepNext/>
              <w:keepLines/>
              <w:numPr>
                <w:ilvl w:val="0"/>
                <w:numId w:val="7"/>
              </w:numPr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impossibilité</w:t>
            </w:r>
            <w:proofErr w:type="gramEnd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d’obtenir la formation linguistique aux frais de l’État.</w:t>
            </w:r>
          </w:p>
        </w:tc>
      </w:tr>
      <w:tr w:rsidR="00B24CF8" w:rsidRPr="009A2941" w14:paraId="4249268F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65CE9C25" w14:textId="682A0337" w:rsidR="00B24CF8" w:rsidRPr="00C95E2F" w:rsidRDefault="006F35ED" w:rsidP="00C95E2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Qu’entend-on par </w:t>
            </w:r>
            <w:r w:rsidRPr="000A185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situations exceptionnelles de dotation</w:t>
            </w:r>
            <w:r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 ?</w:t>
            </w:r>
          </w:p>
        </w:tc>
      </w:tr>
      <w:tr w:rsidR="00B24CF8" w:rsidRPr="009A2941" w14:paraId="7E1BCB97" w14:textId="77777777" w:rsidTr="00C95E2F">
        <w:tc>
          <w:tcPr>
            <w:tcW w:w="10065" w:type="dxa"/>
          </w:tcPr>
          <w:p w14:paraId="187B44E3" w14:textId="77777777" w:rsidR="006F35ED" w:rsidRPr="006F35ED" w:rsidRDefault="006F35ED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Voici quelques exemples de situations dans lesquelles il peut y avoir recours à la dotation par un candidat qui ne répond pas aux exigences linguistiques :</w:t>
            </w:r>
          </w:p>
          <w:p w14:paraId="4C0E7BAD" w14:textId="77777777" w:rsidR="006F35ED" w:rsidRPr="006F35ED" w:rsidRDefault="006F35ED" w:rsidP="00C95E2F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lorsque</w:t>
            </w:r>
            <w:proofErr w:type="gramEnd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le bassin de candidats bilingues possibles est très restreint à cause de la nature hautement spécialisée des fonctions et des connaissances nécessaires pour un poste;</w:t>
            </w:r>
          </w:p>
          <w:p w14:paraId="75CABF5A" w14:textId="3738F0CA" w:rsidR="00B24CF8" w:rsidRPr="00C95E2F" w:rsidRDefault="006F35ED" w:rsidP="00C95E2F">
            <w:pPr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lorsque</w:t>
            </w:r>
            <w:proofErr w:type="gramEnd"/>
            <w:r w:rsidRPr="006F35E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l'institution reçoit un nombre insuffisant de candidatures de membres de l'une ou l'autre communauté de langue officielle.</w:t>
            </w:r>
          </w:p>
        </w:tc>
      </w:tr>
      <w:tr w:rsidR="000335A2" w:rsidRPr="009A2941" w14:paraId="5AB35357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282CD34F" w14:textId="1DF308B7" w:rsidR="000335A2" w:rsidRPr="00C95E2F" w:rsidRDefault="003B38E5" w:rsidP="00C95E2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0335A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La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réponse du gouvernent fédéral</w:t>
            </w:r>
            <w:r w:rsidR="000335A2" w:rsidRPr="000335A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 à la C</w:t>
            </w:r>
            <w:r w:rsidR="003F651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OVID-</w:t>
            </w:r>
            <w:r w:rsidR="000335A2" w:rsidRPr="000335A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19 peut-elle être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évoqu</w:t>
            </w:r>
            <w:r w:rsidR="000C36E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ée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0335A2" w:rsidRPr="000335A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pour justifier une nomination non</w:t>
            </w:r>
            <w:r w:rsidR="00D31823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0335A2" w:rsidRPr="000335A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impérative ?</w:t>
            </w:r>
          </w:p>
        </w:tc>
      </w:tr>
      <w:tr w:rsidR="000335A2" w:rsidRPr="009A2941" w14:paraId="56D40059" w14:textId="77777777" w:rsidTr="00C95E2F">
        <w:tc>
          <w:tcPr>
            <w:tcW w:w="10065" w:type="dxa"/>
          </w:tcPr>
          <w:p w14:paraId="1A420AB6" w14:textId="566E4FCC" w:rsidR="00673266" w:rsidRPr="00C95E2F" w:rsidRDefault="00673266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L’Appendi</w:t>
            </w:r>
            <w:r w:rsidR="003924EB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ce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4 de la </w:t>
            </w:r>
            <w:hyperlink r:id="rId10" w:history="1">
              <w:r w:rsidRPr="00FD207E">
                <w:rPr>
                  <w:rStyle w:val="Hyperlink"/>
                  <w:i/>
                  <w:iCs/>
                  <w:lang w:val="fr-CA"/>
                </w:rPr>
                <w:t>Directive sur les langues officielles pour la gestion des personnes</w:t>
              </w:r>
            </w:hyperlink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ne définit pas</w:t>
            </w:r>
            <w:r w:rsidR="003B38E5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explicitement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ce qui pourrait être une situation exceptionnelle</w:t>
            </w:r>
            <w:r w:rsidR="00A9522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de dotation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. Elle donne quelques exemples qui pourraient aider à </w:t>
            </w:r>
            <w:r w:rsidR="00A9522D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expliquer</w:t>
            </w:r>
            <w:r w:rsidR="00A9522D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ce qu’une mesure exceptionnelle de dotation pourrait être. </w:t>
            </w:r>
          </w:p>
          <w:p w14:paraId="2C91220C" w14:textId="124B9EBA" w:rsidR="000335A2" w:rsidRPr="00C95E2F" w:rsidRDefault="007E4DEC" w:rsidP="00C95E2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Il appartient à l’administrateur général de chaque institution de déterminer, en tenant compte du mandat de son institution, </w:t>
            </w:r>
            <w:r w:rsidR="000D789E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quelles situations pourraient être considérées comme </w:t>
            </w:r>
            <w:r w:rsidR="000D789E"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situation</w:t>
            </w:r>
            <w:r w:rsidR="000D789E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</w:t>
            </w:r>
            <w:r w:rsidR="000D789E"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="000D789E"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lastRenderedPageBreak/>
              <w:t>exceptionnelle</w:t>
            </w:r>
            <w:r w:rsidR="003924EB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s</w:t>
            </w:r>
            <w:r w:rsidR="000D789E"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de dotation</w:t>
            </w:r>
            <w:r w:rsidR="00673266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="00DD705B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en relation avec </w:t>
            </w:r>
            <w:r w:rsidR="00026519"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la réponse gouvernementale dans le cadre de la COVID</w:t>
            </w:r>
            <w:r w:rsidR="006C5A2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noBreakHyphen/>
            </w:r>
            <w:r w:rsidR="00026519"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19</w:t>
            </w:r>
            <w:r w:rsidR="00673266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  <w:r w:rsidR="00026519" w:rsidRPr="0002651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</w:p>
        </w:tc>
      </w:tr>
      <w:tr w:rsidR="000335A2" w:rsidRPr="009A2941" w14:paraId="08082FB4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1E1E35F1" w14:textId="60F815F5" w:rsidR="000335A2" w:rsidRPr="00C95E2F" w:rsidRDefault="003B38E5" w:rsidP="006C5A26">
            <w:pPr>
              <w:keepNext/>
              <w:keepLines/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3B38E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lastRenderedPageBreak/>
              <w:t>La réponse du gouvernent fédéral à la C</w:t>
            </w:r>
            <w:r w:rsidR="003F651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OVID-</w:t>
            </w:r>
            <w:r w:rsidRPr="003B38E5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19</w:t>
            </w:r>
            <w:r w:rsidR="000335A2" w:rsidRPr="000335A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 peut-elle être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évoquée</w:t>
            </w:r>
            <w:r w:rsidR="000335A2" w:rsidRPr="000335A2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 xml:space="preserve"> pour justifier la prolongation de la période d’engagement ?</w:t>
            </w:r>
          </w:p>
        </w:tc>
      </w:tr>
      <w:tr w:rsidR="000335A2" w:rsidRPr="009A2941" w14:paraId="449EAC13" w14:textId="77777777" w:rsidTr="00C95E2F">
        <w:tc>
          <w:tcPr>
            <w:tcW w:w="10065" w:type="dxa"/>
          </w:tcPr>
          <w:p w14:paraId="57C5BC59" w14:textId="03450F76" w:rsidR="00487258" w:rsidRPr="00487258" w:rsidRDefault="00487258" w:rsidP="006C5A26">
            <w:pPr>
              <w:keepNext/>
              <w:keepLines/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Le </w:t>
            </w:r>
            <w:r w:rsidRPr="00282321">
              <w:rPr>
                <w:rFonts w:asciiTheme="majorHAnsi" w:hAnsiTheme="majorHAnsi" w:cstheme="majorHAnsi"/>
                <w:i/>
                <w:iCs/>
                <w:sz w:val="24"/>
                <w:szCs w:val="24"/>
                <w:lang w:val="fr-CA"/>
              </w:rPr>
              <w:t xml:space="preserve">Règlement sur les langues officielles – nominations dans la fonction </w:t>
            </w:r>
            <w:r w:rsidRPr="00FD207E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publique</w:t>
            </w:r>
            <w:r w:rsidR="00FD207E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Pr="00FD207E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précise</w:t>
            </w:r>
            <w:r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les circonstances dans lesquelles l’administrateur général, ou la personne subdéléguée</w:t>
            </w:r>
            <w:r w:rsidR="003F6515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, peut</w:t>
            </w:r>
            <w:r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prolonger la période d’engagement de 2 ans pour une ou plusieurs périodes dont la durée totale n’excède pas 2 ans. La période de 2 ans peut être prolongée pour l'une des 4 raisons suivantes :</w:t>
            </w:r>
          </w:p>
          <w:p w14:paraId="0469ABA1" w14:textId="7398921E" w:rsidR="00487258" w:rsidRPr="00C95E2F" w:rsidRDefault="00487258" w:rsidP="006C5A26">
            <w:pPr>
              <w:pStyle w:val="ListParagraph"/>
              <w:keepNext/>
              <w:keepLines/>
              <w:numPr>
                <w:ilvl w:val="0"/>
                <w:numId w:val="5"/>
              </w:numPr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des</w:t>
            </w:r>
            <w:proofErr w:type="gramEnd"/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exigences opérationnelles exceptionnelles qui étaient imprévisibles au moment de la nomination</w:t>
            </w:r>
            <w:r w:rsidR="0054084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;</w:t>
            </w:r>
          </w:p>
          <w:p w14:paraId="7E8ADA5B" w14:textId="5C05F132" w:rsidR="00487258" w:rsidRPr="00487258" w:rsidRDefault="00540841" w:rsidP="006C5A26">
            <w:pPr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</w:t>
            </w:r>
            <w:r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es</w:t>
            </w:r>
            <w:proofErr w:type="gramEnd"/>
            <w:r w:rsidR="00487258"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circonstances personnelles exceptionnelles qui étaient imprévisibles au moment de la nomination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;</w:t>
            </w:r>
          </w:p>
          <w:p w14:paraId="6AC52A54" w14:textId="6BF5280E" w:rsidR="00487258" w:rsidRPr="00487258" w:rsidRDefault="00540841" w:rsidP="006C5A26">
            <w:pPr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u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ne</w:t>
            </w:r>
            <w:proofErr w:type="gramEnd"/>
            <w:r w:rsidR="00487258"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déficience d'ordre physique ou mental ou un trouble d'apprentissage nuisant à l'apprentissage de l'autre langue officielle au niveau de compétence requis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;</w:t>
            </w:r>
            <w:r w:rsidR="00487258"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</w:p>
          <w:p w14:paraId="28F5DABE" w14:textId="44FE4045" w:rsidR="00487258" w:rsidRPr="00487258" w:rsidRDefault="00540841" w:rsidP="006C5A26">
            <w:pPr>
              <w:keepNext/>
              <w:keepLines/>
              <w:numPr>
                <w:ilvl w:val="0"/>
                <w:numId w:val="5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proofErr w:type="gramStart"/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</w:t>
            </w:r>
            <w:r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’incapacité</w:t>
            </w:r>
            <w:proofErr w:type="gramEnd"/>
            <w:r w:rsidR="00487258"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d'obtenir la formation linguistique dispensée aux frais de l'organisation</w:t>
            </w: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  <w:r w:rsidR="00487258" w:rsidRPr="00487258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</w:p>
          <w:p w14:paraId="3D1AB501" w14:textId="27353240" w:rsidR="000335A2" w:rsidRPr="00C95E2F" w:rsidRDefault="00282321" w:rsidP="006C5A26">
            <w:pPr>
              <w:keepNext/>
              <w:keepLines/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En considérant</w:t>
            </w:r>
            <w:r w:rsidRPr="0028232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l’incidence</w:t>
            </w:r>
            <w:r w:rsidR="006E2AD4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que pourraient avoir les</w:t>
            </w:r>
            <w:r w:rsidRPr="0028232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mesures prises par le gouvernement pour répondre à la COVID-19</w:t>
            </w:r>
            <w:r w:rsidR="006E2AD4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sur l’évaluation de la langue seconde, sur les circonstances personnelles et sur l’accès à la formation linguistique, l</w:t>
            </w:r>
            <w:r w:rsidR="002D522C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’administrateur général</w:t>
            </w:r>
            <w:r w:rsidR="003F6515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,</w:t>
            </w:r>
            <w:r w:rsidR="002D522C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ou la personne subdéléguée</w:t>
            </w:r>
            <w:r w:rsidR="003F6515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,</w:t>
            </w:r>
            <w:r w:rsidRPr="0028232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pourrait évoquer les raisons 1, 2 et 4 pour prolonger la période d’engagement à devenir bilingue.</w:t>
            </w:r>
          </w:p>
        </w:tc>
      </w:tr>
      <w:tr w:rsidR="000335A2" w:rsidRPr="00C95E2F" w14:paraId="1B58FD8A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163C1E09" w14:textId="3F7A974E" w:rsidR="000335A2" w:rsidRPr="00C95E2F" w:rsidRDefault="002D522C" w:rsidP="00C95E2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t>Quelques considérations</w:t>
            </w:r>
          </w:p>
        </w:tc>
      </w:tr>
      <w:tr w:rsidR="000335A2" w:rsidRPr="009A2941" w14:paraId="58FEB818" w14:textId="77777777" w:rsidTr="00C95E2F">
        <w:tc>
          <w:tcPr>
            <w:tcW w:w="10065" w:type="dxa"/>
          </w:tcPr>
          <w:p w14:paraId="7C0EE63F" w14:textId="40283DFB" w:rsidR="000335A2" w:rsidRPr="00C95E2F" w:rsidRDefault="00965F03" w:rsidP="00C95E2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Une</w:t>
            </w:r>
            <w:r w:rsidR="002D522C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nomination non</w:t>
            </w:r>
            <w:r w:rsidR="00D31823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="002D522C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impérative n’exempte pas l’institution de ses obligations en vertu de la </w:t>
            </w:r>
            <w:r w:rsidR="002D522C" w:rsidRPr="00C95E2F">
              <w:rPr>
                <w:rFonts w:asciiTheme="majorHAnsi" w:hAnsiTheme="majorHAnsi" w:cstheme="majorHAnsi"/>
                <w:i/>
                <w:iCs/>
                <w:sz w:val="24"/>
                <w:szCs w:val="24"/>
                <w:lang w:val="fr-CA"/>
              </w:rPr>
              <w:t>Loi sur les langues officielles</w:t>
            </w:r>
            <w:r w:rsidR="002D522C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L’institution fédérale doit prendre des mesures pour assurer les t</w:t>
            </w:r>
            <w:r w:rsidR="00D31823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â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ches ou fonctions bilingues liées au poste aussi longtemps que la personne qui occupe ce poste ne répond pas aux exigences linguistiques</w:t>
            </w:r>
            <w:r w:rsidR="00892C99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du poste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</w:p>
          <w:p w14:paraId="2BF92F3D" w14:textId="4CC99DC9" w:rsidR="00892C99" w:rsidRPr="00C95E2F" w:rsidRDefault="00892C99" w:rsidP="00C95E2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La capacité et l’objectivité : </w:t>
            </w:r>
            <w:r w:rsidR="000B79A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Pour les postes à durée </w:t>
            </w:r>
            <w:r w:rsidR="00454F5B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déterminée</w:t>
            </w:r>
            <w:r w:rsidR="000B79AA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, il est nécessaire de déterminer objectivement les exigences linguistiques du poste ou de les réexaminer à l’occasion de la dotation. Ceci pourrait permettre d’avoir des postes unilingues anglais et unilingues français qu’il faudrait combiner de telle sorte à avoir une capacité qui répond aux obligations de votre organisation en matière de langues officielles.  </w:t>
            </w:r>
          </w:p>
          <w:p w14:paraId="4276ED92" w14:textId="7A55EB76" w:rsidR="00C95E2F" w:rsidRDefault="00A67EE4" w:rsidP="00C95E2F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L’o</w:t>
            </w:r>
            <w:r w:rsidR="00965F03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bligation de fournir la formation linguistique (2 ans) pour que le candidat atteigne le niveau requis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et celle </w:t>
            </w:r>
            <w:r w:rsidR="00965F03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de nommer ou muter la personne à un autre poste si la personne n'arrive pas à atteindre le niveau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demeurent</w:t>
            </w:r>
            <w:r w:rsidR="00E7228B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, pour l’administrateur général,</w:t>
            </w:r>
            <w:r w:rsidR="0028232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en dépit des circonstances</w:t>
            </w:r>
            <w:r w:rsidR="00716D66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</w:p>
          <w:p w14:paraId="40034870" w14:textId="7E5793D5" w:rsidR="002D522C" w:rsidRPr="00C95E2F" w:rsidRDefault="00A67EE4" w:rsidP="00C95E2F">
            <w:pPr>
              <w:pStyle w:val="ListParagraph"/>
              <w:spacing w:before="120" w:after="120"/>
              <w:contextualSpacing w:val="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Avant de considérer la nomination non</w:t>
            </w:r>
            <w:r w:rsidR="00D31823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impérative, l’administrateur général doit s’assurer qu’il dispose de toutes les ressources nécessaires pour fournir la formation linguistique au candidat ainsi que d’un poste dans son organisation dans lequel il pourra</w:t>
            </w:r>
            <w:r w:rsidR="005C5C9C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it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muter la personne au cas où, celle-ci n’atteindrait pas le niveau requis. Ce dernier point est d’autant plus important </w:t>
            </w:r>
            <w:r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lastRenderedPageBreak/>
              <w:t xml:space="preserve">lorsqu’on nomme une personne dans des postes de cadres </w:t>
            </w:r>
            <w:r w:rsidR="00005647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(EX-02 à EX-05)</w:t>
            </w:r>
            <w:r w:rsidR="00282321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dans une région désignée bilingue aux fins de la langue de travail</w:t>
            </w:r>
            <w:r w:rsidR="00005647" w:rsidRPr="00C95E2F">
              <w:rPr>
                <w:rFonts w:asciiTheme="majorHAnsi" w:hAnsiTheme="majorHAnsi" w:cstheme="majorHAnsi"/>
                <w:sz w:val="24"/>
                <w:szCs w:val="24"/>
                <w:lang w:val="fr-CA"/>
              </w:rPr>
              <w:t>.</w:t>
            </w:r>
          </w:p>
        </w:tc>
      </w:tr>
      <w:tr w:rsidR="000335A2" w:rsidRPr="00C95E2F" w14:paraId="17767AC5" w14:textId="77777777" w:rsidTr="00C95E2F">
        <w:tc>
          <w:tcPr>
            <w:tcW w:w="10065" w:type="dxa"/>
            <w:shd w:val="clear" w:color="auto" w:fill="D9E2F3" w:themeFill="accent1" w:themeFillTint="33"/>
          </w:tcPr>
          <w:p w14:paraId="3EE94E88" w14:textId="703D281A" w:rsidR="000335A2" w:rsidRPr="00C95E2F" w:rsidRDefault="00005647" w:rsidP="00C95E2F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</w:pPr>
            <w:r w:rsidRPr="00C95E2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fr-CA"/>
              </w:rPr>
              <w:lastRenderedPageBreak/>
              <w:t>Pour en savoir davantage</w:t>
            </w:r>
          </w:p>
        </w:tc>
      </w:tr>
      <w:tr w:rsidR="000335A2" w:rsidRPr="009A2941" w14:paraId="29A50324" w14:textId="77777777" w:rsidTr="00C95E2F">
        <w:tc>
          <w:tcPr>
            <w:tcW w:w="10065" w:type="dxa"/>
          </w:tcPr>
          <w:p w14:paraId="5324A8DF" w14:textId="77777777" w:rsidR="00774CC9" w:rsidRPr="00774CC9" w:rsidRDefault="00F34BB6" w:rsidP="00C95E2F">
            <w:pPr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hyperlink r:id="rId11" w:history="1">
              <w:r w:rsidR="00774CC9" w:rsidRPr="00774CC9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fr-CA"/>
                </w:rPr>
                <w:t>Directive sur les langues officielles pour la gestion des personnes</w:t>
              </w:r>
            </w:hyperlink>
          </w:p>
          <w:p w14:paraId="014B8038" w14:textId="77777777" w:rsidR="008D5C4C" w:rsidRPr="00C95E2F" w:rsidRDefault="00F34BB6" w:rsidP="008D5C4C">
            <w:pPr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hyperlink r:id="rId12" w:history="1">
              <w:r w:rsidR="008D5C4C" w:rsidRPr="00774CC9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fr-CA"/>
                </w:rPr>
                <w:t>Décret d’exemption concernant les langues officielles dans la fonction publique</w:t>
              </w:r>
            </w:hyperlink>
          </w:p>
          <w:p w14:paraId="3AE92837" w14:textId="0F65BD16" w:rsidR="008D5C4C" w:rsidRPr="006C5A26" w:rsidRDefault="00F34BB6" w:rsidP="008D5C4C">
            <w:pPr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hyperlink r:id="rId13" w:anchor="h-709372" w:history="1">
              <w:r w:rsidR="008D5C4C" w:rsidRPr="008D5C4C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fr-CA"/>
                </w:rPr>
                <w:t>Règlement sur les langues officielles — nominations dans la fonction publique</w:t>
              </w:r>
            </w:hyperlink>
          </w:p>
          <w:p w14:paraId="406F58FD" w14:textId="4124C6BD" w:rsidR="00774CC9" w:rsidRPr="00774CC9" w:rsidRDefault="00F34BB6" w:rsidP="00C95E2F">
            <w:pPr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hyperlink r:id="rId14" w:history="1">
              <w:r w:rsidR="00774CC9" w:rsidRPr="00774CC9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fr-CA"/>
                </w:rPr>
                <w:t>Le Décret d'exemption concernant les langues officielles dans la fonction publique et le Règlement sur les langues officielles - nominations dans la fonction publique - Foire aux questions</w:t>
              </w:r>
            </w:hyperlink>
          </w:p>
          <w:p w14:paraId="33320690" w14:textId="212BD250" w:rsidR="00FB76C2" w:rsidRPr="00C95E2F" w:rsidRDefault="00F34BB6" w:rsidP="00C95E2F">
            <w:pPr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hyperlink r:id="rId15" w:history="1">
              <w:r w:rsidR="00FB76C2" w:rsidRPr="00C95E2F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fr-FR"/>
                </w:rPr>
                <w:t>Mesures pour accroître le soutien de la Commission de la fonction publique accordé aux ministères et organismes</w:t>
              </w:r>
            </w:hyperlink>
          </w:p>
          <w:p w14:paraId="3750965B" w14:textId="7CFB90A8" w:rsidR="000335A2" w:rsidRPr="00C95E2F" w:rsidRDefault="00F34BB6" w:rsidP="006C5A26">
            <w:pPr>
              <w:numPr>
                <w:ilvl w:val="0"/>
                <w:numId w:val="8"/>
              </w:num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CA"/>
              </w:rPr>
            </w:pPr>
            <w:hyperlink r:id="rId16" w:history="1">
              <w:r w:rsidR="00FB76C2" w:rsidRPr="00C95E2F">
                <w:rPr>
                  <w:rStyle w:val="Hyperlink"/>
                  <w:rFonts w:asciiTheme="majorHAnsi" w:hAnsiTheme="majorHAnsi" w:cstheme="majorHAnsi"/>
                  <w:sz w:val="24"/>
                  <w:szCs w:val="24"/>
                  <w:lang w:val="fr-FR"/>
                </w:rPr>
                <w:t>Questions et réponses pour les spécialistes des ressources humaines : maladie à coronavirus (COVID-19)</w:t>
              </w:r>
            </w:hyperlink>
          </w:p>
        </w:tc>
      </w:tr>
    </w:tbl>
    <w:p w14:paraId="17BF1472" w14:textId="77777777" w:rsidR="005455AD" w:rsidRPr="00C95E2F" w:rsidRDefault="005455AD">
      <w:pPr>
        <w:rPr>
          <w:rFonts w:asciiTheme="majorHAnsi" w:hAnsiTheme="majorHAnsi" w:cstheme="majorHAnsi"/>
          <w:sz w:val="24"/>
          <w:szCs w:val="24"/>
          <w:lang w:val="fr-CA"/>
        </w:rPr>
      </w:pPr>
    </w:p>
    <w:sectPr w:rsidR="005455AD" w:rsidRPr="00C95E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C3E8" w16cex:dateUtc="2020-04-15T21:33:00Z"/>
  <w16cex:commentExtensible w16cex:durableId="22413F26" w16cex:dateUtc="2020-04-15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CE59" w14:textId="77777777" w:rsidR="00F34BB6" w:rsidRDefault="00F34BB6" w:rsidP="00D31823">
      <w:pPr>
        <w:spacing w:after="0" w:line="240" w:lineRule="auto"/>
      </w:pPr>
      <w:r>
        <w:separator/>
      </w:r>
    </w:p>
  </w:endnote>
  <w:endnote w:type="continuationSeparator" w:id="0">
    <w:p w14:paraId="56B5CA4C" w14:textId="77777777" w:rsidR="00F34BB6" w:rsidRDefault="00F34BB6" w:rsidP="00D3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7911" w14:textId="77777777" w:rsidR="00A97DC3" w:rsidRDefault="00A97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A595" w14:textId="77777777" w:rsidR="00A97DC3" w:rsidRDefault="00A97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C5724" w14:textId="77777777" w:rsidR="00A97DC3" w:rsidRDefault="00A97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803C7" w14:textId="77777777" w:rsidR="00F34BB6" w:rsidRDefault="00F34BB6" w:rsidP="00D31823">
      <w:pPr>
        <w:spacing w:after="0" w:line="240" w:lineRule="auto"/>
      </w:pPr>
      <w:r>
        <w:separator/>
      </w:r>
    </w:p>
  </w:footnote>
  <w:footnote w:type="continuationSeparator" w:id="0">
    <w:p w14:paraId="1A8D0AA7" w14:textId="77777777" w:rsidR="00F34BB6" w:rsidRDefault="00F34BB6" w:rsidP="00D3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AFA3" w14:textId="77777777" w:rsidR="00A97DC3" w:rsidRDefault="00A97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7273" w14:textId="34CFF31E" w:rsidR="00D31823" w:rsidRDefault="00D318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AE9FE4" wp14:editId="623EFA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08094000b08c914f61370d5e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B71E3" w14:textId="05AB68AE" w:rsidR="00D31823" w:rsidRPr="00D31823" w:rsidRDefault="00D31823" w:rsidP="00D3182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31823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E9FE4" id="_x0000_t202" coordsize="21600,21600" o:spt="202" path="m,l,21600r21600,l21600,xe">
              <v:stroke joinstyle="miter"/>
              <v:path gradientshapeok="t" o:connecttype="rect"/>
            </v:shapetype>
            <v:shape id="MSIPCM08094000b08c914f61370d5e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" o:allowincell="f" filled="f" stroked="f" strokeweight=".5pt">
              <v:textbox inset=",0,20pt,0">
                <w:txbxContent>
                  <w:p w14:paraId="348B71E3" w14:textId="05AB68AE" w:rsidR="00D31823" w:rsidRPr="00D31823" w:rsidRDefault="00D31823" w:rsidP="00D3182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31823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DE8D" w14:textId="77777777" w:rsidR="00A97DC3" w:rsidRDefault="00A9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71D"/>
    <w:multiLevelType w:val="multilevel"/>
    <w:tmpl w:val="38E0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97BAC"/>
    <w:multiLevelType w:val="multilevel"/>
    <w:tmpl w:val="955C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408C1"/>
    <w:multiLevelType w:val="hybridMultilevel"/>
    <w:tmpl w:val="E344538A"/>
    <w:lvl w:ilvl="0" w:tplc="30B29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5750"/>
    <w:multiLevelType w:val="multilevel"/>
    <w:tmpl w:val="C21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05B85"/>
    <w:multiLevelType w:val="hybridMultilevel"/>
    <w:tmpl w:val="94F8609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4D761B"/>
    <w:multiLevelType w:val="multilevel"/>
    <w:tmpl w:val="5C34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8A54B9"/>
    <w:multiLevelType w:val="multilevel"/>
    <w:tmpl w:val="E56E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A0CF7"/>
    <w:multiLevelType w:val="multilevel"/>
    <w:tmpl w:val="0E7E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5F"/>
    <w:rsid w:val="00005647"/>
    <w:rsid w:val="00026519"/>
    <w:rsid w:val="000335A2"/>
    <w:rsid w:val="0009630B"/>
    <w:rsid w:val="000A185F"/>
    <w:rsid w:val="000B79AA"/>
    <w:rsid w:val="000C36E7"/>
    <w:rsid w:val="000D789E"/>
    <w:rsid w:val="001666E9"/>
    <w:rsid w:val="001B13CE"/>
    <w:rsid w:val="001E24EE"/>
    <w:rsid w:val="00253741"/>
    <w:rsid w:val="00282321"/>
    <w:rsid w:val="002D522C"/>
    <w:rsid w:val="00360064"/>
    <w:rsid w:val="003924EB"/>
    <w:rsid w:val="003B38E5"/>
    <w:rsid w:val="003C3A66"/>
    <w:rsid w:val="003E3D3A"/>
    <w:rsid w:val="003F6515"/>
    <w:rsid w:val="00454F5B"/>
    <w:rsid w:val="00487258"/>
    <w:rsid w:val="00496BD1"/>
    <w:rsid w:val="00502068"/>
    <w:rsid w:val="00526333"/>
    <w:rsid w:val="00540841"/>
    <w:rsid w:val="005455AD"/>
    <w:rsid w:val="005C5C9C"/>
    <w:rsid w:val="00646E43"/>
    <w:rsid w:val="00673266"/>
    <w:rsid w:val="00696F9F"/>
    <w:rsid w:val="006C5A26"/>
    <w:rsid w:val="006E2AD4"/>
    <w:rsid w:val="006F35ED"/>
    <w:rsid w:val="006F7822"/>
    <w:rsid w:val="00716D66"/>
    <w:rsid w:val="00724939"/>
    <w:rsid w:val="00727B2D"/>
    <w:rsid w:val="00774CC9"/>
    <w:rsid w:val="007E4DEC"/>
    <w:rsid w:val="007E5519"/>
    <w:rsid w:val="00892C99"/>
    <w:rsid w:val="008C18E3"/>
    <w:rsid w:val="008D5C4C"/>
    <w:rsid w:val="008F36A9"/>
    <w:rsid w:val="009059E0"/>
    <w:rsid w:val="00926583"/>
    <w:rsid w:val="00965F03"/>
    <w:rsid w:val="009A2941"/>
    <w:rsid w:val="00A6421C"/>
    <w:rsid w:val="00A67EE4"/>
    <w:rsid w:val="00A91BEB"/>
    <w:rsid w:val="00A9522D"/>
    <w:rsid w:val="00A97DC3"/>
    <w:rsid w:val="00AA43B1"/>
    <w:rsid w:val="00AC4376"/>
    <w:rsid w:val="00B15D00"/>
    <w:rsid w:val="00B24CF8"/>
    <w:rsid w:val="00BA10C5"/>
    <w:rsid w:val="00C2572D"/>
    <w:rsid w:val="00C8503C"/>
    <w:rsid w:val="00C95E2F"/>
    <w:rsid w:val="00D31823"/>
    <w:rsid w:val="00D34166"/>
    <w:rsid w:val="00DD705B"/>
    <w:rsid w:val="00E7228B"/>
    <w:rsid w:val="00F34BB6"/>
    <w:rsid w:val="00FB76C2"/>
    <w:rsid w:val="00FD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37A97"/>
  <w15:chartTrackingRefBased/>
  <w15:docId w15:val="{FC327F5E-BF72-4D27-B1B3-95331370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C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823"/>
  </w:style>
  <w:style w:type="paragraph" w:styleId="Footer">
    <w:name w:val="footer"/>
    <w:basedOn w:val="Normal"/>
    <w:link w:val="FooterChar"/>
    <w:uiPriority w:val="99"/>
    <w:unhideWhenUsed/>
    <w:rsid w:val="00D31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23"/>
  </w:style>
  <w:style w:type="character" w:styleId="CommentReference">
    <w:name w:val="annotation reference"/>
    <w:basedOn w:val="DefaultParagraphFont"/>
    <w:uiPriority w:val="99"/>
    <w:semiHidden/>
    <w:unhideWhenUsed/>
    <w:rsid w:val="0089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2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2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C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6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fra/reglements/TR-2005-118/" TargetMode="External"/><Relationship Id="rId13" Type="http://schemas.openxmlformats.org/officeDocument/2006/relationships/hyperlink" Target="https://laws-lois.justice.gc.ca/fra/reglements/DORS-2005-347/page-1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fra/reglements/TR-2005-11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nada.ca/fr/commission-fonction-publique/renseignements-specialistes-ressources-humaines/questions-reponses-specialistes-ressources-humaine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bs-sct.gc.ca/pol/doc-fra.aspx?id=2616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nada.ca/fr/commission-fonction-publique/organisation/propos-nous/lettres-chefs-ressources-humaines/mesures-accroitre-soutien-commission-fonction-publique-accorde-ministeres-organismes-20-0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bs-sct.gc.ca/pol/doc-fra.aspx?id=2616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fra/reglements/DORS-2005-347/page-1.html" TargetMode="External"/><Relationship Id="rId14" Type="http://schemas.openxmlformats.org/officeDocument/2006/relationships/hyperlink" Target="https://www.canada.ca/fr/commission-fonction-publique/services/guides-embauche-fonction-publique/decret-exemption-concernant-langues-officielles/decret-exemption-langues-officielles-fonction-publique/nouveau-delofp-nouveau-rlonfp-foire-questions.html" TargetMode="External"/><Relationship Id="rId22" Type="http://schemas.openxmlformats.org/officeDocument/2006/relationships/footer" Target="footer3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F5FC-B23D-4DDF-8849-F57CEE01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Chourouba, Marie Madeleine</dc:creator>
  <cp:keywords/>
  <dc:description/>
  <cp:lastModifiedBy>Melanie Ladouceur</cp:lastModifiedBy>
  <cp:revision>2</cp:revision>
  <dcterms:created xsi:type="dcterms:W3CDTF">2020-05-19T18:01:00Z</dcterms:created>
  <dcterms:modified xsi:type="dcterms:W3CDTF">2020-05-19T18:01:00Z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iteId">
    <vt:lpwstr>6397df10-4595-4047-9c4f-03311282152b</vt:lpwstr>
  </property>
  <property fmtid="{D5CDD505-2E9C-101B-9397-08002B2CF9AE}" pid="4" name="MSIP_Label_3d0ca00b-3f0e-465a-aac7-1a6a22fcea40_Owner">
    <vt:lpwstr>MCHOUROU@tbs-sct.gc.ca</vt:lpwstr>
  </property>
  <property fmtid="{D5CDD505-2E9C-101B-9397-08002B2CF9AE}" pid="5" name="MSIP_Label_3d0ca00b-3f0e-465a-aac7-1a6a22fcea40_SetDate">
    <vt:lpwstr>2020-04-08T19:43:49.1463813Z</vt:lpwstr>
  </property>
  <property fmtid="{D5CDD505-2E9C-101B-9397-08002B2CF9AE}" pid="6" name="MSIP_Label_3d0ca00b-3f0e-465a-aac7-1a6a22fcea40_Name">
    <vt:lpwstr>UNCLASSIFIED</vt:lpwstr>
  </property>
  <property fmtid="{D5CDD505-2E9C-101B-9397-08002B2CF9AE}" pid="7" name="MSIP_Label_3d0ca00b-3f0e-465a-aac7-1a6a22fcea40_Application">
    <vt:lpwstr>Microsoft Azure Information Protection</vt:lpwstr>
  </property>
  <property fmtid="{D5CDD505-2E9C-101B-9397-08002B2CF9AE}" pid="8" name="MSIP_Label_3d0ca00b-3f0e-465a-aac7-1a6a22fcea40_ActionId">
    <vt:lpwstr>4551232f-e7a9-4985-857a-c098e284b64c</vt:lpwstr>
  </property>
  <property fmtid="{D5CDD505-2E9C-101B-9397-08002B2CF9AE}" pid="9" name="MSIP_Label_3d0ca00b-3f0e-465a-aac7-1a6a22fcea40_Extended_MSFT_Method">
    <vt:lpwstr>Manual</vt:lpwstr>
  </property>
  <property fmtid="{D5CDD505-2E9C-101B-9397-08002B2CF9AE}" pid="10" name="Sensitivity">
    <vt:lpwstr>UNCLASSIFIED</vt:lpwstr>
  </property>
</Properties>
</file>