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6FDD" w14:textId="77777777" w:rsidR="00876EFF" w:rsidRDefault="00876EFF" w:rsidP="00876EFF">
      <w:pPr>
        <w:jc w:val="center"/>
        <w:rPr>
          <w:rStyle w:val="SubtleReference"/>
          <w:rFonts w:ascii="Californian FB" w:hAnsi="Californian FB"/>
          <w:b/>
          <w:smallCaps w:val="0"/>
          <w:color w:val="1F497D" w:themeColor="text2"/>
          <w:sz w:val="32"/>
          <w:szCs w:val="28"/>
        </w:rPr>
      </w:pPr>
    </w:p>
    <w:p w14:paraId="2E18602E" w14:textId="77777777" w:rsidR="00876EFF" w:rsidRDefault="00876EFF" w:rsidP="00876EFF">
      <w:pPr>
        <w:jc w:val="center"/>
        <w:rPr>
          <w:rStyle w:val="SubtleReference"/>
          <w:rFonts w:ascii="Californian FB" w:hAnsi="Californian FB"/>
          <w:b/>
          <w:smallCaps w:val="0"/>
          <w:color w:val="1F497D" w:themeColor="text2"/>
          <w:sz w:val="32"/>
          <w:szCs w:val="28"/>
        </w:rPr>
      </w:pPr>
    </w:p>
    <w:p w14:paraId="782E97F4" w14:textId="77777777" w:rsidR="00876EFF" w:rsidRDefault="00876EFF" w:rsidP="00876EFF">
      <w:pPr>
        <w:jc w:val="center"/>
        <w:rPr>
          <w:rStyle w:val="SubtleReference"/>
          <w:rFonts w:ascii="Californian FB" w:hAnsi="Californian FB"/>
          <w:b/>
          <w:smallCaps w:val="0"/>
          <w:color w:val="1F497D" w:themeColor="text2"/>
          <w:sz w:val="32"/>
          <w:szCs w:val="28"/>
        </w:rPr>
      </w:pPr>
    </w:p>
    <w:p w14:paraId="08C4B473" w14:textId="6074B4F6" w:rsidR="007049EE" w:rsidRPr="00822CA4" w:rsidRDefault="00EA6BC4" w:rsidP="007049EE">
      <w:pPr>
        <w:jc w:val="center"/>
        <w:rPr>
          <w:rStyle w:val="SubtleReference"/>
          <w:rFonts w:ascii="Arial" w:hAnsi="Arial" w:cs="Arial"/>
          <w:b/>
          <w:smallCaps w:val="0"/>
          <w:color w:val="auto"/>
          <w:sz w:val="40"/>
          <w:szCs w:val="40"/>
        </w:rPr>
      </w:pPr>
      <w:r w:rsidRPr="00822CA4">
        <w:rPr>
          <w:rStyle w:val="SubtleReference"/>
          <w:rFonts w:ascii="Arial" w:hAnsi="Arial" w:cs="Arial"/>
          <w:b/>
          <w:smallCaps w:val="0"/>
          <w:color w:val="auto"/>
          <w:sz w:val="40"/>
          <w:szCs w:val="40"/>
        </w:rPr>
        <w:t xml:space="preserve">Regulatory </w:t>
      </w:r>
      <w:r w:rsidR="00876EFF" w:rsidRPr="00822CA4">
        <w:rPr>
          <w:rStyle w:val="SubtleReference"/>
          <w:rFonts w:ascii="Arial" w:hAnsi="Arial" w:cs="Arial"/>
          <w:b/>
          <w:smallCaps w:val="0"/>
          <w:color w:val="auto"/>
          <w:sz w:val="40"/>
          <w:szCs w:val="40"/>
        </w:rPr>
        <w:t xml:space="preserve">Stock Reviews </w:t>
      </w:r>
    </w:p>
    <w:p w14:paraId="417BBC5A" w14:textId="1BD76D03" w:rsidR="00876EFF" w:rsidRPr="00CF65D9" w:rsidRDefault="008817D5" w:rsidP="007049EE">
      <w:pPr>
        <w:jc w:val="center"/>
        <w:rPr>
          <w:rStyle w:val="SubtleReference"/>
          <w:rFonts w:ascii="Arial" w:hAnsi="Arial" w:cs="Arial"/>
          <w:b/>
          <w:smallCaps w:val="0"/>
          <w:color w:val="auto"/>
          <w:sz w:val="40"/>
          <w:szCs w:val="40"/>
          <w:u w:val="single"/>
        </w:rPr>
      </w:pPr>
      <w:r w:rsidRPr="00CF65D9">
        <w:rPr>
          <w:rStyle w:val="SubtleReference"/>
          <w:rFonts w:ascii="Arial" w:hAnsi="Arial" w:cs="Arial"/>
          <w:b/>
          <w:smallCaps w:val="0"/>
          <w:color w:val="auto"/>
          <w:sz w:val="40"/>
          <w:szCs w:val="40"/>
          <w:u w:val="single"/>
        </w:rPr>
        <w:t>Working Guide</w:t>
      </w:r>
    </w:p>
    <w:p w14:paraId="31AB09D6" w14:textId="77777777" w:rsidR="00876EFF" w:rsidRPr="00FB36B6" w:rsidRDefault="00876EFF">
      <w:pPr>
        <w:rPr>
          <w:rStyle w:val="SubtleReference"/>
          <w:rFonts w:ascii="Californian FB" w:eastAsiaTheme="majorEastAsia" w:hAnsi="Californian FB" w:cstheme="majorBidi"/>
          <w:b/>
          <w:smallCaps w:val="0"/>
          <w:color w:val="1F497D" w:themeColor="text2"/>
          <w:sz w:val="40"/>
          <w:szCs w:val="40"/>
        </w:rPr>
      </w:pPr>
      <w:r w:rsidRPr="00FB36B6">
        <w:rPr>
          <w:rStyle w:val="SubtleReference"/>
          <w:rFonts w:ascii="Californian FB" w:hAnsi="Californian FB"/>
          <w:b/>
          <w:smallCaps w:val="0"/>
          <w:color w:val="1F497D" w:themeColor="text2"/>
          <w:sz w:val="40"/>
          <w:szCs w:val="40"/>
        </w:rPr>
        <w:br w:type="page"/>
      </w:r>
    </w:p>
    <w:p w14:paraId="05240ECB" w14:textId="7DD5C9E9" w:rsidR="00A15EFB" w:rsidRPr="00B01CB8" w:rsidRDefault="00CD3DD9" w:rsidP="00C840C8">
      <w:pPr>
        <w:pStyle w:val="Heading2"/>
        <w:rPr>
          <w:rStyle w:val="SubtleReference"/>
          <w:rFonts w:ascii="Arial" w:hAnsi="Arial" w:cs="Arial"/>
          <w:b/>
          <w:smallCaps w:val="0"/>
          <w:color w:val="auto"/>
          <w:sz w:val="32"/>
          <w:szCs w:val="28"/>
        </w:rPr>
      </w:pPr>
      <w:r w:rsidRPr="00B01CB8">
        <w:rPr>
          <w:rStyle w:val="SubtleReference"/>
          <w:rFonts w:ascii="Arial" w:hAnsi="Arial" w:cs="Arial"/>
          <w:b/>
          <w:smallCaps w:val="0"/>
          <w:color w:val="auto"/>
          <w:sz w:val="32"/>
          <w:szCs w:val="28"/>
        </w:rPr>
        <w:lastRenderedPageBreak/>
        <w:t xml:space="preserve">Using this </w:t>
      </w:r>
      <w:r w:rsidR="00011EEC">
        <w:rPr>
          <w:rStyle w:val="SubtleReference"/>
          <w:rFonts w:ascii="Arial" w:hAnsi="Arial" w:cs="Arial"/>
          <w:b/>
          <w:smallCaps w:val="0"/>
          <w:color w:val="auto"/>
          <w:sz w:val="32"/>
          <w:szCs w:val="28"/>
        </w:rPr>
        <w:t>g</w:t>
      </w:r>
      <w:r w:rsidR="00FF6E24" w:rsidRPr="00B01CB8">
        <w:rPr>
          <w:rStyle w:val="SubtleReference"/>
          <w:rFonts w:ascii="Arial" w:hAnsi="Arial" w:cs="Arial"/>
          <w:b/>
          <w:smallCaps w:val="0"/>
          <w:color w:val="auto"/>
          <w:sz w:val="32"/>
          <w:szCs w:val="28"/>
        </w:rPr>
        <w:t>uide</w:t>
      </w:r>
    </w:p>
    <w:p w14:paraId="535843AF" w14:textId="77777777" w:rsidR="00A15EFB" w:rsidRPr="00B01CB8" w:rsidRDefault="00A15EFB" w:rsidP="00A15EFB">
      <w:pPr>
        <w:pStyle w:val="ListParagraph"/>
        <w:ind w:left="360"/>
        <w:rPr>
          <w:rFonts w:ascii="Arial" w:hAnsi="Arial" w:cs="Arial"/>
          <w:szCs w:val="24"/>
        </w:rPr>
      </w:pPr>
    </w:p>
    <w:p w14:paraId="57F8DE14" w14:textId="758C8646" w:rsidR="0034601D" w:rsidRDefault="00AA52AB" w:rsidP="00826F92">
      <w:pPr>
        <w:rPr>
          <w:rFonts w:ascii="Arial" w:hAnsi="Arial" w:cs="Arial"/>
          <w:sz w:val="24"/>
          <w:szCs w:val="24"/>
        </w:rPr>
      </w:pPr>
      <w:r w:rsidRPr="00B01CB8">
        <w:rPr>
          <w:rFonts w:ascii="Arial" w:hAnsi="Arial" w:cs="Arial"/>
          <w:sz w:val="24"/>
          <w:szCs w:val="24"/>
        </w:rPr>
        <w:t>Th</w:t>
      </w:r>
      <w:r w:rsidR="007049EE">
        <w:rPr>
          <w:rFonts w:ascii="Arial" w:hAnsi="Arial" w:cs="Arial"/>
          <w:sz w:val="24"/>
          <w:szCs w:val="24"/>
        </w:rPr>
        <w:t>e</w:t>
      </w:r>
      <w:r w:rsidR="00A17B10">
        <w:rPr>
          <w:rFonts w:ascii="Arial" w:hAnsi="Arial" w:cs="Arial"/>
          <w:sz w:val="24"/>
          <w:szCs w:val="24"/>
        </w:rPr>
        <w:t xml:space="preserve"> G</w:t>
      </w:r>
      <w:r w:rsidRPr="00B01CB8">
        <w:rPr>
          <w:rFonts w:ascii="Arial" w:hAnsi="Arial" w:cs="Arial"/>
          <w:sz w:val="24"/>
          <w:szCs w:val="24"/>
        </w:rPr>
        <w:t>uide</w:t>
      </w:r>
      <w:r w:rsidR="00A17B10">
        <w:rPr>
          <w:rFonts w:ascii="Arial" w:hAnsi="Arial" w:cs="Arial"/>
          <w:sz w:val="24"/>
          <w:szCs w:val="24"/>
        </w:rPr>
        <w:t xml:space="preserve"> to</w:t>
      </w:r>
      <w:r w:rsidR="00326483">
        <w:rPr>
          <w:rFonts w:ascii="Arial" w:hAnsi="Arial" w:cs="Arial"/>
          <w:sz w:val="24"/>
          <w:szCs w:val="24"/>
        </w:rPr>
        <w:t xml:space="preserve"> Regulatory Stock Reviews (the G</w:t>
      </w:r>
      <w:r w:rsidR="00A17B10">
        <w:rPr>
          <w:rFonts w:ascii="Arial" w:hAnsi="Arial" w:cs="Arial"/>
          <w:sz w:val="24"/>
          <w:szCs w:val="24"/>
        </w:rPr>
        <w:t>uide)</w:t>
      </w:r>
      <w:r w:rsidR="00CD3DD9" w:rsidRPr="00B01CB8">
        <w:rPr>
          <w:rFonts w:ascii="Arial" w:hAnsi="Arial" w:cs="Arial"/>
          <w:sz w:val="24"/>
          <w:szCs w:val="24"/>
        </w:rPr>
        <w:t xml:space="preserve"> outline</w:t>
      </w:r>
      <w:r w:rsidR="00513906" w:rsidRPr="00B01CB8">
        <w:rPr>
          <w:rFonts w:ascii="Arial" w:hAnsi="Arial" w:cs="Arial"/>
          <w:sz w:val="24"/>
          <w:szCs w:val="24"/>
        </w:rPr>
        <w:t>s</w:t>
      </w:r>
      <w:r w:rsidR="00CD3DD9" w:rsidRPr="00B01CB8">
        <w:rPr>
          <w:rFonts w:ascii="Arial" w:hAnsi="Arial" w:cs="Arial"/>
          <w:sz w:val="24"/>
          <w:szCs w:val="24"/>
        </w:rPr>
        <w:t xml:space="preserve"> expectations for </w:t>
      </w:r>
      <w:r w:rsidR="00D37652">
        <w:rPr>
          <w:rFonts w:ascii="Arial" w:hAnsi="Arial" w:cs="Arial"/>
          <w:sz w:val="24"/>
          <w:szCs w:val="24"/>
        </w:rPr>
        <w:t>federal</w:t>
      </w:r>
      <w:r w:rsidR="00CD3DD9" w:rsidRPr="00B01CB8">
        <w:rPr>
          <w:rFonts w:ascii="Arial" w:hAnsi="Arial" w:cs="Arial"/>
          <w:sz w:val="24"/>
          <w:szCs w:val="24"/>
        </w:rPr>
        <w:t xml:space="preserve"> </w:t>
      </w:r>
      <w:r w:rsidR="00B312E9" w:rsidRPr="00B01CB8">
        <w:rPr>
          <w:rFonts w:ascii="Arial" w:hAnsi="Arial" w:cs="Arial"/>
          <w:sz w:val="24"/>
          <w:szCs w:val="24"/>
        </w:rPr>
        <w:t xml:space="preserve">regulatory departments and agencies subject to the </w:t>
      </w:r>
      <w:r w:rsidR="00513906" w:rsidRPr="00B01CB8">
        <w:rPr>
          <w:rFonts w:ascii="Arial" w:hAnsi="Arial" w:cs="Arial"/>
          <w:sz w:val="24"/>
          <w:szCs w:val="24"/>
        </w:rPr>
        <w:t xml:space="preserve">Cabinet Directive on Regulation (the </w:t>
      </w:r>
      <w:r w:rsidR="00326483">
        <w:rPr>
          <w:rFonts w:ascii="Arial" w:hAnsi="Arial" w:cs="Arial"/>
          <w:sz w:val="24"/>
          <w:szCs w:val="24"/>
        </w:rPr>
        <w:t>D</w:t>
      </w:r>
      <w:r w:rsidR="003A28FF">
        <w:rPr>
          <w:rFonts w:ascii="Arial" w:hAnsi="Arial" w:cs="Arial"/>
          <w:sz w:val="24"/>
          <w:szCs w:val="24"/>
        </w:rPr>
        <w:t>irective</w:t>
      </w:r>
      <w:r w:rsidR="00513906" w:rsidRPr="00B01CB8">
        <w:rPr>
          <w:rFonts w:ascii="Arial" w:hAnsi="Arial" w:cs="Arial"/>
          <w:sz w:val="24"/>
          <w:szCs w:val="24"/>
        </w:rPr>
        <w:t xml:space="preserve">) </w:t>
      </w:r>
      <w:r w:rsidR="00B312E9" w:rsidRPr="00B01CB8">
        <w:rPr>
          <w:rFonts w:ascii="Arial" w:hAnsi="Arial" w:cs="Arial"/>
          <w:sz w:val="24"/>
          <w:szCs w:val="24"/>
        </w:rPr>
        <w:t>who are</w:t>
      </w:r>
      <w:r w:rsidR="00CD3DD9" w:rsidRPr="00B01CB8">
        <w:rPr>
          <w:rFonts w:ascii="Arial" w:hAnsi="Arial" w:cs="Arial"/>
          <w:sz w:val="24"/>
          <w:szCs w:val="24"/>
        </w:rPr>
        <w:t xml:space="preserve"> undertaking a review of </w:t>
      </w:r>
      <w:r w:rsidR="00D15E1B" w:rsidRPr="00B01CB8">
        <w:rPr>
          <w:rFonts w:ascii="Arial" w:hAnsi="Arial" w:cs="Arial"/>
          <w:sz w:val="24"/>
          <w:szCs w:val="24"/>
        </w:rPr>
        <w:t>the</w:t>
      </w:r>
      <w:r w:rsidRPr="00B01CB8">
        <w:rPr>
          <w:rFonts w:ascii="Arial" w:hAnsi="Arial" w:cs="Arial"/>
          <w:sz w:val="24"/>
          <w:szCs w:val="24"/>
        </w:rPr>
        <w:t>ir</w:t>
      </w:r>
      <w:r w:rsidR="00D15E1B" w:rsidRPr="00B01CB8">
        <w:rPr>
          <w:rFonts w:ascii="Arial" w:hAnsi="Arial" w:cs="Arial"/>
          <w:sz w:val="24"/>
          <w:szCs w:val="24"/>
        </w:rPr>
        <w:t xml:space="preserve"> regulatory stock</w:t>
      </w:r>
      <w:r w:rsidR="007A523D">
        <w:rPr>
          <w:rFonts w:ascii="Arial" w:hAnsi="Arial" w:cs="Arial"/>
          <w:sz w:val="24"/>
          <w:szCs w:val="24"/>
        </w:rPr>
        <w:t xml:space="preserve">, as </w:t>
      </w:r>
      <w:r w:rsidR="00A526ED">
        <w:rPr>
          <w:rFonts w:ascii="Arial" w:hAnsi="Arial" w:cs="Arial"/>
          <w:sz w:val="24"/>
          <w:szCs w:val="24"/>
        </w:rPr>
        <w:t>required</w:t>
      </w:r>
      <w:r w:rsidR="007A523D">
        <w:rPr>
          <w:rFonts w:ascii="Arial" w:hAnsi="Arial" w:cs="Arial"/>
          <w:sz w:val="24"/>
          <w:szCs w:val="24"/>
        </w:rPr>
        <w:t xml:space="preserve"> in </w:t>
      </w:r>
      <w:r w:rsidR="007A523D" w:rsidRPr="007A523D">
        <w:rPr>
          <w:rFonts w:ascii="Arial" w:hAnsi="Arial" w:cs="Arial"/>
          <w:b/>
          <w:sz w:val="24"/>
          <w:szCs w:val="24"/>
        </w:rPr>
        <w:t>Section 7</w:t>
      </w:r>
      <w:r w:rsidR="003D0829">
        <w:rPr>
          <w:rFonts w:ascii="Arial" w:hAnsi="Arial" w:cs="Arial"/>
          <w:b/>
          <w:sz w:val="24"/>
          <w:szCs w:val="24"/>
        </w:rPr>
        <w:t xml:space="preserve"> </w:t>
      </w:r>
      <w:r w:rsidR="00326483">
        <w:rPr>
          <w:rFonts w:ascii="Arial" w:hAnsi="Arial" w:cs="Arial"/>
          <w:sz w:val="24"/>
          <w:szCs w:val="24"/>
        </w:rPr>
        <w:t>of the D</w:t>
      </w:r>
      <w:r w:rsidR="00733B9E" w:rsidRPr="003D0829">
        <w:rPr>
          <w:rFonts w:ascii="Arial" w:hAnsi="Arial" w:cs="Arial"/>
          <w:sz w:val="24"/>
          <w:szCs w:val="24"/>
        </w:rPr>
        <w:t>irective</w:t>
      </w:r>
      <w:r w:rsidR="00786CA9" w:rsidRPr="00B01CB8">
        <w:rPr>
          <w:rFonts w:ascii="Arial" w:hAnsi="Arial" w:cs="Arial"/>
          <w:sz w:val="24"/>
          <w:szCs w:val="24"/>
        </w:rPr>
        <w:t xml:space="preserve">. </w:t>
      </w:r>
      <w:r w:rsidR="00922668">
        <w:rPr>
          <w:rFonts w:ascii="Arial" w:hAnsi="Arial" w:cs="Arial"/>
          <w:sz w:val="24"/>
          <w:szCs w:val="24"/>
        </w:rPr>
        <w:t>B</w:t>
      </w:r>
      <w:r w:rsidR="00D37652">
        <w:rPr>
          <w:rFonts w:ascii="Arial" w:hAnsi="Arial" w:cs="Arial"/>
          <w:sz w:val="24"/>
          <w:szCs w:val="24"/>
        </w:rPr>
        <w:t>oth Governor-in-Council and m</w:t>
      </w:r>
      <w:r w:rsidR="007049EE">
        <w:rPr>
          <w:rFonts w:ascii="Arial" w:hAnsi="Arial" w:cs="Arial"/>
          <w:sz w:val="24"/>
          <w:szCs w:val="24"/>
        </w:rPr>
        <w:t>inisterial regulations are captured under the review requirements</w:t>
      </w:r>
      <w:r w:rsidR="0034601D">
        <w:rPr>
          <w:rFonts w:ascii="Arial" w:hAnsi="Arial" w:cs="Arial"/>
          <w:sz w:val="24"/>
          <w:szCs w:val="24"/>
        </w:rPr>
        <w:t xml:space="preserve"> set out in the </w:t>
      </w:r>
      <w:r w:rsidR="00000CFC">
        <w:rPr>
          <w:rFonts w:ascii="Arial" w:hAnsi="Arial" w:cs="Arial"/>
          <w:sz w:val="24"/>
          <w:szCs w:val="24"/>
        </w:rPr>
        <w:t>D</w:t>
      </w:r>
      <w:r w:rsidR="0034601D">
        <w:rPr>
          <w:rFonts w:ascii="Arial" w:hAnsi="Arial" w:cs="Arial"/>
          <w:sz w:val="24"/>
          <w:szCs w:val="24"/>
        </w:rPr>
        <w:t>irective</w:t>
      </w:r>
      <w:r w:rsidR="007049EE">
        <w:rPr>
          <w:rFonts w:ascii="Arial" w:hAnsi="Arial" w:cs="Arial"/>
          <w:sz w:val="24"/>
          <w:szCs w:val="24"/>
        </w:rPr>
        <w:t xml:space="preserve">. </w:t>
      </w:r>
      <w:r w:rsidR="0075261D">
        <w:rPr>
          <w:rFonts w:ascii="Arial" w:hAnsi="Arial" w:cs="Arial"/>
          <w:sz w:val="24"/>
          <w:szCs w:val="24"/>
        </w:rPr>
        <w:t>The G</w:t>
      </w:r>
      <w:r w:rsidR="0034601D">
        <w:rPr>
          <w:rFonts w:ascii="Arial" w:hAnsi="Arial" w:cs="Arial"/>
          <w:sz w:val="24"/>
          <w:szCs w:val="24"/>
        </w:rPr>
        <w:t xml:space="preserve">uide also </w:t>
      </w:r>
      <w:r w:rsidR="00041BBE">
        <w:rPr>
          <w:rFonts w:ascii="Arial" w:hAnsi="Arial" w:cs="Arial"/>
          <w:sz w:val="24"/>
          <w:szCs w:val="24"/>
        </w:rPr>
        <w:t xml:space="preserve">proposes </w:t>
      </w:r>
      <w:r w:rsidR="0034601D">
        <w:rPr>
          <w:rFonts w:ascii="Arial" w:hAnsi="Arial" w:cs="Arial"/>
          <w:sz w:val="24"/>
          <w:szCs w:val="24"/>
        </w:rPr>
        <w:t xml:space="preserve">a common framework </w:t>
      </w:r>
      <w:r w:rsidR="00F750E8">
        <w:rPr>
          <w:rFonts w:ascii="Arial" w:hAnsi="Arial" w:cs="Arial"/>
          <w:sz w:val="24"/>
          <w:szCs w:val="24"/>
        </w:rPr>
        <w:t>to develop a stock review plan and</w:t>
      </w:r>
      <w:r w:rsidR="0034601D">
        <w:rPr>
          <w:rFonts w:ascii="Arial" w:hAnsi="Arial" w:cs="Arial"/>
          <w:sz w:val="24"/>
          <w:szCs w:val="24"/>
        </w:rPr>
        <w:t xml:space="preserve"> for reporting publically on the status </w:t>
      </w:r>
      <w:r w:rsidR="00653EF9">
        <w:rPr>
          <w:rFonts w:ascii="Arial" w:hAnsi="Arial" w:cs="Arial"/>
          <w:sz w:val="24"/>
          <w:szCs w:val="24"/>
        </w:rPr>
        <w:t xml:space="preserve">and order </w:t>
      </w:r>
      <w:r w:rsidR="0034601D">
        <w:rPr>
          <w:rFonts w:ascii="Arial" w:hAnsi="Arial" w:cs="Arial"/>
          <w:sz w:val="24"/>
          <w:szCs w:val="24"/>
        </w:rPr>
        <w:t xml:space="preserve">of a </w:t>
      </w:r>
      <w:r w:rsidR="00326483">
        <w:rPr>
          <w:rFonts w:ascii="Arial" w:hAnsi="Arial" w:cs="Arial"/>
          <w:sz w:val="24"/>
          <w:szCs w:val="24"/>
        </w:rPr>
        <w:t>department or agencies’</w:t>
      </w:r>
      <w:r w:rsidR="0075261D">
        <w:rPr>
          <w:rFonts w:ascii="Arial" w:hAnsi="Arial" w:cs="Arial"/>
          <w:sz w:val="24"/>
          <w:szCs w:val="24"/>
        </w:rPr>
        <w:t xml:space="preserve"> review of its</w:t>
      </w:r>
      <w:r w:rsidR="0034601D">
        <w:rPr>
          <w:rFonts w:ascii="Arial" w:hAnsi="Arial" w:cs="Arial"/>
          <w:sz w:val="24"/>
          <w:szCs w:val="24"/>
        </w:rPr>
        <w:t xml:space="preserve"> regulatory stock. Finally, t</w:t>
      </w:r>
      <w:r w:rsidR="00326483">
        <w:rPr>
          <w:rFonts w:ascii="Arial" w:hAnsi="Arial" w:cs="Arial"/>
          <w:sz w:val="24"/>
          <w:szCs w:val="24"/>
        </w:rPr>
        <w:t>he G</w:t>
      </w:r>
      <w:r w:rsidR="00C43D62">
        <w:rPr>
          <w:rFonts w:ascii="Arial" w:hAnsi="Arial" w:cs="Arial"/>
          <w:sz w:val="24"/>
          <w:szCs w:val="24"/>
        </w:rPr>
        <w:t>uide</w:t>
      </w:r>
      <w:r w:rsidR="0034601D">
        <w:rPr>
          <w:rFonts w:ascii="Arial" w:hAnsi="Arial" w:cs="Arial"/>
          <w:sz w:val="24"/>
          <w:szCs w:val="24"/>
        </w:rPr>
        <w:t xml:space="preserve"> provides questions for regulators to consider while undertaking </w:t>
      </w:r>
      <w:r w:rsidR="00041BBE">
        <w:rPr>
          <w:rFonts w:ascii="Arial" w:hAnsi="Arial" w:cs="Arial"/>
          <w:sz w:val="24"/>
          <w:szCs w:val="24"/>
        </w:rPr>
        <w:t xml:space="preserve">the </w:t>
      </w:r>
      <w:r w:rsidR="00326483">
        <w:rPr>
          <w:rFonts w:ascii="Arial" w:hAnsi="Arial" w:cs="Arial"/>
          <w:sz w:val="24"/>
          <w:szCs w:val="24"/>
        </w:rPr>
        <w:t xml:space="preserve">evaluations and reviews of </w:t>
      </w:r>
      <w:r w:rsidR="00000CFC">
        <w:rPr>
          <w:rFonts w:ascii="Arial" w:hAnsi="Arial" w:cs="Arial"/>
          <w:sz w:val="24"/>
          <w:szCs w:val="24"/>
        </w:rPr>
        <w:t>the</w:t>
      </w:r>
      <w:r w:rsidR="0034601D">
        <w:rPr>
          <w:rFonts w:ascii="Arial" w:hAnsi="Arial" w:cs="Arial"/>
          <w:sz w:val="24"/>
          <w:szCs w:val="24"/>
        </w:rPr>
        <w:t xml:space="preserve"> regulatory stock.</w:t>
      </w:r>
    </w:p>
    <w:p w14:paraId="7C29646A" w14:textId="0CBC9B80" w:rsidR="00CD3DD9" w:rsidRPr="00B01CB8" w:rsidRDefault="001D1AE6" w:rsidP="00826F92">
      <w:pPr>
        <w:rPr>
          <w:rFonts w:ascii="Arial" w:hAnsi="Arial" w:cs="Arial"/>
          <w:sz w:val="24"/>
          <w:szCs w:val="24"/>
        </w:rPr>
      </w:pPr>
      <w:r>
        <w:rPr>
          <w:rFonts w:ascii="Arial" w:hAnsi="Arial" w:cs="Arial"/>
          <w:sz w:val="24"/>
          <w:szCs w:val="24"/>
        </w:rPr>
        <w:t>This is a working document and is intended to grow the base of knowledge and experience of federal regulators who undertake regulatory stock reviews</w:t>
      </w:r>
      <w:r w:rsidR="00CB15F7">
        <w:rPr>
          <w:rFonts w:ascii="Arial" w:hAnsi="Arial" w:cs="Arial"/>
          <w:sz w:val="24"/>
          <w:szCs w:val="24"/>
        </w:rPr>
        <w:t xml:space="preserve">. As regulators implement the </w:t>
      </w:r>
      <w:r w:rsidR="00326483">
        <w:rPr>
          <w:rFonts w:ascii="Arial" w:hAnsi="Arial" w:cs="Arial"/>
          <w:sz w:val="24"/>
          <w:szCs w:val="24"/>
        </w:rPr>
        <w:t>Directive, this G</w:t>
      </w:r>
      <w:r w:rsidR="00CB15F7">
        <w:rPr>
          <w:rFonts w:ascii="Arial" w:hAnsi="Arial" w:cs="Arial"/>
          <w:sz w:val="24"/>
          <w:szCs w:val="24"/>
        </w:rPr>
        <w:t xml:space="preserve">uide will be amended to highlight </w:t>
      </w:r>
      <w:r>
        <w:rPr>
          <w:rFonts w:ascii="Arial" w:hAnsi="Arial" w:cs="Arial"/>
          <w:sz w:val="24"/>
          <w:szCs w:val="24"/>
        </w:rPr>
        <w:t>best practices an</w:t>
      </w:r>
      <w:r w:rsidR="00D37652">
        <w:rPr>
          <w:rFonts w:ascii="Arial" w:hAnsi="Arial" w:cs="Arial"/>
          <w:sz w:val="24"/>
          <w:szCs w:val="24"/>
        </w:rPr>
        <w:t>d lessons learned</w:t>
      </w:r>
      <w:r>
        <w:rPr>
          <w:rFonts w:ascii="Arial" w:hAnsi="Arial" w:cs="Arial"/>
          <w:sz w:val="24"/>
          <w:szCs w:val="24"/>
        </w:rPr>
        <w:t xml:space="preserve">. </w:t>
      </w:r>
      <w:r w:rsidR="00B36A0C" w:rsidRPr="00B01CB8">
        <w:rPr>
          <w:rFonts w:ascii="Arial" w:hAnsi="Arial" w:cs="Arial"/>
          <w:sz w:val="24"/>
          <w:szCs w:val="24"/>
        </w:rPr>
        <w:t xml:space="preserve"> </w:t>
      </w:r>
    </w:p>
    <w:p w14:paraId="5BAA0F56" w14:textId="7BF96855" w:rsidR="00E573DE" w:rsidRPr="00B01CB8" w:rsidRDefault="00E573DE" w:rsidP="00826F92">
      <w:pPr>
        <w:pStyle w:val="Heading2"/>
        <w:rPr>
          <w:rStyle w:val="SubtleReference"/>
          <w:rFonts w:ascii="Arial" w:hAnsi="Arial" w:cs="Arial"/>
          <w:b/>
          <w:smallCaps w:val="0"/>
          <w:color w:val="auto"/>
          <w:sz w:val="32"/>
          <w:szCs w:val="28"/>
        </w:rPr>
      </w:pPr>
      <w:r w:rsidRPr="00B01CB8">
        <w:rPr>
          <w:rStyle w:val="SubtleReference"/>
          <w:rFonts w:ascii="Arial" w:hAnsi="Arial" w:cs="Arial"/>
          <w:b/>
          <w:smallCaps w:val="0"/>
          <w:color w:val="auto"/>
          <w:sz w:val="32"/>
          <w:szCs w:val="28"/>
        </w:rPr>
        <w:t>Definitions</w:t>
      </w:r>
    </w:p>
    <w:p w14:paraId="44C19C90" w14:textId="77777777" w:rsidR="00041BBE" w:rsidRDefault="00041BBE" w:rsidP="00826F92">
      <w:pPr>
        <w:spacing w:after="0"/>
        <w:rPr>
          <w:rFonts w:ascii="Arial" w:hAnsi="Arial" w:cs="Arial"/>
          <w:b/>
          <w:sz w:val="24"/>
          <w:szCs w:val="24"/>
        </w:rPr>
      </w:pPr>
    </w:p>
    <w:p w14:paraId="5DEEE2AE" w14:textId="688E00A3" w:rsidR="0069126F" w:rsidRDefault="0069126F" w:rsidP="00826F92">
      <w:pPr>
        <w:spacing w:after="0"/>
        <w:rPr>
          <w:rFonts w:ascii="Arial" w:hAnsi="Arial" w:cs="Arial"/>
          <w:sz w:val="24"/>
          <w:szCs w:val="24"/>
        </w:rPr>
      </w:pPr>
      <w:r w:rsidRPr="00041BBE">
        <w:rPr>
          <w:rFonts w:ascii="Arial" w:hAnsi="Arial" w:cs="Arial"/>
          <w:b/>
          <w:sz w:val="24"/>
          <w:szCs w:val="24"/>
        </w:rPr>
        <w:t>Regulation</w:t>
      </w:r>
      <w:r w:rsidR="00D37652">
        <w:rPr>
          <w:rFonts w:ascii="Arial" w:hAnsi="Arial" w:cs="Arial"/>
          <w:b/>
          <w:sz w:val="24"/>
          <w:szCs w:val="24"/>
        </w:rPr>
        <w:t>s</w:t>
      </w:r>
      <w:r w:rsidR="00D37652" w:rsidRPr="00AA5B74">
        <w:rPr>
          <w:rFonts w:ascii="Arial" w:hAnsi="Arial" w:cs="Arial"/>
          <w:sz w:val="24"/>
          <w:szCs w:val="24"/>
        </w:rPr>
        <w:t>,</w:t>
      </w:r>
      <w:r w:rsidR="00D37652">
        <w:rPr>
          <w:b/>
        </w:rPr>
        <w:t xml:space="preserve"> </w:t>
      </w:r>
      <w:r w:rsidR="00D37652" w:rsidRPr="00D37652">
        <w:rPr>
          <w:rFonts w:ascii="Arial" w:hAnsi="Arial" w:cs="Arial"/>
          <w:sz w:val="24"/>
          <w:szCs w:val="24"/>
        </w:rPr>
        <w:t>as defined by</w:t>
      </w:r>
      <w:r w:rsidR="00A17B10" w:rsidRPr="00A17B10">
        <w:rPr>
          <w:rFonts w:ascii="Arial" w:hAnsi="Arial" w:cs="Arial"/>
          <w:sz w:val="24"/>
          <w:szCs w:val="24"/>
        </w:rPr>
        <w:t xml:space="preserve"> </w:t>
      </w:r>
      <w:r w:rsidR="00D37652">
        <w:rPr>
          <w:rFonts w:ascii="Arial" w:hAnsi="Arial" w:cs="Arial"/>
          <w:sz w:val="24"/>
          <w:szCs w:val="24"/>
        </w:rPr>
        <w:t xml:space="preserve">the </w:t>
      </w:r>
      <w:r w:rsidR="00D37652" w:rsidRPr="008817D5">
        <w:rPr>
          <w:rFonts w:ascii="Arial" w:hAnsi="Arial" w:cs="Arial"/>
          <w:i/>
          <w:sz w:val="24"/>
          <w:szCs w:val="24"/>
        </w:rPr>
        <w:t>Statutory Instruments Act</w:t>
      </w:r>
      <w:r w:rsidR="00D37652">
        <w:rPr>
          <w:rFonts w:ascii="Arial" w:hAnsi="Arial" w:cs="Arial"/>
          <w:sz w:val="24"/>
          <w:szCs w:val="24"/>
        </w:rPr>
        <w:t xml:space="preserve">, </w:t>
      </w:r>
      <w:r w:rsidR="00A17B10" w:rsidRPr="00A17B10">
        <w:rPr>
          <w:rFonts w:ascii="Arial" w:hAnsi="Arial" w:cs="Arial"/>
          <w:sz w:val="24"/>
          <w:szCs w:val="24"/>
        </w:rPr>
        <w:t>are statutory instruments that are established pursuant to legislative powers conferred under an Act of Parliament that may result in the imposition of legal sanctions if they are contravened. Regulations are used by government as an instrument for mandating or enabling particular behaviours or outcomes in order to achieve public policy objectives.</w:t>
      </w:r>
      <w:r>
        <w:rPr>
          <w:rFonts w:ascii="Arial" w:hAnsi="Arial" w:cs="Arial"/>
          <w:sz w:val="24"/>
          <w:szCs w:val="24"/>
        </w:rPr>
        <w:t xml:space="preserve"> </w:t>
      </w:r>
    </w:p>
    <w:p w14:paraId="060CEBED" w14:textId="77777777" w:rsidR="00041BBE" w:rsidRDefault="00041BBE" w:rsidP="00826F92">
      <w:pPr>
        <w:spacing w:after="0"/>
        <w:rPr>
          <w:rFonts w:ascii="Arial" w:hAnsi="Arial" w:cs="Arial"/>
          <w:b/>
          <w:sz w:val="24"/>
          <w:szCs w:val="24"/>
          <w:highlight w:val="yellow"/>
        </w:rPr>
      </w:pPr>
    </w:p>
    <w:p w14:paraId="38C3A5EF" w14:textId="0A9E0D83" w:rsidR="00041BBE" w:rsidRDefault="00D37652" w:rsidP="00826F92">
      <w:pPr>
        <w:spacing w:after="0"/>
        <w:rPr>
          <w:rFonts w:ascii="Arial" w:hAnsi="Arial" w:cs="Arial"/>
          <w:sz w:val="24"/>
          <w:szCs w:val="24"/>
        </w:rPr>
      </w:pPr>
      <w:r w:rsidRPr="00D37652">
        <w:rPr>
          <w:rFonts w:ascii="Arial" w:hAnsi="Arial" w:cs="Arial"/>
          <w:sz w:val="24"/>
          <w:szCs w:val="24"/>
        </w:rPr>
        <w:t>The</w:t>
      </w:r>
      <w:r>
        <w:rPr>
          <w:rFonts w:ascii="Arial" w:hAnsi="Arial" w:cs="Arial"/>
          <w:b/>
          <w:sz w:val="24"/>
          <w:szCs w:val="24"/>
        </w:rPr>
        <w:t xml:space="preserve"> regulatory stock </w:t>
      </w:r>
      <w:r>
        <w:rPr>
          <w:rFonts w:ascii="Arial" w:hAnsi="Arial" w:cs="Arial"/>
          <w:sz w:val="24"/>
          <w:szCs w:val="24"/>
        </w:rPr>
        <w:t>is a</w:t>
      </w:r>
      <w:r w:rsidR="004604EE" w:rsidRPr="004604EE">
        <w:rPr>
          <w:rFonts w:ascii="Arial" w:hAnsi="Arial" w:cs="Arial"/>
          <w:sz w:val="24"/>
          <w:szCs w:val="24"/>
        </w:rPr>
        <w:t>ll of the regulations unde</w:t>
      </w:r>
      <w:r w:rsidR="004604EE">
        <w:rPr>
          <w:rFonts w:ascii="Arial" w:hAnsi="Arial" w:cs="Arial"/>
          <w:sz w:val="24"/>
          <w:szCs w:val="24"/>
        </w:rPr>
        <w:t xml:space="preserve">r the authority of a minister </w:t>
      </w:r>
      <w:r w:rsidR="004604EE" w:rsidRPr="004604EE">
        <w:rPr>
          <w:rFonts w:ascii="Arial" w:hAnsi="Arial" w:cs="Arial"/>
          <w:sz w:val="24"/>
          <w:szCs w:val="24"/>
        </w:rPr>
        <w:t xml:space="preserve">and administered by </w:t>
      </w:r>
      <w:r w:rsidR="004604EE">
        <w:rPr>
          <w:rFonts w:ascii="Arial" w:hAnsi="Arial" w:cs="Arial"/>
          <w:sz w:val="24"/>
          <w:szCs w:val="24"/>
        </w:rPr>
        <w:t>that</w:t>
      </w:r>
      <w:r w:rsidR="004604EE" w:rsidRPr="004604EE">
        <w:rPr>
          <w:rFonts w:ascii="Arial" w:hAnsi="Arial" w:cs="Arial"/>
          <w:sz w:val="24"/>
          <w:szCs w:val="24"/>
        </w:rPr>
        <w:t xml:space="preserve"> </w:t>
      </w:r>
      <w:r w:rsidR="00B9143C">
        <w:rPr>
          <w:rFonts w:ascii="Arial" w:hAnsi="Arial" w:cs="Arial"/>
          <w:sz w:val="24"/>
          <w:szCs w:val="24"/>
        </w:rPr>
        <w:t xml:space="preserve">federal </w:t>
      </w:r>
      <w:r w:rsidR="004604EE" w:rsidRPr="004604EE">
        <w:rPr>
          <w:rFonts w:ascii="Arial" w:hAnsi="Arial" w:cs="Arial"/>
          <w:sz w:val="24"/>
          <w:szCs w:val="24"/>
        </w:rPr>
        <w:t>department</w:t>
      </w:r>
      <w:r w:rsidR="004604EE">
        <w:rPr>
          <w:rFonts w:ascii="Arial" w:hAnsi="Arial" w:cs="Arial"/>
          <w:sz w:val="24"/>
          <w:szCs w:val="24"/>
        </w:rPr>
        <w:t xml:space="preserve"> or agency.</w:t>
      </w:r>
    </w:p>
    <w:p w14:paraId="0217F53E" w14:textId="77777777" w:rsidR="004604EE" w:rsidRDefault="004604EE" w:rsidP="00826F92">
      <w:pPr>
        <w:spacing w:after="0"/>
        <w:rPr>
          <w:rFonts w:ascii="Arial" w:hAnsi="Arial" w:cs="Arial"/>
          <w:b/>
          <w:sz w:val="24"/>
          <w:szCs w:val="24"/>
        </w:rPr>
      </w:pPr>
    </w:p>
    <w:p w14:paraId="60E64AA2" w14:textId="5980F691" w:rsidR="00C722AA" w:rsidRPr="00C722AA" w:rsidRDefault="00D37652" w:rsidP="00826F92">
      <w:pPr>
        <w:rPr>
          <w:rFonts w:ascii="Arial" w:hAnsi="Arial" w:cs="Arial"/>
          <w:sz w:val="24"/>
          <w:szCs w:val="24"/>
        </w:rPr>
      </w:pPr>
      <w:r w:rsidRPr="00D37652">
        <w:rPr>
          <w:rFonts w:ascii="Arial" w:hAnsi="Arial" w:cs="Arial"/>
          <w:sz w:val="24"/>
          <w:szCs w:val="24"/>
        </w:rPr>
        <w:t xml:space="preserve">A </w:t>
      </w:r>
      <w:r>
        <w:rPr>
          <w:rFonts w:ascii="Arial" w:hAnsi="Arial" w:cs="Arial"/>
          <w:b/>
          <w:sz w:val="24"/>
          <w:szCs w:val="24"/>
        </w:rPr>
        <w:t>stock r</w:t>
      </w:r>
      <w:r w:rsidR="00922668" w:rsidRPr="00041BBE">
        <w:rPr>
          <w:rFonts w:ascii="Arial" w:hAnsi="Arial" w:cs="Arial"/>
          <w:b/>
          <w:sz w:val="24"/>
          <w:szCs w:val="24"/>
        </w:rPr>
        <w:t xml:space="preserve">eview </w:t>
      </w:r>
      <w:r>
        <w:rPr>
          <w:rFonts w:ascii="Arial" w:hAnsi="Arial" w:cs="Arial"/>
          <w:b/>
          <w:sz w:val="24"/>
          <w:szCs w:val="24"/>
        </w:rPr>
        <w:t>p</w:t>
      </w:r>
      <w:r w:rsidR="00922668" w:rsidRPr="00041BBE">
        <w:rPr>
          <w:rFonts w:ascii="Arial" w:hAnsi="Arial" w:cs="Arial"/>
          <w:b/>
          <w:sz w:val="24"/>
          <w:szCs w:val="24"/>
        </w:rPr>
        <w:t>lan</w:t>
      </w:r>
      <w:r>
        <w:rPr>
          <w:rFonts w:ascii="Arial" w:hAnsi="Arial" w:cs="Arial"/>
          <w:b/>
          <w:sz w:val="24"/>
          <w:szCs w:val="24"/>
        </w:rPr>
        <w:t xml:space="preserve"> </w:t>
      </w:r>
      <w:r w:rsidRPr="00C722AA">
        <w:rPr>
          <w:rFonts w:ascii="Arial" w:hAnsi="Arial" w:cs="Arial"/>
          <w:sz w:val="24"/>
          <w:szCs w:val="24"/>
        </w:rPr>
        <w:t>is a</w:t>
      </w:r>
      <w:r w:rsidR="00041BBE" w:rsidRPr="00C722AA">
        <w:rPr>
          <w:rFonts w:ascii="Arial" w:hAnsi="Arial" w:cs="Arial"/>
          <w:sz w:val="24"/>
          <w:szCs w:val="24"/>
        </w:rPr>
        <w:t xml:space="preserve"> framework published online to help regulators develop</w:t>
      </w:r>
      <w:r w:rsidR="00011EEC" w:rsidRPr="00C722AA">
        <w:rPr>
          <w:rFonts w:ascii="Arial" w:hAnsi="Arial" w:cs="Arial"/>
          <w:sz w:val="24"/>
          <w:szCs w:val="24"/>
        </w:rPr>
        <w:t xml:space="preserve"> and showcase</w:t>
      </w:r>
      <w:r w:rsidR="00041BBE" w:rsidRPr="00C722AA">
        <w:rPr>
          <w:rFonts w:ascii="Arial" w:hAnsi="Arial" w:cs="Arial"/>
          <w:sz w:val="24"/>
          <w:szCs w:val="24"/>
        </w:rPr>
        <w:t xml:space="preserve"> a systematic, transparent plan to review their </w:t>
      </w:r>
      <w:r w:rsidR="00C722AA" w:rsidRPr="00C722AA">
        <w:rPr>
          <w:rFonts w:ascii="Arial" w:hAnsi="Arial" w:cs="Arial"/>
          <w:sz w:val="24"/>
          <w:szCs w:val="24"/>
        </w:rPr>
        <w:t>existing regulations</w:t>
      </w:r>
      <w:r w:rsidR="00041BBE" w:rsidRPr="00C722AA">
        <w:rPr>
          <w:rFonts w:ascii="Arial" w:hAnsi="Arial" w:cs="Arial"/>
          <w:sz w:val="24"/>
          <w:szCs w:val="24"/>
        </w:rPr>
        <w:t xml:space="preserve"> over a set period of time. </w:t>
      </w:r>
      <w:r w:rsidR="00C722AA" w:rsidRPr="00C722AA">
        <w:rPr>
          <w:rFonts w:ascii="Arial" w:hAnsi="Arial" w:cs="Arial"/>
          <w:sz w:val="24"/>
          <w:szCs w:val="24"/>
        </w:rPr>
        <w:t>The stock review plan includes the titles of the regulations that will be reviewed, the date each regulation was last reviewed</w:t>
      </w:r>
      <w:r w:rsidR="007A523D">
        <w:rPr>
          <w:rFonts w:ascii="Arial" w:hAnsi="Arial" w:cs="Arial"/>
          <w:sz w:val="24"/>
          <w:szCs w:val="24"/>
        </w:rPr>
        <w:t>,</w:t>
      </w:r>
      <w:r w:rsidR="00C722AA" w:rsidRPr="00C722AA">
        <w:rPr>
          <w:rFonts w:ascii="Arial" w:hAnsi="Arial" w:cs="Arial"/>
          <w:sz w:val="24"/>
          <w:szCs w:val="24"/>
        </w:rPr>
        <w:t xml:space="preserve"> and the proposed date to launch a new review.</w:t>
      </w:r>
      <w:r w:rsidR="00826F92">
        <w:rPr>
          <w:rFonts w:ascii="Arial" w:hAnsi="Arial" w:cs="Arial"/>
          <w:sz w:val="24"/>
          <w:szCs w:val="24"/>
        </w:rPr>
        <w:t xml:space="preserve"> </w:t>
      </w:r>
    </w:p>
    <w:p w14:paraId="30E5864C" w14:textId="00FF0BF9" w:rsidR="00922668" w:rsidRPr="00B01CB8" w:rsidRDefault="00D72D9F" w:rsidP="00826F92">
      <w:pPr>
        <w:spacing w:after="0"/>
        <w:rPr>
          <w:rFonts w:ascii="Arial" w:hAnsi="Arial" w:cs="Arial"/>
          <w:sz w:val="24"/>
          <w:szCs w:val="24"/>
        </w:rPr>
      </w:pPr>
      <w:r>
        <w:rPr>
          <w:rFonts w:ascii="Arial" w:hAnsi="Arial" w:cs="Arial"/>
          <w:b/>
          <w:sz w:val="24"/>
          <w:szCs w:val="24"/>
        </w:rPr>
        <w:t>Ex-p</w:t>
      </w:r>
      <w:r w:rsidR="00822CA4" w:rsidRPr="00041BBE">
        <w:rPr>
          <w:rFonts w:ascii="Arial" w:hAnsi="Arial" w:cs="Arial"/>
          <w:b/>
          <w:sz w:val="24"/>
          <w:szCs w:val="24"/>
        </w:rPr>
        <w:t>ost</w:t>
      </w:r>
      <w:r>
        <w:rPr>
          <w:rFonts w:ascii="Arial" w:hAnsi="Arial" w:cs="Arial"/>
          <w:b/>
          <w:sz w:val="24"/>
          <w:szCs w:val="24"/>
        </w:rPr>
        <w:t xml:space="preserve"> e</w:t>
      </w:r>
      <w:r w:rsidR="00922668" w:rsidRPr="00041BBE">
        <w:rPr>
          <w:rFonts w:ascii="Arial" w:hAnsi="Arial" w:cs="Arial"/>
          <w:b/>
          <w:sz w:val="24"/>
          <w:szCs w:val="24"/>
        </w:rPr>
        <w:t>valuation</w:t>
      </w:r>
      <w:r w:rsidR="00D37652">
        <w:rPr>
          <w:rFonts w:ascii="Arial" w:hAnsi="Arial" w:cs="Arial"/>
          <w:b/>
          <w:sz w:val="24"/>
          <w:szCs w:val="24"/>
        </w:rPr>
        <w:t xml:space="preserve"> </w:t>
      </w:r>
      <w:r w:rsidR="00D37652">
        <w:rPr>
          <w:rFonts w:ascii="Arial" w:hAnsi="Arial" w:cs="Arial"/>
          <w:sz w:val="24"/>
          <w:szCs w:val="24"/>
        </w:rPr>
        <w:t>is</w:t>
      </w:r>
      <w:r w:rsidR="0034601D">
        <w:rPr>
          <w:rFonts w:ascii="Arial" w:hAnsi="Arial" w:cs="Arial"/>
          <w:sz w:val="24"/>
          <w:szCs w:val="24"/>
        </w:rPr>
        <w:t xml:space="preserve"> an assessment focused</w:t>
      </w:r>
      <w:r w:rsidR="0034601D">
        <w:rPr>
          <w:rFonts w:ascii="Times New Roman" w:hAnsi="Times New Roman" w:cs="Times New Roman"/>
          <w:sz w:val="24"/>
          <w:szCs w:val="24"/>
        </w:rPr>
        <w:t xml:space="preserve"> </w:t>
      </w:r>
      <w:r w:rsidR="0034601D" w:rsidRPr="0034601D">
        <w:rPr>
          <w:rFonts w:ascii="Arial" w:hAnsi="Arial" w:cs="Arial"/>
          <w:sz w:val="24"/>
          <w:szCs w:val="24"/>
        </w:rPr>
        <w:t>on the results and impacts of a regulation</w:t>
      </w:r>
      <w:r w:rsidR="00AA5B74">
        <w:rPr>
          <w:rFonts w:ascii="Arial" w:hAnsi="Arial" w:cs="Arial"/>
          <w:sz w:val="24"/>
          <w:szCs w:val="24"/>
        </w:rPr>
        <w:t>, and</w:t>
      </w:r>
      <w:r w:rsidR="007A523D">
        <w:rPr>
          <w:rFonts w:ascii="Arial" w:hAnsi="Arial" w:cs="Arial"/>
          <w:sz w:val="24"/>
          <w:szCs w:val="24"/>
        </w:rPr>
        <w:t xml:space="preserve"> is considered a good r</w:t>
      </w:r>
      <w:r w:rsidR="00041BBE">
        <w:rPr>
          <w:rFonts w:ascii="Arial" w:hAnsi="Arial" w:cs="Arial"/>
          <w:sz w:val="24"/>
          <w:szCs w:val="24"/>
        </w:rPr>
        <w:t xml:space="preserve">egulatory </w:t>
      </w:r>
      <w:r w:rsidR="007A523D">
        <w:rPr>
          <w:rFonts w:ascii="Arial" w:hAnsi="Arial" w:cs="Arial"/>
          <w:sz w:val="24"/>
          <w:szCs w:val="24"/>
        </w:rPr>
        <w:t>p</w:t>
      </w:r>
      <w:r w:rsidR="00041BBE">
        <w:rPr>
          <w:rFonts w:ascii="Arial" w:hAnsi="Arial" w:cs="Arial"/>
          <w:sz w:val="24"/>
          <w:szCs w:val="24"/>
        </w:rPr>
        <w:t>ractice by the</w:t>
      </w:r>
      <w:r w:rsidR="00FF6896" w:rsidRPr="00B01CB8">
        <w:rPr>
          <w:rFonts w:ascii="Arial" w:eastAsia="Times New Roman" w:hAnsi="Arial" w:cs="Arial"/>
          <w:sz w:val="24"/>
          <w:szCs w:val="24"/>
          <w:lang w:eastAsia="en-CA"/>
        </w:rPr>
        <w:t xml:space="preserve"> Organi</w:t>
      </w:r>
      <w:r w:rsidR="00AA5B74">
        <w:rPr>
          <w:rFonts w:ascii="Arial" w:eastAsia="Times New Roman" w:hAnsi="Arial" w:cs="Arial"/>
          <w:sz w:val="24"/>
          <w:szCs w:val="24"/>
          <w:lang w:eastAsia="en-CA"/>
        </w:rPr>
        <w:t>s</w:t>
      </w:r>
      <w:r w:rsidR="00FF6896" w:rsidRPr="00B01CB8">
        <w:rPr>
          <w:rFonts w:ascii="Arial" w:eastAsia="Times New Roman" w:hAnsi="Arial" w:cs="Arial"/>
          <w:sz w:val="24"/>
          <w:szCs w:val="24"/>
          <w:lang w:eastAsia="en-CA"/>
        </w:rPr>
        <w:t>ation for Economic Co-operation and Development (OECD)</w:t>
      </w:r>
      <w:r w:rsidR="00041BBE">
        <w:rPr>
          <w:rFonts w:ascii="Arial" w:hAnsi="Arial" w:cs="Arial"/>
          <w:sz w:val="24"/>
          <w:szCs w:val="24"/>
        </w:rPr>
        <w:t xml:space="preserve">. </w:t>
      </w:r>
    </w:p>
    <w:p w14:paraId="75E6F022" w14:textId="77777777" w:rsidR="000A4F7F" w:rsidRDefault="000A4F7F" w:rsidP="00826F92">
      <w:pPr>
        <w:spacing w:after="0"/>
        <w:rPr>
          <w:rFonts w:ascii="Arial" w:hAnsi="Arial" w:cs="Arial"/>
          <w:b/>
          <w:sz w:val="24"/>
          <w:szCs w:val="24"/>
        </w:rPr>
      </w:pPr>
    </w:p>
    <w:p w14:paraId="2881753A" w14:textId="18A9BB8F" w:rsidR="00041BBE" w:rsidRPr="000A4F7F" w:rsidRDefault="00D37652" w:rsidP="00826F92">
      <w:pPr>
        <w:spacing w:after="0"/>
        <w:rPr>
          <w:rFonts w:ascii="Arial" w:hAnsi="Arial" w:cs="Arial"/>
          <w:sz w:val="24"/>
          <w:szCs w:val="24"/>
          <w:highlight w:val="yellow"/>
        </w:rPr>
      </w:pPr>
      <w:r>
        <w:rPr>
          <w:rFonts w:ascii="Arial" w:hAnsi="Arial" w:cs="Arial"/>
          <w:b/>
          <w:sz w:val="24"/>
          <w:szCs w:val="24"/>
        </w:rPr>
        <w:t xml:space="preserve">Stakeholders </w:t>
      </w:r>
      <w:r>
        <w:rPr>
          <w:rFonts w:ascii="Arial" w:hAnsi="Arial" w:cs="Arial"/>
          <w:sz w:val="24"/>
          <w:szCs w:val="24"/>
        </w:rPr>
        <w:t>are</w:t>
      </w:r>
      <w:r w:rsidR="000A4F7F" w:rsidRPr="000A4F7F">
        <w:rPr>
          <w:rFonts w:ascii="Arial" w:hAnsi="Arial" w:cs="Arial"/>
          <w:sz w:val="24"/>
          <w:szCs w:val="24"/>
        </w:rPr>
        <w:t xml:space="preserve"> individuals or parties, including but not limited to, Canadians, Indigenous peoples, governments, organizations, businesses, or trading partners, with an interest or concern in federal regulations and related federal government initiatives.</w:t>
      </w:r>
    </w:p>
    <w:p w14:paraId="23DBD193" w14:textId="42F9D945" w:rsidR="000E38A0" w:rsidRPr="00B01CB8" w:rsidRDefault="00653EF9" w:rsidP="00F750E8">
      <w:pPr>
        <w:rPr>
          <w:rStyle w:val="SubtleReference"/>
          <w:rFonts w:ascii="Arial" w:hAnsi="Arial" w:cs="Arial"/>
          <w:b/>
          <w:smallCaps w:val="0"/>
          <w:color w:val="auto"/>
          <w:sz w:val="32"/>
          <w:szCs w:val="28"/>
        </w:rPr>
      </w:pPr>
      <w:r>
        <w:rPr>
          <w:rStyle w:val="SubtleReference"/>
          <w:rFonts w:ascii="Arial" w:hAnsi="Arial" w:cs="Arial"/>
          <w:b/>
          <w:smallCaps w:val="0"/>
          <w:color w:val="auto"/>
          <w:sz w:val="32"/>
          <w:szCs w:val="28"/>
        </w:rPr>
        <w:br w:type="page"/>
      </w:r>
      <w:r w:rsidR="00CD3DD9" w:rsidRPr="00B01CB8">
        <w:rPr>
          <w:rStyle w:val="SubtleReference"/>
          <w:rFonts w:ascii="Arial" w:hAnsi="Arial" w:cs="Arial"/>
          <w:b/>
          <w:smallCaps w:val="0"/>
          <w:color w:val="auto"/>
          <w:sz w:val="32"/>
          <w:szCs w:val="28"/>
        </w:rPr>
        <w:lastRenderedPageBreak/>
        <w:t xml:space="preserve">The </w:t>
      </w:r>
      <w:r w:rsidR="00092871" w:rsidRPr="00B01CB8">
        <w:rPr>
          <w:rStyle w:val="SubtleReference"/>
          <w:rFonts w:ascii="Arial" w:hAnsi="Arial" w:cs="Arial"/>
          <w:b/>
          <w:smallCaps w:val="0"/>
          <w:color w:val="auto"/>
          <w:sz w:val="32"/>
          <w:szCs w:val="28"/>
        </w:rPr>
        <w:t>Cabinet Directive on Regulation</w:t>
      </w:r>
      <w:r w:rsidR="00CD3DD9" w:rsidRPr="00B01CB8">
        <w:rPr>
          <w:rStyle w:val="SubtleReference"/>
          <w:rFonts w:ascii="Arial" w:hAnsi="Arial" w:cs="Arial"/>
          <w:b/>
          <w:smallCaps w:val="0"/>
          <w:color w:val="auto"/>
          <w:sz w:val="32"/>
          <w:szCs w:val="28"/>
        </w:rPr>
        <w:t xml:space="preserve"> and </w:t>
      </w:r>
      <w:r w:rsidR="007311AE">
        <w:rPr>
          <w:rStyle w:val="SubtleReference"/>
          <w:rFonts w:ascii="Arial" w:hAnsi="Arial" w:cs="Arial"/>
          <w:b/>
          <w:smallCaps w:val="0"/>
          <w:color w:val="auto"/>
          <w:sz w:val="32"/>
          <w:szCs w:val="28"/>
        </w:rPr>
        <w:t>R</w:t>
      </w:r>
      <w:r w:rsidR="00CD3DD9" w:rsidRPr="00B01CB8">
        <w:rPr>
          <w:rStyle w:val="SubtleReference"/>
          <w:rFonts w:ascii="Arial" w:hAnsi="Arial" w:cs="Arial"/>
          <w:b/>
          <w:smallCaps w:val="0"/>
          <w:color w:val="auto"/>
          <w:sz w:val="32"/>
          <w:szCs w:val="28"/>
        </w:rPr>
        <w:t>egulatory</w:t>
      </w:r>
      <w:bookmarkStart w:id="0" w:name="_GoBack"/>
      <w:bookmarkEnd w:id="0"/>
      <w:r w:rsidR="00B312E9" w:rsidRPr="00B01CB8">
        <w:rPr>
          <w:rStyle w:val="SubtleReference"/>
          <w:rFonts w:ascii="Arial" w:hAnsi="Arial" w:cs="Arial"/>
          <w:b/>
          <w:smallCaps w:val="0"/>
          <w:color w:val="auto"/>
          <w:sz w:val="32"/>
          <w:szCs w:val="28"/>
        </w:rPr>
        <w:t xml:space="preserve"> </w:t>
      </w:r>
      <w:r w:rsidR="007311AE">
        <w:rPr>
          <w:rStyle w:val="SubtleReference"/>
          <w:rFonts w:ascii="Arial" w:hAnsi="Arial" w:cs="Arial"/>
          <w:b/>
          <w:smallCaps w:val="0"/>
          <w:color w:val="auto"/>
          <w:sz w:val="32"/>
          <w:szCs w:val="28"/>
        </w:rPr>
        <w:t>S</w:t>
      </w:r>
      <w:r w:rsidR="00B312E9" w:rsidRPr="00B01CB8">
        <w:rPr>
          <w:rStyle w:val="SubtleReference"/>
          <w:rFonts w:ascii="Arial" w:hAnsi="Arial" w:cs="Arial"/>
          <w:b/>
          <w:smallCaps w:val="0"/>
          <w:color w:val="auto"/>
          <w:sz w:val="32"/>
          <w:szCs w:val="28"/>
        </w:rPr>
        <w:t xml:space="preserve">tock </w:t>
      </w:r>
      <w:r w:rsidR="007311AE">
        <w:rPr>
          <w:rStyle w:val="SubtleReference"/>
          <w:rFonts w:ascii="Arial" w:hAnsi="Arial" w:cs="Arial"/>
          <w:b/>
          <w:smallCaps w:val="0"/>
          <w:color w:val="auto"/>
          <w:sz w:val="32"/>
          <w:szCs w:val="28"/>
        </w:rPr>
        <w:t>R</w:t>
      </w:r>
      <w:r w:rsidR="00CD3DD9" w:rsidRPr="00B01CB8">
        <w:rPr>
          <w:rStyle w:val="SubtleReference"/>
          <w:rFonts w:ascii="Arial" w:hAnsi="Arial" w:cs="Arial"/>
          <w:b/>
          <w:smallCaps w:val="0"/>
          <w:color w:val="auto"/>
          <w:sz w:val="32"/>
          <w:szCs w:val="28"/>
        </w:rPr>
        <w:t xml:space="preserve">eview </w:t>
      </w:r>
    </w:p>
    <w:p w14:paraId="5251B274" w14:textId="77777777" w:rsidR="00CB1FA6" w:rsidRPr="00B01CB8" w:rsidRDefault="00CB1FA6" w:rsidP="00CB1FA6">
      <w:pPr>
        <w:spacing w:after="0" w:line="240" w:lineRule="auto"/>
        <w:rPr>
          <w:rFonts w:ascii="Arial" w:hAnsi="Arial" w:cs="Arial"/>
          <w:b/>
          <w:sz w:val="20"/>
          <w:szCs w:val="20"/>
        </w:rPr>
      </w:pPr>
    </w:p>
    <w:p w14:paraId="64FFC535" w14:textId="765C05D3" w:rsidR="00D15E1B" w:rsidRPr="00B01CB8" w:rsidRDefault="00A64E34" w:rsidP="00E573DE">
      <w:pPr>
        <w:rPr>
          <w:rFonts w:ascii="Arial" w:hAnsi="Arial" w:cs="Arial"/>
          <w:b/>
          <w:sz w:val="28"/>
          <w:szCs w:val="24"/>
        </w:rPr>
      </w:pPr>
      <w:r>
        <w:rPr>
          <w:rFonts w:ascii="Arial" w:hAnsi="Arial" w:cs="Arial"/>
          <w:b/>
          <w:sz w:val="28"/>
          <w:szCs w:val="24"/>
        </w:rPr>
        <w:t>Effective regulatory review: p</w:t>
      </w:r>
      <w:r w:rsidR="00DA0A90">
        <w:rPr>
          <w:rFonts w:ascii="Arial" w:hAnsi="Arial" w:cs="Arial"/>
          <w:b/>
          <w:sz w:val="28"/>
          <w:szCs w:val="24"/>
        </w:rPr>
        <w:t xml:space="preserve">urpose and </w:t>
      </w:r>
      <w:r>
        <w:rPr>
          <w:rFonts w:ascii="Arial" w:hAnsi="Arial" w:cs="Arial"/>
          <w:b/>
          <w:sz w:val="28"/>
          <w:szCs w:val="24"/>
        </w:rPr>
        <w:t>c</w:t>
      </w:r>
      <w:r w:rsidR="00DA0A90">
        <w:rPr>
          <w:rFonts w:ascii="Arial" w:hAnsi="Arial" w:cs="Arial"/>
          <w:b/>
          <w:sz w:val="28"/>
          <w:szCs w:val="24"/>
        </w:rPr>
        <w:t>hallenges</w:t>
      </w:r>
    </w:p>
    <w:p w14:paraId="48A31B06" w14:textId="48B63114" w:rsidR="009867DA" w:rsidRPr="00B01CB8" w:rsidRDefault="009867DA" w:rsidP="00826F92">
      <w:pPr>
        <w:rPr>
          <w:rFonts w:ascii="Arial" w:hAnsi="Arial" w:cs="Arial"/>
          <w:sz w:val="24"/>
          <w:szCs w:val="24"/>
        </w:rPr>
      </w:pPr>
      <w:r w:rsidRPr="00B01CB8">
        <w:rPr>
          <w:rFonts w:ascii="Arial" w:hAnsi="Arial" w:cs="Arial"/>
          <w:sz w:val="24"/>
          <w:szCs w:val="24"/>
        </w:rPr>
        <w:t xml:space="preserve">Regulations </w:t>
      </w:r>
      <w:r>
        <w:rPr>
          <w:rFonts w:ascii="Arial" w:hAnsi="Arial" w:cs="Arial"/>
          <w:sz w:val="24"/>
          <w:szCs w:val="24"/>
        </w:rPr>
        <w:t>help</w:t>
      </w:r>
      <w:r w:rsidRPr="00B01CB8">
        <w:rPr>
          <w:rFonts w:ascii="Arial" w:hAnsi="Arial" w:cs="Arial"/>
          <w:sz w:val="24"/>
          <w:szCs w:val="24"/>
        </w:rPr>
        <w:t xml:space="preserve"> protect the health, safety</w:t>
      </w:r>
      <w:r w:rsidR="00733B9E">
        <w:rPr>
          <w:rFonts w:ascii="Arial" w:hAnsi="Arial" w:cs="Arial"/>
          <w:sz w:val="24"/>
          <w:szCs w:val="24"/>
        </w:rPr>
        <w:t xml:space="preserve"> and</w:t>
      </w:r>
      <w:r w:rsidRPr="00B01CB8">
        <w:rPr>
          <w:rFonts w:ascii="Arial" w:hAnsi="Arial" w:cs="Arial"/>
          <w:sz w:val="24"/>
          <w:szCs w:val="24"/>
        </w:rPr>
        <w:t xml:space="preserve"> security of Canadians and the environment</w:t>
      </w:r>
      <w:r>
        <w:rPr>
          <w:rFonts w:ascii="Arial" w:hAnsi="Arial" w:cs="Arial"/>
          <w:sz w:val="24"/>
          <w:szCs w:val="24"/>
        </w:rPr>
        <w:t>, and</w:t>
      </w:r>
      <w:r w:rsidR="007311AE">
        <w:rPr>
          <w:rFonts w:ascii="Arial" w:hAnsi="Arial" w:cs="Arial"/>
          <w:sz w:val="24"/>
          <w:szCs w:val="24"/>
        </w:rPr>
        <w:t xml:space="preserve"> ideally, also</w:t>
      </w:r>
      <w:r>
        <w:rPr>
          <w:rFonts w:ascii="Arial" w:hAnsi="Arial" w:cs="Arial"/>
          <w:sz w:val="24"/>
          <w:szCs w:val="24"/>
        </w:rPr>
        <w:t xml:space="preserve"> enable innovation and competitiveness within the economy</w:t>
      </w:r>
      <w:r w:rsidRPr="00B01CB8">
        <w:rPr>
          <w:rFonts w:ascii="Arial" w:hAnsi="Arial" w:cs="Arial"/>
          <w:sz w:val="24"/>
          <w:szCs w:val="24"/>
        </w:rPr>
        <w:t xml:space="preserve">. </w:t>
      </w:r>
      <w:r w:rsidR="007A523D">
        <w:rPr>
          <w:rFonts w:ascii="Arial" w:hAnsi="Arial" w:cs="Arial"/>
          <w:sz w:val="24"/>
          <w:szCs w:val="24"/>
        </w:rPr>
        <w:t>Removing regulation</w:t>
      </w:r>
      <w:r w:rsidR="00CD679A">
        <w:rPr>
          <w:rFonts w:ascii="Arial" w:hAnsi="Arial" w:cs="Arial"/>
          <w:sz w:val="24"/>
          <w:szCs w:val="24"/>
        </w:rPr>
        <w:t>s</w:t>
      </w:r>
      <w:r w:rsidR="00A64E34">
        <w:rPr>
          <w:rFonts w:ascii="Arial" w:hAnsi="Arial" w:cs="Arial"/>
          <w:sz w:val="24"/>
          <w:szCs w:val="24"/>
        </w:rPr>
        <w:t xml:space="preserve"> is</w:t>
      </w:r>
      <w:r w:rsidRPr="00B01CB8">
        <w:rPr>
          <w:rFonts w:ascii="Arial" w:hAnsi="Arial" w:cs="Arial"/>
          <w:sz w:val="24"/>
          <w:szCs w:val="24"/>
        </w:rPr>
        <w:t xml:space="preserve"> not the ultimate purpose of </w:t>
      </w:r>
      <w:r w:rsidR="006B7804">
        <w:rPr>
          <w:rFonts w:ascii="Arial" w:hAnsi="Arial" w:cs="Arial"/>
          <w:sz w:val="24"/>
          <w:szCs w:val="24"/>
        </w:rPr>
        <w:t>a regulatory</w:t>
      </w:r>
      <w:r w:rsidRPr="00B01CB8">
        <w:rPr>
          <w:rFonts w:ascii="Arial" w:hAnsi="Arial" w:cs="Arial"/>
          <w:sz w:val="24"/>
          <w:szCs w:val="24"/>
        </w:rPr>
        <w:t xml:space="preserve"> review</w:t>
      </w:r>
      <w:r w:rsidRPr="00F57954">
        <w:rPr>
          <w:rFonts w:ascii="Arial" w:hAnsi="Arial" w:cs="Arial"/>
          <w:sz w:val="24"/>
          <w:szCs w:val="24"/>
        </w:rPr>
        <w:t xml:space="preserve">. </w:t>
      </w:r>
      <w:r w:rsidR="00B27C76">
        <w:rPr>
          <w:rFonts w:ascii="Arial" w:hAnsi="Arial" w:cs="Arial"/>
          <w:sz w:val="24"/>
          <w:szCs w:val="24"/>
        </w:rPr>
        <w:t>Rather</w:t>
      </w:r>
      <w:r w:rsidRPr="00F57954">
        <w:rPr>
          <w:rFonts w:ascii="Arial" w:hAnsi="Arial" w:cs="Arial"/>
          <w:sz w:val="24"/>
          <w:szCs w:val="24"/>
        </w:rPr>
        <w:t xml:space="preserve">, amendments to regulations, programs, and enforcement processes </w:t>
      </w:r>
      <w:r>
        <w:rPr>
          <w:rFonts w:ascii="Arial" w:hAnsi="Arial" w:cs="Arial"/>
          <w:sz w:val="24"/>
          <w:szCs w:val="24"/>
        </w:rPr>
        <w:t>can</w:t>
      </w:r>
      <w:r w:rsidRPr="00F57954">
        <w:rPr>
          <w:rFonts w:ascii="Arial" w:hAnsi="Arial" w:cs="Arial"/>
          <w:sz w:val="24"/>
          <w:szCs w:val="24"/>
        </w:rPr>
        <w:t xml:space="preserve"> </w:t>
      </w:r>
      <w:r w:rsidR="00F750E8">
        <w:rPr>
          <w:rFonts w:ascii="Arial" w:hAnsi="Arial" w:cs="Arial"/>
          <w:sz w:val="24"/>
          <w:szCs w:val="24"/>
        </w:rPr>
        <w:t xml:space="preserve">support efficiencies, </w:t>
      </w:r>
      <w:r w:rsidRPr="00F57954">
        <w:rPr>
          <w:rFonts w:ascii="Arial" w:hAnsi="Arial" w:cs="Arial"/>
          <w:sz w:val="24"/>
          <w:szCs w:val="24"/>
        </w:rPr>
        <w:t>reduce costs,</w:t>
      </w:r>
      <w:r w:rsidR="00F750E8">
        <w:rPr>
          <w:rFonts w:ascii="Arial" w:hAnsi="Arial" w:cs="Arial"/>
          <w:sz w:val="24"/>
          <w:szCs w:val="24"/>
        </w:rPr>
        <w:t xml:space="preserve"> and</w:t>
      </w:r>
      <w:r w:rsidRPr="00F57954">
        <w:rPr>
          <w:rFonts w:ascii="Arial" w:hAnsi="Arial" w:cs="Arial"/>
          <w:sz w:val="24"/>
          <w:szCs w:val="24"/>
        </w:rPr>
        <w:t xml:space="preserve"> </w:t>
      </w:r>
      <w:r>
        <w:rPr>
          <w:rFonts w:ascii="Arial" w:hAnsi="Arial" w:cs="Arial"/>
          <w:sz w:val="24"/>
          <w:szCs w:val="24"/>
        </w:rPr>
        <w:t xml:space="preserve">improve opportunities for growth and innovation </w:t>
      </w:r>
      <w:r w:rsidRPr="00F57954">
        <w:rPr>
          <w:rFonts w:ascii="Arial" w:hAnsi="Arial" w:cs="Arial"/>
          <w:sz w:val="24"/>
          <w:szCs w:val="24"/>
        </w:rPr>
        <w:t xml:space="preserve">while strengthening </w:t>
      </w:r>
      <w:r w:rsidRPr="00B01CB8">
        <w:rPr>
          <w:rFonts w:ascii="Arial" w:hAnsi="Arial" w:cs="Arial"/>
          <w:sz w:val="24"/>
          <w:szCs w:val="24"/>
        </w:rPr>
        <w:t>underlying policy objectives</w:t>
      </w:r>
      <w:r>
        <w:rPr>
          <w:rFonts w:ascii="Arial" w:hAnsi="Arial" w:cs="Arial"/>
          <w:sz w:val="24"/>
          <w:szCs w:val="24"/>
        </w:rPr>
        <w:t xml:space="preserve"> for Canadians</w:t>
      </w:r>
      <w:r w:rsidRPr="00B01CB8">
        <w:rPr>
          <w:rFonts w:ascii="Arial" w:hAnsi="Arial" w:cs="Arial"/>
          <w:sz w:val="24"/>
          <w:szCs w:val="24"/>
        </w:rPr>
        <w:t xml:space="preserve">. </w:t>
      </w:r>
      <w:r w:rsidR="00086216">
        <w:rPr>
          <w:rFonts w:ascii="Arial" w:hAnsi="Arial" w:cs="Arial"/>
          <w:sz w:val="24"/>
          <w:szCs w:val="24"/>
        </w:rPr>
        <w:t xml:space="preserve">Given that </w:t>
      </w:r>
      <w:r w:rsidR="00F508A9" w:rsidRPr="00B01CB8">
        <w:rPr>
          <w:rFonts w:ascii="Arial" w:hAnsi="Arial" w:cs="Arial"/>
          <w:sz w:val="24"/>
          <w:szCs w:val="24"/>
          <w:lang w:val="en"/>
        </w:rPr>
        <w:t>industry</w:t>
      </w:r>
      <w:r w:rsidR="00D72D9F" w:rsidRPr="00B01CB8">
        <w:rPr>
          <w:rFonts w:ascii="Arial" w:hAnsi="Arial" w:cs="Arial"/>
          <w:sz w:val="24"/>
          <w:szCs w:val="24"/>
          <w:lang w:val="en"/>
        </w:rPr>
        <w:t xml:space="preserve"> innovations</w:t>
      </w:r>
      <w:r w:rsidR="00733B9E">
        <w:rPr>
          <w:rFonts w:ascii="Arial" w:hAnsi="Arial" w:cs="Arial"/>
          <w:sz w:val="24"/>
          <w:szCs w:val="24"/>
          <w:lang w:val="en"/>
        </w:rPr>
        <w:t xml:space="preserve"> and </w:t>
      </w:r>
      <w:r w:rsidR="00D72D9F" w:rsidRPr="00B01CB8">
        <w:rPr>
          <w:rFonts w:ascii="Arial" w:hAnsi="Arial" w:cs="Arial"/>
          <w:sz w:val="24"/>
          <w:szCs w:val="24"/>
          <w:lang w:val="en"/>
        </w:rPr>
        <w:t>new technologies</w:t>
      </w:r>
      <w:r w:rsidR="00733B9E">
        <w:rPr>
          <w:rFonts w:ascii="Arial" w:hAnsi="Arial" w:cs="Arial"/>
          <w:sz w:val="24"/>
          <w:szCs w:val="24"/>
          <w:lang w:val="en"/>
        </w:rPr>
        <w:t xml:space="preserve"> </w:t>
      </w:r>
      <w:r w:rsidR="00F750E8">
        <w:rPr>
          <w:rFonts w:ascii="Arial" w:hAnsi="Arial" w:cs="Arial"/>
          <w:sz w:val="24"/>
          <w:szCs w:val="24"/>
          <w:lang w:val="en"/>
        </w:rPr>
        <w:t>are continually emerging,</w:t>
      </w:r>
      <w:r w:rsidR="008817D5">
        <w:rPr>
          <w:rFonts w:ascii="Arial" w:hAnsi="Arial" w:cs="Arial"/>
          <w:sz w:val="24"/>
          <w:szCs w:val="24"/>
          <w:lang w:val="en"/>
        </w:rPr>
        <w:t xml:space="preserve"> and</w:t>
      </w:r>
      <w:r w:rsidR="00D72D9F" w:rsidRPr="00B01CB8">
        <w:rPr>
          <w:rFonts w:ascii="Arial" w:hAnsi="Arial" w:cs="Arial"/>
          <w:sz w:val="24"/>
          <w:szCs w:val="24"/>
          <w:lang w:val="en"/>
        </w:rPr>
        <w:t xml:space="preserve"> </w:t>
      </w:r>
      <w:r w:rsidR="00733B9E">
        <w:rPr>
          <w:rFonts w:ascii="Arial" w:hAnsi="Arial" w:cs="Arial"/>
          <w:sz w:val="24"/>
          <w:szCs w:val="24"/>
          <w:lang w:val="en"/>
        </w:rPr>
        <w:t xml:space="preserve">the manner in which regulations </w:t>
      </w:r>
      <w:r w:rsidR="00F750E8">
        <w:rPr>
          <w:rFonts w:ascii="Arial" w:hAnsi="Arial" w:cs="Arial"/>
          <w:sz w:val="24"/>
          <w:szCs w:val="24"/>
          <w:lang w:val="en"/>
        </w:rPr>
        <w:t>were</w:t>
      </w:r>
      <w:r w:rsidR="00733B9E">
        <w:rPr>
          <w:rFonts w:ascii="Arial" w:hAnsi="Arial" w:cs="Arial"/>
          <w:sz w:val="24"/>
          <w:szCs w:val="24"/>
          <w:lang w:val="en"/>
        </w:rPr>
        <w:t xml:space="preserve"> designed and drafted may have evolved </w:t>
      </w:r>
      <w:r w:rsidR="00D72D9F" w:rsidRPr="00B01CB8">
        <w:rPr>
          <w:rFonts w:ascii="Arial" w:hAnsi="Arial" w:cs="Arial"/>
          <w:sz w:val="24"/>
          <w:szCs w:val="24"/>
          <w:lang w:val="en"/>
        </w:rPr>
        <w:t xml:space="preserve">since the </w:t>
      </w:r>
      <w:r w:rsidR="00733B9E">
        <w:rPr>
          <w:rFonts w:ascii="Arial" w:hAnsi="Arial" w:cs="Arial"/>
          <w:sz w:val="24"/>
          <w:szCs w:val="24"/>
          <w:lang w:val="en"/>
        </w:rPr>
        <w:t>time that the regulation was originally made</w:t>
      </w:r>
      <w:r w:rsidR="007F5D02">
        <w:rPr>
          <w:rFonts w:ascii="Arial" w:hAnsi="Arial" w:cs="Arial"/>
          <w:sz w:val="24"/>
          <w:szCs w:val="24"/>
          <w:lang w:val="en"/>
        </w:rPr>
        <w:t>,</w:t>
      </w:r>
      <w:r w:rsidR="00086216">
        <w:rPr>
          <w:rFonts w:ascii="Arial" w:hAnsi="Arial" w:cs="Arial"/>
          <w:sz w:val="24"/>
          <w:szCs w:val="24"/>
          <w:lang w:val="en"/>
        </w:rPr>
        <w:t xml:space="preserve"> </w:t>
      </w:r>
      <w:r w:rsidR="008817D5">
        <w:rPr>
          <w:rFonts w:ascii="Arial" w:hAnsi="Arial" w:cs="Arial"/>
          <w:sz w:val="24"/>
          <w:szCs w:val="24"/>
          <w:lang w:val="en"/>
        </w:rPr>
        <w:t>i</w:t>
      </w:r>
      <w:r w:rsidR="00D72D9F" w:rsidRPr="00B01CB8">
        <w:rPr>
          <w:rFonts w:ascii="Arial" w:hAnsi="Arial" w:cs="Arial"/>
          <w:sz w:val="24"/>
          <w:szCs w:val="24"/>
          <w:lang w:val="en"/>
        </w:rPr>
        <w:t>t is</w:t>
      </w:r>
      <w:r w:rsidR="00D72D9F">
        <w:rPr>
          <w:rFonts w:ascii="Arial" w:hAnsi="Arial" w:cs="Arial"/>
          <w:sz w:val="24"/>
          <w:szCs w:val="24"/>
          <w:lang w:val="en"/>
        </w:rPr>
        <w:t xml:space="preserve"> </w:t>
      </w:r>
      <w:r w:rsidR="00D72D9F" w:rsidRPr="00B01CB8">
        <w:rPr>
          <w:rFonts w:ascii="Arial" w:hAnsi="Arial" w:cs="Arial"/>
          <w:sz w:val="24"/>
          <w:szCs w:val="24"/>
          <w:lang w:val="en"/>
        </w:rPr>
        <w:t xml:space="preserve">necessary to periodically review and </w:t>
      </w:r>
      <w:r w:rsidR="00733B9E">
        <w:rPr>
          <w:rFonts w:ascii="Arial" w:hAnsi="Arial" w:cs="Arial"/>
          <w:sz w:val="24"/>
          <w:szCs w:val="24"/>
          <w:lang w:val="en"/>
        </w:rPr>
        <w:t>amend</w:t>
      </w:r>
      <w:r w:rsidR="00733B9E" w:rsidRPr="00B01CB8">
        <w:rPr>
          <w:rFonts w:ascii="Arial" w:hAnsi="Arial" w:cs="Arial"/>
          <w:sz w:val="24"/>
          <w:szCs w:val="24"/>
          <w:lang w:val="en"/>
        </w:rPr>
        <w:t xml:space="preserve"> </w:t>
      </w:r>
      <w:r w:rsidR="00D72D9F" w:rsidRPr="00B01CB8">
        <w:rPr>
          <w:rFonts w:ascii="Arial" w:hAnsi="Arial" w:cs="Arial"/>
          <w:sz w:val="24"/>
          <w:szCs w:val="24"/>
          <w:lang w:val="en"/>
        </w:rPr>
        <w:t>regulations to reflect changing</w:t>
      </w:r>
      <w:r w:rsidR="00C722AA">
        <w:rPr>
          <w:rFonts w:ascii="Arial" w:hAnsi="Arial" w:cs="Arial"/>
          <w:sz w:val="24"/>
          <w:szCs w:val="24"/>
          <w:lang w:val="en"/>
        </w:rPr>
        <w:t xml:space="preserve"> risk</w:t>
      </w:r>
      <w:r w:rsidR="00D72D9F" w:rsidRPr="00B01CB8">
        <w:rPr>
          <w:rFonts w:ascii="Arial" w:hAnsi="Arial" w:cs="Arial"/>
          <w:sz w:val="24"/>
          <w:szCs w:val="24"/>
          <w:lang w:val="en"/>
        </w:rPr>
        <w:t xml:space="preserve"> environments </w:t>
      </w:r>
      <w:r w:rsidR="00D72D9F">
        <w:rPr>
          <w:rFonts w:ascii="Arial" w:hAnsi="Arial" w:cs="Arial"/>
          <w:sz w:val="24"/>
          <w:szCs w:val="24"/>
          <w:lang w:val="en"/>
        </w:rPr>
        <w:t>and</w:t>
      </w:r>
      <w:r w:rsidR="00733B9E">
        <w:rPr>
          <w:rFonts w:ascii="Arial" w:hAnsi="Arial" w:cs="Arial"/>
          <w:sz w:val="24"/>
          <w:szCs w:val="24"/>
          <w:lang w:val="en"/>
        </w:rPr>
        <w:t xml:space="preserve"> to</w:t>
      </w:r>
      <w:r w:rsidR="00D72D9F">
        <w:rPr>
          <w:rFonts w:ascii="Arial" w:hAnsi="Arial" w:cs="Arial"/>
          <w:sz w:val="24"/>
          <w:szCs w:val="24"/>
          <w:lang w:val="en"/>
        </w:rPr>
        <w:t xml:space="preserve"> provide f</w:t>
      </w:r>
      <w:r w:rsidR="00D72D9F">
        <w:rPr>
          <w:rFonts w:ascii="Arial" w:eastAsia="Times New Roman" w:hAnsi="Arial" w:cs="Arial"/>
          <w:sz w:val="24"/>
          <w:szCs w:val="24"/>
          <w:lang w:val="en" w:eastAsia="en-CA"/>
        </w:rPr>
        <w:t>lexibility</w:t>
      </w:r>
      <w:r w:rsidR="00D72D9F" w:rsidRPr="00EA6BC4">
        <w:rPr>
          <w:rFonts w:ascii="Arial" w:eastAsia="Times New Roman" w:hAnsi="Arial" w:cs="Arial"/>
          <w:sz w:val="24"/>
          <w:szCs w:val="24"/>
          <w:lang w:val="en" w:eastAsia="en-CA"/>
        </w:rPr>
        <w:t xml:space="preserve"> to adjust to changing circumstances. </w:t>
      </w:r>
      <w:r w:rsidR="00D72D9F" w:rsidRPr="00B01CB8">
        <w:rPr>
          <w:rFonts w:ascii="Arial" w:hAnsi="Arial" w:cs="Arial"/>
          <w:sz w:val="24"/>
          <w:szCs w:val="24"/>
          <w:lang w:val="en"/>
        </w:rPr>
        <w:t xml:space="preserve"> </w:t>
      </w:r>
    </w:p>
    <w:p w14:paraId="046F270C" w14:textId="5A7A502B" w:rsidR="002E272E" w:rsidRPr="00B01CB8" w:rsidRDefault="00B27C76" w:rsidP="00826F92">
      <w:pPr>
        <w:rPr>
          <w:rFonts w:ascii="Arial" w:eastAsia="Times New Roman" w:hAnsi="Arial" w:cs="Arial"/>
          <w:sz w:val="24"/>
          <w:szCs w:val="24"/>
          <w:lang w:eastAsia="en-CA"/>
        </w:rPr>
      </w:pPr>
      <w:r w:rsidRPr="00B01CB8">
        <w:rPr>
          <w:rFonts w:ascii="Arial" w:eastAsia="Times New Roman" w:hAnsi="Arial" w:cs="Arial"/>
          <w:sz w:val="24"/>
          <w:szCs w:val="24"/>
          <w:lang w:eastAsia="en-CA"/>
        </w:rPr>
        <w:t xml:space="preserve">The OECD notes that “the evaluation of existing laws and regulations through ex-post impact analysis is necessary to ensure that they are effective and efficient. In the absence of a systematic review process, the overall burden of complying with regulations tends to increase over time. This complicates the daily life of citizens and impedes the efficient functioning of business.” </w:t>
      </w:r>
      <w:r w:rsidR="00AA5B74" w:rsidRPr="00B01CB8">
        <w:rPr>
          <w:rFonts w:ascii="Arial" w:eastAsia="Times New Roman" w:hAnsi="Arial" w:cs="Arial"/>
          <w:sz w:val="24"/>
          <w:szCs w:val="24"/>
          <w:lang w:eastAsia="en-CA"/>
        </w:rPr>
        <w:t xml:space="preserve">With </w:t>
      </w:r>
      <w:r>
        <w:rPr>
          <w:rFonts w:ascii="Arial" w:eastAsia="Times New Roman" w:hAnsi="Arial" w:cs="Arial"/>
          <w:sz w:val="24"/>
          <w:szCs w:val="24"/>
          <w:lang w:eastAsia="en-CA"/>
        </w:rPr>
        <w:t>Canada’s current complement</w:t>
      </w:r>
      <w:r w:rsidR="00AA5B74" w:rsidRPr="00B01CB8">
        <w:rPr>
          <w:rFonts w:ascii="Arial" w:eastAsia="Times New Roman" w:hAnsi="Arial" w:cs="Arial"/>
          <w:sz w:val="24"/>
          <w:szCs w:val="24"/>
          <w:lang w:eastAsia="en-CA"/>
        </w:rPr>
        <w:t xml:space="preserve"> of over 2,600 regulations enabled by 800 Acts across 50 federal regula</w:t>
      </w:r>
      <w:r>
        <w:rPr>
          <w:rFonts w:ascii="Arial" w:eastAsia="Times New Roman" w:hAnsi="Arial" w:cs="Arial"/>
          <w:sz w:val="24"/>
          <w:szCs w:val="24"/>
          <w:lang w:eastAsia="en-CA"/>
        </w:rPr>
        <w:t xml:space="preserve">tory departments and agencies, </w:t>
      </w:r>
      <w:r w:rsidR="00D72D9F">
        <w:rPr>
          <w:rFonts w:ascii="Arial" w:eastAsia="Times New Roman" w:hAnsi="Arial" w:cs="Arial"/>
          <w:sz w:val="24"/>
          <w:szCs w:val="24"/>
          <w:lang w:eastAsia="en-CA"/>
        </w:rPr>
        <w:t>review</w:t>
      </w:r>
      <w:r>
        <w:rPr>
          <w:rFonts w:ascii="Arial" w:eastAsia="Times New Roman" w:hAnsi="Arial" w:cs="Arial"/>
          <w:sz w:val="24"/>
          <w:szCs w:val="24"/>
          <w:lang w:eastAsia="en-CA"/>
        </w:rPr>
        <w:t xml:space="preserve"> of regulatory stock (also known as ex-post evaluation) </w:t>
      </w:r>
      <w:r w:rsidR="00D72D9F">
        <w:rPr>
          <w:rFonts w:ascii="Arial" w:eastAsia="Times New Roman" w:hAnsi="Arial" w:cs="Arial"/>
          <w:sz w:val="24"/>
          <w:szCs w:val="24"/>
          <w:lang w:eastAsia="en-CA"/>
        </w:rPr>
        <w:t xml:space="preserve">and </w:t>
      </w:r>
      <w:r w:rsidR="00AA5B74" w:rsidRPr="00B01CB8">
        <w:rPr>
          <w:rFonts w:ascii="Arial" w:eastAsia="Times New Roman" w:hAnsi="Arial" w:cs="Arial"/>
          <w:sz w:val="24"/>
          <w:szCs w:val="24"/>
          <w:lang w:eastAsia="en-CA"/>
        </w:rPr>
        <w:t xml:space="preserve">modernization </w:t>
      </w:r>
      <w:r>
        <w:rPr>
          <w:rFonts w:ascii="Arial" w:eastAsia="Times New Roman" w:hAnsi="Arial" w:cs="Arial"/>
          <w:sz w:val="24"/>
          <w:szCs w:val="24"/>
          <w:lang w:eastAsia="en-CA"/>
        </w:rPr>
        <w:t>efforts provide an avenue for</w:t>
      </w:r>
      <w:r w:rsidR="00513906" w:rsidRPr="00B01CB8">
        <w:rPr>
          <w:rFonts w:ascii="Arial" w:hAnsi="Arial" w:cs="Arial"/>
          <w:sz w:val="24"/>
          <w:szCs w:val="24"/>
          <w:lang w:val="en"/>
        </w:rPr>
        <w:t xml:space="preserve"> Canadians and business</w:t>
      </w:r>
      <w:r w:rsidR="00557376" w:rsidRPr="00B01CB8">
        <w:rPr>
          <w:rFonts w:ascii="Arial" w:hAnsi="Arial" w:cs="Arial"/>
          <w:sz w:val="24"/>
          <w:szCs w:val="24"/>
          <w:lang w:val="en"/>
        </w:rPr>
        <w:t>es</w:t>
      </w:r>
      <w:r w:rsidR="00513906" w:rsidRPr="00B01CB8">
        <w:rPr>
          <w:rFonts w:ascii="Arial" w:hAnsi="Arial" w:cs="Arial"/>
          <w:sz w:val="24"/>
          <w:szCs w:val="24"/>
          <w:lang w:val="en"/>
        </w:rPr>
        <w:t xml:space="preserve"> to benefit from new economic opportunities</w:t>
      </w:r>
      <w:r>
        <w:rPr>
          <w:rFonts w:ascii="Arial" w:hAnsi="Arial" w:cs="Arial"/>
          <w:sz w:val="24"/>
          <w:szCs w:val="24"/>
          <w:lang w:val="en"/>
        </w:rPr>
        <w:t xml:space="preserve">. </w:t>
      </w:r>
      <w:r w:rsidR="00CB1FA6" w:rsidRPr="00B01CB8">
        <w:rPr>
          <w:rFonts w:ascii="Arial" w:eastAsia="Times New Roman" w:hAnsi="Arial" w:cs="Arial"/>
          <w:sz w:val="24"/>
          <w:szCs w:val="24"/>
          <w:lang w:eastAsia="en-CA"/>
        </w:rPr>
        <w:t xml:space="preserve"> </w:t>
      </w:r>
    </w:p>
    <w:p w14:paraId="396E322C" w14:textId="0A9E89B7" w:rsidR="00092871" w:rsidRPr="00B01CB8" w:rsidRDefault="003461D6" w:rsidP="00826F92">
      <w:pPr>
        <w:rPr>
          <w:rFonts w:ascii="Arial" w:hAnsi="Arial" w:cs="Arial"/>
          <w:b/>
          <w:sz w:val="28"/>
          <w:szCs w:val="24"/>
        </w:rPr>
      </w:pPr>
      <w:r w:rsidRPr="00B01CB8">
        <w:rPr>
          <w:rFonts w:ascii="Arial" w:hAnsi="Arial" w:cs="Arial"/>
          <w:b/>
          <w:sz w:val="28"/>
          <w:szCs w:val="24"/>
        </w:rPr>
        <w:t xml:space="preserve">What does the </w:t>
      </w:r>
      <w:r w:rsidR="00AA52AB" w:rsidRPr="00B01CB8">
        <w:rPr>
          <w:rFonts w:ascii="Arial" w:hAnsi="Arial" w:cs="Arial"/>
          <w:b/>
          <w:sz w:val="28"/>
          <w:szCs w:val="24"/>
        </w:rPr>
        <w:t>Cabinet Directive on Regulation</w:t>
      </w:r>
      <w:r w:rsidRPr="00B01CB8">
        <w:rPr>
          <w:rFonts w:ascii="Arial" w:hAnsi="Arial" w:cs="Arial"/>
          <w:b/>
          <w:sz w:val="28"/>
          <w:szCs w:val="24"/>
        </w:rPr>
        <w:t xml:space="preserve"> </w:t>
      </w:r>
      <w:r w:rsidR="00C42705">
        <w:rPr>
          <w:rFonts w:ascii="Arial" w:hAnsi="Arial" w:cs="Arial"/>
          <w:b/>
          <w:sz w:val="28"/>
          <w:szCs w:val="24"/>
        </w:rPr>
        <w:t>require for</w:t>
      </w:r>
      <w:r w:rsidR="00C9290B">
        <w:rPr>
          <w:rFonts w:ascii="Arial" w:hAnsi="Arial" w:cs="Arial"/>
          <w:b/>
          <w:sz w:val="28"/>
          <w:szCs w:val="24"/>
        </w:rPr>
        <w:t xml:space="preserve"> a</w:t>
      </w:r>
      <w:r w:rsidRPr="00B01CB8">
        <w:rPr>
          <w:rFonts w:ascii="Arial" w:hAnsi="Arial" w:cs="Arial"/>
          <w:b/>
          <w:sz w:val="28"/>
          <w:szCs w:val="24"/>
        </w:rPr>
        <w:t xml:space="preserve"> s</w:t>
      </w:r>
      <w:r w:rsidR="00092871" w:rsidRPr="00B01CB8">
        <w:rPr>
          <w:rFonts w:ascii="Arial" w:hAnsi="Arial" w:cs="Arial"/>
          <w:b/>
          <w:sz w:val="28"/>
          <w:szCs w:val="24"/>
        </w:rPr>
        <w:t>tock r</w:t>
      </w:r>
      <w:r w:rsidRPr="00B01CB8">
        <w:rPr>
          <w:rFonts w:ascii="Arial" w:hAnsi="Arial" w:cs="Arial"/>
          <w:b/>
          <w:sz w:val="28"/>
          <w:szCs w:val="24"/>
        </w:rPr>
        <w:t>eview?</w:t>
      </w:r>
    </w:p>
    <w:p w14:paraId="3E436D8B" w14:textId="622C3F3F" w:rsidR="00FA1057" w:rsidRPr="0078202F" w:rsidRDefault="00CD3DD9" w:rsidP="00826F92">
      <w:pPr>
        <w:rPr>
          <w:rFonts w:ascii="Arial" w:hAnsi="Arial" w:cs="Arial"/>
          <w:sz w:val="24"/>
          <w:szCs w:val="24"/>
        </w:rPr>
      </w:pPr>
      <w:r w:rsidRPr="00B01CB8">
        <w:rPr>
          <w:rFonts w:ascii="Arial" w:hAnsi="Arial" w:cs="Arial"/>
          <w:sz w:val="24"/>
          <w:szCs w:val="24"/>
        </w:rPr>
        <w:t>T</w:t>
      </w:r>
      <w:r w:rsidR="00F02B5C" w:rsidRPr="00B01CB8">
        <w:rPr>
          <w:rFonts w:ascii="Arial" w:hAnsi="Arial" w:cs="Arial"/>
          <w:sz w:val="24"/>
          <w:szCs w:val="24"/>
        </w:rPr>
        <w:t>he</w:t>
      </w:r>
      <w:r w:rsidR="00326483">
        <w:rPr>
          <w:rFonts w:ascii="Arial" w:hAnsi="Arial" w:cs="Arial"/>
          <w:sz w:val="24"/>
          <w:szCs w:val="24"/>
        </w:rPr>
        <w:t xml:space="preserve"> D</w:t>
      </w:r>
      <w:r w:rsidR="00D258A8">
        <w:rPr>
          <w:rFonts w:ascii="Arial" w:hAnsi="Arial" w:cs="Arial"/>
          <w:sz w:val="24"/>
          <w:szCs w:val="24"/>
        </w:rPr>
        <w:t>irective</w:t>
      </w:r>
      <w:r w:rsidR="00F02B5C" w:rsidRPr="00B01CB8">
        <w:rPr>
          <w:rFonts w:ascii="Arial" w:hAnsi="Arial" w:cs="Arial"/>
          <w:sz w:val="24"/>
          <w:szCs w:val="24"/>
        </w:rPr>
        <w:t xml:space="preserve"> </w:t>
      </w:r>
      <w:r w:rsidR="005C24AF" w:rsidRPr="00B01CB8">
        <w:rPr>
          <w:rFonts w:ascii="Arial" w:hAnsi="Arial" w:cs="Arial"/>
          <w:sz w:val="24"/>
          <w:szCs w:val="24"/>
        </w:rPr>
        <w:t>introduce</w:t>
      </w:r>
      <w:r w:rsidR="00BA75E5">
        <w:rPr>
          <w:rFonts w:ascii="Arial" w:hAnsi="Arial" w:cs="Arial"/>
          <w:sz w:val="24"/>
          <w:szCs w:val="24"/>
        </w:rPr>
        <w:t>s</w:t>
      </w:r>
      <w:r w:rsidR="00F02B5C" w:rsidRPr="00B01CB8">
        <w:rPr>
          <w:rFonts w:ascii="Arial" w:hAnsi="Arial" w:cs="Arial"/>
          <w:sz w:val="24"/>
          <w:szCs w:val="24"/>
        </w:rPr>
        <w:t xml:space="preserve"> a requirement for</w:t>
      </w:r>
      <w:r w:rsidR="005C24AF" w:rsidRPr="00B01CB8">
        <w:rPr>
          <w:rFonts w:ascii="Arial" w:hAnsi="Arial" w:cs="Arial"/>
          <w:sz w:val="24"/>
          <w:szCs w:val="24"/>
        </w:rPr>
        <w:t xml:space="preserve"> departments and agencies to</w:t>
      </w:r>
      <w:r w:rsidR="00F02B5C" w:rsidRPr="00B01CB8">
        <w:rPr>
          <w:rFonts w:ascii="Arial" w:hAnsi="Arial" w:cs="Arial"/>
          <w:sz w:val="24"/>
          <w:szCs w:val="24"/>
        </w:rPr>
        <w:t xml:space="preserve"> </w:t>
      </w:r>
      <w:r w:rsidR="00F573C9">
        <w:rPr>
          <w:rFonts w:ascii="Arial" w:hAnsi="Arial" w:cs="Arial"/>
          <w:sz w:val="24"/>
          <w:szCs w:val="24"/>
        </w:rPr>
        <w:t xml:space="preserve">undertake a regular review of </w:t>
      </w:r>
      <w:r w:rsidR="00000CFC">
        <w:rPr>
          <w:rFonts w:ascii="Arial" w:hAnsi="Arial" w:cs="Arial"/>
          <w:sz w:val="24"/>
          <w:szCs w:val="24"/>
        </w:rPr>
        <w:t xml:space="preserve">its </w:t>
      </w:r>
      <w:r w:rsidR="00F573C9">
        <w:rPr>
          <w:rFonts w:ascii="Arial" w:hAnsi="Arial" w:cs="Arial"/>
          <w:sz w:val="24"/>
          <w:szCs w:val="24"/>
        </w:rPr>
        <w:t xml:space="preserve">existing regulatory stock. To do this, they must </w:t>
      </w:r>
      <w:r w:rsidR="005C24AF" w:rsidRPr="00B01CB8">
        <w:rPr>
          <w:rFonts w:ascii="Arial" w:hAnsi="Arial" w:cs="Arial"/>
          <w:sz w:val="24"/>
          <w:szCs w:val="24"/>
        </w:rPr>
        <w:t xml:space="preserve">create a plan </w:t>
      </w:r>
      <w:r w:rsidR="00A77EE3" w:rsidRPr="00B01CB8">
        <w:rPr>
          <w:rFonts w:ascii="Arial" w:hAnsi="Arial" w:cs="Arial"/>
          <w:sz w:val="24"/>
          <w:szCs w:val="24"/>
        </w:rPr>
        <w:t xml:space="preserve">and timeline </w:t>
      </w:r>
      <w:r w:rsidR="00B27C76">
        <w:rPr>
          <w:rFonts w:ascii="Arial" w:hAnsi="Arial" w:cs="Arial"/>
          <w:sz w:val="24"/>
          <w:szCs w:val="24"/>
        </w:rPr>
        <w:t>that outlines how</w:t>
      </w:r>
      <w:r w:rsidR="005C4567" w:rsidRPr="00B01CB8">
        <w:rPr>
          <w:rFonts w:ascii="Arial" w:hAnsi="Arial" w:cs="Arial"/>
          <w:sz w:val="24"/>
          <w:szCs w:val="24"/>
        </w:rPr>
        <w:t xml:space="preserve"> they</w:t>
      </w:r>
      <w:r w:rsidR="005C24AF" w:rsidRPr="00B01CB8">
        <w:rPr>
          <w:rFonts w:ascii="Arial" w:hAnsi="Arial" w:cs="Arial"/>
          <w:sz w:val="24"/>
          <w:szCs w:val="24"/>
        </w:rPr>
        <w:t xml:space="preserve"> </w:t>
      </w:r>
      <w:r w:rsidR="00B27C76">
        <w:rPr>
          <w:rFonts w:ascii="Arial" w:hAnsi="Arial" w:cs="Arial"/>
          <w:sz w:val="24"/>
          <w:szCs w:val="24"/>
        </w:rPr>
        <w:t xml:space="preserve">will </w:t>
      </w:r>
      <w:r w:rsidR="00F02B5C" w:rsidRPr="00B01CB8">
        <w:rPr>
          <w:rFonts w:ascii="Arial" w:hAnsi="Arial" w:cs="Arial"/>
          <w:sz w:val="24"/>
          <w:szCs w:val="24"/>
        </w:rPr>
        <w:t xml:space="preserve">review </w:t>
      </w:r>
      <w:r w:rsidR="005C24AF" w:rsidRPr="00B01CB8">
        <w:rPr>
          <w:rFonts w:ascii="Arial" w:hAnsi="Arial" w:cs="Arial"/>
          <w:sz w:val="24"/>
          <w:szCs w:val="24"/>
        </w:rPr>
        <w:t>the</w:t>
      </w:r>
      <w:r w:rsidR="005C4567" w:rsidRPr="00B01CB8">
        <w:rPr>
          <w:rFonts w:ascii="Arial" w:hAnsi="Arial" w:cs="Arial"/>
          <w:sz w:val="24"/>
          <w:szCs w:val="24"/>
        </w:rPr>
        <w:t xml:space="preserve"> department’s</w:t>
      </w:r>
      <w:r w:rsidR="005C24AF" w:rsidRPr="00B01CB8">
        <w:rPr>
          <w:rFonts w:ascii="Arial" w:hAnsi="Arial" w:cs="Arial"/>
          <w:sz w:val="24"/>
          <w:szCs w:val="24"/>
        </w:rPr>
        <w:t xml:space="preserve"> </w:t>
      </w:r>
      <w:r w:rsidR="00326483">
        <w:rPr>
          <w:rFonts w:ascii="Arial" w:hAnsi="Arial" w:cs="Arial"/>
          <w:sz w:val="24"/>
          <w:szCs w:val="24"/>
        </w:rPr>
        <w:t xml:space="preserve">or agencies’ </w:t>
      </w:r>
      <w:r w:rsidR="00F573C9">
        <w:rPr>
          <w:rFonts w:ascii="Arial" w:hAnsi="Arial" w:cs="Arial"/>
          <w:sz w:val="24"/>
          <w:szCs w:val="24"/>
        </w:rPr>
        <w:t>regulations</w:t>
      </w:r>
      <w:r w:rsidR="00302A7D" w:rsidRPr="00B01CB8">
        <w:rPr>
          <w:rFonts w:ascii="Arial" w:hAnsi="Arial" w:cs="Arial"/>
          <w:sz w:val="24"/>
          <w:szCs w:val="24"/>
        </w:rPr>
        <w:t xml:space="preserve">. </w:t>
      </w:r>
      <w:r w:rsidR="00D258A8">
        <w:rPr>
          <w:rFonts w:ascii="Arial" w:hAnsi="Arial" w:cs="Arial"/>
          <w:sz w:val="24"/>
          <w:szCs w:val="24"/>
        </w:rPr>
        <w:t xml:space="preserve">The </w:t>
      </w:r>
      <w:r w:rsidR="00326483">
        <w:rPr>
          <w:rFonts w:ascii="Arial" w:hAnsi="Arial" w:cs="Arial"/>
          <w:sz w:val="24"/>
          <w:szCs w:val="24"/>
        </w:rPr>
        <w:t>D</w:t>
      </w:r>
      <w:r w:rsidR="00D258A8">
        <w:rPr>
          <w:rFonts w:ascii="Arial" w:hAnsi="Arial" w:cs="Arial"/>
          <w:sz w:val="24"/>
          <w:szCs w:val="24"/>
        </w:rPr>
        <w:t xml:space="preserve">irective </w:t>
      </w:r>
      <w:r w:rsidR="00FA1057" w:rsidRPr="0069126F">
        <w:rPr>
          <w:rFonts w:ascii="Arial" w:hAnsi="Arial" w:cs="Arial"/>
          <w:sz w:val="24"/>
          <w:szCs w:val="24"/>
        </w:rPr>
        <w:t>also set</w:t>
      </w:r>
      <w:r w:rsidR="00BA75E5">
        <w:rPr>
          <w:rFonts w:ascii="Arial" w:hAnsi="Arial" w:cs="Arial"/>
          <w:sz w:val="24"/>
          <w:szCs w:val="24"/>
        </w:rPr>
        <w:t>s</w:t>
      </w:r>
      <w:r w:rsidR="00FA1057" w:rsidRPr="0069126F">
        <w:rPr>
          <w:rFonts w:ascii="Arial" w:hAnsi="Arial" w:cs="Arial"/>
          <w:sz w:val="24"/>
          <w:szCs w:val="24"/>
        </w:rPr>
        <w:t xml:space="preserve"> out a list of analytical lenses that </w:t>
      </w:r>
      <w:r w:rsidR="00FA1057" w:rsidRPr="003E5642">
        <w:rPr>
          <w:rFonts w:ascii="Arial" w:hAnsi="Arial" w:cs="Arial"/>
          <w:sz w:val="24"/>
          <w:szCs w:val="24"/>
        </w:rPr>
        <w:t>should</w:t>
      </w:r>
      <w:r w:rsidR="00FA1057" w:rsidRPr="00F57954">
        <w:rPr>
          <w:rFonts w:ascii="Arial" w:hAnsi="Arial" w:cs="Arial"/>
          <w:sz w:val="24"/>
          <w:szCs w:val="24"/>
        </w:rPr>
        <w:t xml:space="preserve"> be applied during the review. </w:t>
      </w:r>
    </w:p>
    <w:p w14:paraId="69E4A23D" w14:textId="327DC197" w:rsidR="0032393C" w:rsidRPr="00B01CB8" w:rsidRDefault="0032393C" w:rsidP="00826F92">
      <w:pPr>
        <w:spacing w:after="120"/>
        <w:rPr>
          <w:rFonts w:ascii="Arial" w:hAnsi="Arial" w:cs="Arial"/>
          <w:sz w:val="24"/>
          <w:szCs w:val="24"/>
        </w:rPr>
      </w:pPr>
      <w:r w:rsidRPr="00B01CB8">
        <w:rPr>
          <w:rFonts w:ascii="Arial" w:hAnsi="Arial" w:cs="Arial"/>
          <w:sz w:val="24"/>
          <w:szCs w:val="24"/>
        </w:rPr>
        <w:t xml:space="preserve">To meet the requirements set out in the </w:t>
      </w:r>
      <w:r w:rsidR="00326483">
        <w:rPr>
          <w:rFonts w:ascii="Arial" w:hAnsi="Arial" w:cs="Arial"/>
          <w:sz w:val="24"/>
          <w:szCs w:val="24"/>
        </w:rPr>
        <w:t>D</w:t>
      </w:r>
      <w:r w:rsidR="00D258A8">
        <w:rPr>
          <w:rFonts w:ascii="Arial" w:hAnsi="Arial" w:cs="Arial"/>
          <w:sz w:val="24"/>
          <w:szCs w:val="24"/>
        </w:rPr>
        <w:t>irective</w:t>
      </w:r>
      <w:r w:rsidRPr="00B01CB8">
        <w:rPr>
          <w:rFonts w:ascii="Arial" w:hAnsi="Arial" w:cs="Arial"/>
          <w:sz w:val="24"/>
          <w:szCs w:val="24"/>
        </w:rPr>
        <w:t xml:space="preserve">, departments and agencies </w:t>
      </w:r>
      <w:r w:rsidR="00B312E9" w:rsidRPr="00B01CB8">
        <w:rPr>
          <w:rFonts w:ascii="Arial" w:hAnsi="Arial" w:cs="Arial"/>
          <w:sz w:val="24"/>
          <w:szCs w:val="24"/>
        </w:rPr>
        <w:t>must</w:t>
      </w:r>
      <w:r w:rsidRPr="00B01CB8">
        <w:rPr>
          <w:rFonts w:ascii="Arial" w:hAnsi="Arial" w:cs="Arial"/>
          <w:sz w:val="24"/>
          <w:szCs w:val="24"/>
        </w:rPr>
        <w:t xml:space="preserve"> communicate two things</w:t>
      </w:r>
      <w:r w:rsidR="00092871" w:rsidRPr="00B01CB8">
        <w:rPr>
          <w:rFonts w:ascii="Arial" w:hAnsi="Arial" w:cs="Arial"/>
          <w:sz w:val="24"/>
          <w:szCs w:val="24"/>
        </w:rPr>
        <w:t xml:space="preserve"> to stakeholders and</w:t>
      </w:r>
      <w:r w:rsidR="00CF65D9">
        <w:rPr>
          <w:rFonts w:ascii="Arial" w:hAnsi="Arial" w:cs="Arial"/>
          <w:sz w:val="24"/>
          <w:szCs w:val="24"/>
        </w:rPr>
        <w:t xml:space="preserve"> the</w:t>
      </w:r>
      <w:r w:rsidR="00092871" w:rsidRPr="00B01CB8">
        <w:rPr>
          <w:rFonts w:ascii="Arial" w:hAnsi="Arial" w:cs="Arial"/>
          <w:sz w:val="24"/>
          <w:szCs w:val="24"/>
        </w:rPr>
        <w:t xml:space="preserve"> T</w:t>
      </w:r>
      <w:r w:rsidR="00326483">
        <w:rPr>
          <w:rFonts w:ascii="Arial" w:hAnsi="Arial" w:cs="Arial"/>
          <w:sz w:val="24"/>
          <w:szCs w:val="24"/>
        </w:rPr>
        <w:t xml:space="preserve">reasury </w:t>
      </w:r>
      <w:r w:rsidR="00092871" w:rsidRPr="00B01CB8">
        <w:rPr>
          <w:rFonts w:ascii="Arial" w:hAnsi="Arial" w:cs="Arial"/>
          <w:sz w:val="24"/>
          <w:szCs w:val="24"/>
        </w:rPr>
        <w:t>B</w:t>
      </w:r>
      <w:r w:rsidR="00326483">
        <w:rPr>
          <w:rFonts w:ascii="Arial" w:hAnsi="Arial" w:cs="Arial"/>
          <w:sz w:val="24"/>
          <w:szCs w:val="24"/>
        </w:rPr>
        <w:t xml:space="preserve">oard of Canada </w:t>
      </w:r>
      <w:r w:rsidR="00092871" w:rsidRPr="00B01CB8">
        <w:rPr>
          <w:rFonts w:ascii="Arial" w:hAnsi="Arial" w:cs="Arial"/>
          <w:sz w:val="24"/>
          <w:szCs w:val="24"/>
        </w:rPr>
        <w:t>S</w:t>
      </w:r>
      <w:r w:rsidR="00326483">
        <w:rPr>
          <w:rFonts w:ascii="Arial" w:hAnsi="Arial" w:cs="Arial"/>
          <w:sz w:val="24"/>
          <w:szCs w:val="24"/>
        </w:rPr>
        <w:t>ecretariat (TBS)</w:t>
      </w:r>
      <w:r w:rsidRPr="00B01CB8">
        <w:rPr>
          <w:rFonts w:ascii="Arial" w:hAnsi="Arial" w:cs="Arial"/>
          <w:sz w:val="24"/>
          <w:szCs w:val="24"/>
        </w:rPr>
        <w:t>:</w:t>
      </w:r>
    </w:p>
    <w:p w14:paraId="38B81B21" w14:textId="4DB2704A" w:rsidR="00144A27" w:rsidRPr="00B01CB8" w:rsidRDefault="00041BBE" w:rsidP="00826F92">
      <w:pPr>
        <w:pStyle w:val="ListParagraph"/>
        <w:numPr>
          <w:ilvl w:val="0"/>
          <w:numId w:val="2"/>
        </w:numPr>
        <w:spacing w:after="120" w:line="276" w:lineRule="auto"/>
        <w:rPr>
          <w:rFonts w:ascii="Arial" w:hAnsi="Arial" w:cs="Arial"/>
          <w:szCs w:val="24"/>
        </w:rPr>
      </w:pPr>
      <w:r>
        <w:rPr>
          <w:rFonts w:ascii="Arial" w:hAnsi="Arial" w:cs="Arial"/>
          <w:szCs w:val="24"/>
        </w:rPr>
        <w:lastRenderedPageBreak/>
        <w:t>a</w:t>
      </w:r>
      <w:r w:rsidR="00B312E9" w:rsidRPr="00B01CB8">
        <w:rPr>
          <w:rFonts w:ascii="Arial" w:hAnsi="Arial" w:cs="Arial"/>
          <w:szCs w:val="24"/>
        </w:rPr>
        <w:t xml:space="preserve"> list of </w:t>
      </w:r>
      <w:r w:rsidR="00EF55CB">
        <w:rPr>
          <w:rFonts w:ascii="Arial" w:hAnsi="Arial" w:cs="Arial"/>
          <w:szCs w:val="24"/>
        </w:rPr>
        <w:t xml:space="preserve">the </w:t>
      </w:r>
      <w:r w:rsidR="00B312E9" w:rsidRPr="00B01CB8">
        <w:rPr>
          <w:rFonts w:ascii="Arial" w:hAnsi="Arial" w:cs="Arial"/>
          <w:szCs w:val="24"/>
        </w:rPr>
        <w:t xml:space="preserve">regulations </w:t>
      </w:r>
      <w:r w:rsidR="00EF55CB">
        <w:rPr>
          <w:rFonts w:ascii="Arial" w:hAnsi="Arial" w:cs="Arial"/>
          <w:szCs w:val="24"/>
        </w:rPr>
        <w:t>that will</w:t>
      </w:r>
      <w:r w:rsidR="00B312E9" w:rsidRPr="00B01CB8">
        <w:rPr>
          <w:rFonts w:ascii="Arial" w:hAnsi="Arial" w:cs="Arial"/>
          <w:szCs w:val="24"/>
        </w:rPr>
        <w:t xml:space="preserve"> </w:t>
      </w:r>
      <w:r>
        <w:rPr>
          <w:rFonts w:ascii="Arial" w:hAnsi="Arial" w:cs="Arial"/>
          <w:szCs w:val="24"/>
        </w:rPr>
        <w:t>undergo</w:t>
      </w:r>
      <w:r w:rsidR="00EF55CB">
        <w:rPr>
          <w:rFonts w:ascii="Arial" w:hAnsi="Arial" w:cs="Arial"/>
          <w:szCs w:val="24"/>
        </w:rPr>
        <w:t xml:space="preserve"> a </w:t>
      </w:r>
      <w:r w:rsidR="0032393C" w:rsidRPr="00B01CB8">
        <w:rPr>
          <w:rFonts w:ascii="Arial" w:hAnsi="Arial" w:cs="Arial"/>
          <w:szCs w:val="24"/>
        </w:rPr>
        <w:t>review</w:t>
      </w:r>
      <w:r w:rsidR="001C38A8" w:rsidRPr="00B01CB8">
        <w:rPr>
          <w:rFonts w:ascii="Arial" w:hAnsi="Arial" w:cs="Arial"/>
          <w:szCs w:val="24"/>
        </w:rPr>
        <w:t>, prioritiz</w:t>
      </w:r>
      <w:r w:rsidR="00B312E9" w:rsidRPr="00B01CB8">
        <w:rPr>
          <w:rFonts w:ascii="Arial" w:hAnsi="Arial" w:cs="Arial"/>
          <w:szCs w:val="24"/>
        </w:rPr>
        <w:t xml:space="preserve">ed </w:t>
      </w:r>
      <w:r w:rsidR="001C38A8" w:rsidRPr="00B01CB8">
        <w:rPr>
          <w:rFonts w:ascii="Arial" w:hAnsi="Arial" w:cs="Arial"/>
          <w:szCs w:val="24"/>
        </w:rPr>
        <w:t>in a way that makes sense to the regulator and stakeholders</w:t>
      </w:r>
      <w:r w:rsidR="00B312E9" w:rsidRPr="00B01CB8">
        <w:rPr>
          <w:rFonts w:ascii="Arial" w:hAnsi="Arial" w:cs="Arial"/>
          <w:szCs w:val="24"/>
        </w:rPr>
        <w:t xml:space="preserve">; </w:t>
      </w:r>
      <w:r w:rsidR="00A64E34">
        <w:rPr>
          <w:rFonts w:ascii="Arial" w:hAnsi="Arial" w:cs="Arial"/>
          <w:szCs w:val="24"/>
        </w:rPr>
        <w:t>and</w:t>
      </w:r>
    </w:p>
    <w:p w14:paraId="0330EC62" w14:textId="1D407BC8" w:rsidR="0032393C" w:rsidRPr="00B01CB8" w:rsidRDefault="00041BBE" w:rsidP="00826F92">
      <w:pPr>
        <w:pStyle w:val="ListParagraph"/>
        <w:numPr>
          <w:ilvl w:val="0"/>
          <w:numId w:val="2"/>
        </w:numPr>
        <w:spacing w:after="120" w:line="276" w:lineRule="auto"/>
        <w:rPr>
          <w:rFonts w:ascii="Arial" w:hAnsi="Arial" w:cs="Arial"/>
          <w:szCs w:val="24"/>
        </w:rPr>
      </w:pPr>
      <w:r>
        <w:rPr>
          <w:rFonts w:ascii="Arial" w:hAnsi="Arial" w:cs="Arial"/>
          <w:szCs w:val="24"/>
        </w:rPr>
        <w:t>a</w:t>
      </w:r>
      <w:r w:rsidR="008F3A34" w:rsidRPr="00B01CB8">
        <w:rPr>
          <w:rFonts w:ascii="Arial" w:hAnsi="Arial" w:cs="Arial"/>
          <w:szCs w:val="24"/>
        </w:rPr>
        <w:t xml:space="preserve"> time</w:t>
      </w:r>
      <w:r w:rsidR="006677BD" w:rsidRPr="00B01CB8">
        <w:rPr>
          <w:rFonts w:ascii="Arial" w:hAnsi="Arial" w:cs="Arial"/>
          <w:szCs w:val="24"/>
        </w:rPr>
        <w:t>frame</w:t>
      </w:r>
      <w:r w:rsidR="00092871" w:rsidRPr="00B01CB8">
        <w:rPr>
          <w:rFonts w:ascii="Arial" w:hAnsi="Arial" w:cs="Arial"/>
          <w:szCs w:val="24"/>
        </w:rPr>
        <w:t xml:space="preserve"> f</w:t>
      </w:r>
      <w:r w:rsidR="00DC5963" w:rsidRPr="00B01CB8">
        <w:rPr>
          <w:rFonts w:ascii="Arial" w:hAnsi="Arial" w:cs="Arial"/>
          <w:szCs w:val="24"/>
        </w:rPr>
        <w:t>o</w:t>
      </w:r>
      <w:r w:rsidR="00092871" w:rsidRPr="00B01CB8">
        <w:rPr>
          <w:rFonts w:ascii="Arial" w:hAnsi="Arial" w:cs="Arial"/>
          <w:szCs w:val="24"/>
        </w:rPr>
        <w:t>r</w:t>
      </w:r>
      <w:r w:rsidR="00DC5963" w:rsidRPr="00B01CB8">
        <w:rPr>
          <w:rFonts w:ascii="Arial" w:hAnsi="Arial" w:cs="Arial"/>
          <w:szCs w:val="24"/>
        </w:rPr>
        <w:t xml:space="preserve"> the review</w:t>
      </w:r>
      <w:r w:rsidR="00B27C76">
        <w:rPr>
          <w:rFonts w:ascii="Arial" w:hAnsi="Arial" w:cs="Arial"/>
          <w:szCs w:val="24"/>
        </w:rPr>
        <w:t>(</w:t>
      </w:r>
      <w:r w:rsidR="005435BE">
        <w:rPr>
          <w:rFonts w:ascii="Arial" w:hAnsi="Arial" w:cs="Arial"/>
          <w:szCs w:val="24"/>
        </w:rPr>
        <w:t>s</w:t>
      </w:r>
      <w:r w:rsidR="00B27C76">
        <w:rPr>
          <w:rFonts w:ascii="Arial" w:hAnsi="Arial" w:cs="Arial"/>
          <w:szCs w:val="24"/>
        </w:rPr>
        <w:t xml:space="preserve">). </w:t>
      </w:r>
      <w:r w:rsidR="0032393C" w:rsidRPr="00B01CB8">
        <w:rPr>
          <w:rFonts w:ascii="Arial" w:hAnsi="Arial" w:cs="Arial"/>
          <w:szCs w:val="24"/>
        </w:rPr>
        <w:t xml:space="preserve"> </w:t>
      </w:r>
    </w:p>
    <w:p w14:paraId="5F99DFE9" w14:textId="3CD95255" w:rsidR="00041BBE" w:rsidRDefault="008F3A34" w:rsidP="00826F92">
      <w:pPr>
        <w:rPr>
          <w:rFonts w:ascii="Arial" w:hAnsi="Arial" w:cs="Arial"/>
          <w:sz w:val="24"/>
          <w:szCs w:val="24"/>
        </w:rPr>
      </w:pPr>
      <w:r w:rsidRPr="00B01CB8">
        <w:rPr>
          <w:rFonts w:ascii="Arial" w:hAnsi="Arial" w:cs="Arial"/>
          <w:sz w:val="24"/>
          <w:szCs w:val="24"/>
        </w:rPr>
        <w:t xml:space="preserve">Regulators must </w:t>
      </w:r>
      <w:r w:rsidR="00D10EFB">
        <w:rPr>
          <w:rFonts w:ascii="Arial" w:hAnsi="Arial" w:cs="Arial"/>
          <w:sz w:val="24"/>
          <w:szCs w:val="24"/>
        </w:rPr>
        <w:t>seek</w:t>
      </w:r>
      <w:r w:rsidRPr="00B01CB8">
        <w:rPr>
          <w:rFonts w:ascii="Arial" w:hAnsi="Arial" w:cs="Arial"/>
          <w:sz w:val="24"/>
          <w:szCs w:val="24"/>
        </w:rPr>
        <w:t xml:space="preserve"> </w:t>
      </w:r>
      <w:r w:rsidR="0032393C" w:rsidRPr="00B01CB8">
        <w:rPr>
          <w:rFonts w:ascii="Arial" w:hAnsi="Arial" w:cs="Arial"/>
          <w:sz w:val="24"/>
          <w:szCs w:val="24"/>
        </w:rPr>
        <w:t>stakeholder</w:t>
      </w:r>
      <w:r w:rsidR="00D10EFB">
        <w:rPr>
          <w:rFonts w:ascii="Arial" w:hAnsi="Arial" w:cs="Arial"/>
          <w:sz w:val="24"/>
          <w:szCs w:val="24"/>
        </w:rPr>
        <w:t xml:space="preserve"> </w:t>
      </w:r>
      <w:r w:rsidR="0032393C" w:rsidRPr="00B01CB8">
        <w:rPr>
          <w:rFonts w:ascii="Arial" w:hAnsi="Arial" w:cs="Arial"/>
          <w:sz w:val="24"/>
          <w:szCs w:val="24"/>
        </w:rPr>
        <w:t>feedback on these components</w:t>
      </w:r>
      <w:r w:rsidR="00AA42C0">
        <w:rPr>
          <w:rFonts w:ascii="Arial" w:hAnsi="Arial" w:cs="Arial"/>
          <w:sz w:val="24"/>
          <w:szCs w:val="24"/>
        </w:rPr>
        <w:t xml:space="preserve">, and take into consideration issues raised through the consultation and feedback process when finalizing the stock review plan. </w:t>
      </w:r>
      <w:r w:rsidR="005435BE">
        <w:rPr>
          <w:rFonts w:ascii="Arial" w:hAnsi="Arial" w:cs="Arial"/>
          <w:sz w:val="24"/>
          <w:szCs w:val="24"/>
        </w:rPr>
        <w:t xml:space="preserve">To ensure consistency in the way stock reviews are presented publicly, this </w:t>
      </w:r>
      <w:r w:rsidR="00041BBE">
        <w:rPr>
          <w:rFonts w:ascii="Arial" w:hAnsi="Arial" w:cs="Arial"/>
          <w:sz w:val="24"/>
          <w:szCs w:val="24"/>
        </w:rPr>
        <w:t>g</w:t>
      </w:r>
      <w:r w:rsidR="005435BE">
        <w:rPr>
          <w:rFonts w:ascii="Arial" w:hAnsi="Arial" w:cs="Arial"/>
          <w:sz w:val="24"/>
          <w:szCs w:val="24"/>
        </w:rPr>
        <w:t xml:space="preserve">uide sets out a </w:t>
      </w:r>
      <w:r w:rsidR="00041BBE">
        <w:rPr>
          <w:rFonts w:ascii="Arial" w:hAnsi="Arial" w:cs="Arial"/>
          <w:sz w:val="24"/>
          <w:szCs w:val="24"/>
        </w:rPr>
        <w:t>framework or template</w:t>
      </w:r>
      <w:r w:rsidR="005435BE">
        <w:rPr>
          <w:rFonts w:ascii="Arial" w:hAnsi="Arial" w:cs="Arial"/>
          <w:sz w:val="24"/>
          <w:szCs w:val="24"/>
        </w:rPr>
        <w:t xml:space="preserve"> </w:t>
      </w:r>
      <w:r w:rsidR="00041BBE">
        <w:rPr>
          <w:rFonts w:ascii="Arial" w:hAnsi="Arial" w:cs="Arial"/>
          <w:sz w:val="24"/>
          <w:szCs w:val="24"/>
        </w:rPr>
        <w:t xml:space="preserve">for the stock review plan </w:t>
      </w:r>
      <w:r w:rsidR="005435BE">
        <w:rPr>
          <w:rFonts w:ascii="Arial" w:hAnsi="Arial" w:cs="Arial"/>
          <w:sz w:val="24"/>
          <w:szCs w:val="24"/>
        </w:rPr>
        <w:t xml:space="preserve">for regulators to follow, as shown in </w:t>
      </w:r>
      <w:r w:rsidR="005435BE">
        <w:rPr>
          <w:rFonts w:ascii="Arial" w:hAnsi="Arial" w:cs="Arial"/>
          <w:b/>
          <w:sz w:val="24"/>
          <w:szCs w:val="24"/>
        </w:rPr>
        <w:t>Appendix A</w:t>
      </w:r>
      <w:r w:rsidR="005435BE">
        <w:rPr>
          <w:rFonts w:ascii="Arial" w:hAnsi="Arial" w:cs="Arial"/>
          <w:sz w:val="24"/>
          <w:szCs w:val="24"/>
        </w:rPr>
        <w:t xml:space="preserve">. </w:t>
      </w:r>
    </w:p>
    <w:p w14:paraId="207085D0" w14:textId="064BCE87" w:rsidR="008629A8" w:rsidRDefault="00B27C76" w:rsidP="00826F92">
      <w:pPr>
        <w:rPr>
          <w:rFonts w:ascii="Arial" w:hAnsi="Arial" w:cs="Arial"/>
          <w:sz w:val="24"/>
          <w:szCs w:val="24"/>
        </w:rPr>
      </w:pPr>
      <w:r w:rsidRPr="00C722AA">
        <w:rPr>
          <w:rFonts w:ascii="Arial" w:hAnsi="Arial" w:cs="Arial"/>
          <w:sz w:val="24"/>
          <w:szCs w:val="24"/>
        </w:rPr>
        <w:t>The stock review plan includes the titles of the regulations that will be reviewed, the date each regulation was last reviewed</w:t>
      </w:r>
      <w:r>
        <w:rPr>
          <w:rFonts w:ascii="Arial" w:hAnsi="Arial" w:cs="Arial"/>
          <w:sz w:val="24"/>
          <w:szCs w:val="24"/>
        </w:rPr>
        <w:t>,</w:t>
      </w:r>
      <w:r w:rsidRPr="00C722AA">
        <w:rPr>
          <w:rFonts w:ascii="Arial" w:hAnsi="Arial" w:cs="Arial"/>
          <w:sz w:val="24"/>
          <w:szCs w:val="24"/>
        </w:rPr>
        <w:t xml:space="preserve"> and the proposed date to launch a new review.</w:t>
      </w:r>
      <w:r>
        <w:rPr>
          <w:rFonts w:ascii="Arial" w:hAnsi="Arial" w:cs="Arial"/>
          <w:sz w:val="24"/>
          <w:szCs w:val="24"/>
        </w:rPr>
        <w:t xml:space="preserve"> </w:t>
      </w:r>
      <w:r w:rsidR="005435BE">
        <w:rPr>
          <w:rFonts w:ascii="Arial" w:hAnsi="Arial" w:cs="Arial"/>
          <w:sz w:val="24"/>
          <w:szCs w:val="24"/>
        </w:rPr>
        <w:t>The</w:t>
      </w:r>
      <w:r w:rsidR="00B312E9" w:rsidRPr="00B01CB8">
        <w:rPr>
          <w:rFonts w:ascii="Arial" w:hAnsi="Arial" w:cs="Arial"/>
          <w:sz w:val="24"/>
          <w:szCs w:val="24"/>
        </w:rPr>
        <w:t xml:space="preserve"> plans </w:t>
      </w:r>
      <w:r w:rsidR="00C722AA">
        <w:rPr>
          <w:rFonts w:ascii="Arial" w:hAnsi="Arial" w:cs="Arial"/>
          <w:sz w:val="24"/>
          <w:szCs w:val="24"/>
        </w:rPr>
        <w:t>are</w:t>
      </w:r>
      <w:r w:rsidR="00B312E9" w:rsidRPr="00B01CB8">
        <w:rPr>
          <w:rFonts w:ascii="Arial" w:hAnsi="Arial" w:cs="Arial"/>
          <w:sz w:val="24"/>
          <w:szCs w:val="24"/>
        </w:rPr>
        <w:t xml:space="preserve"> posted </w:t>
      </w:r>
      <w:r w:rsidR="005C4567" w:rsidRPr="00B01CB8">
        <w:rPr>
          <w:rFonts w:ascii="Arial" w:hAnsi="Arial" w:cs="Arial"/>
          <w:sz w:val="24"/>
          <w:szCs w:val="24"/>
        </w:rPr>
        <w:t xml:space="preserve">online </w:t>
      </w:r>
      <w:r w:rsidR="00C50B82">
        <w:rPr>
          <w:rFonts w:ascii="Arial" w:hAnsi="Arial" w:cs="Arial"/>
          <w:sz w:val="24"/>
          <w:szCs w:val="24"/>
        </w:rPr>
        <w:t>through</w:t>
      </w:r>
      <w:r w:rsidR="00B312E9" w:rsidRPr="00B01CB8">
        <w:rPr>
          <w:rFonts w:ascii="Arial" w:hAnsi="Arial" w:cs="Arial"/>
          <w:sz w:val="24"/>
          <w:szCs w:val="24"/>
        </w:rPr>
        <w:t xml:space="preserve"> </w:t>
      </w:r>
      <w:r w:rsidR="00326483">
        <w:rPr>
          <w:rFonts w:ascii="Arial" w:hAnsi="Arial" w:cs="Arial"/>
          <w:sz w:val="24"/>
          <w:szCs w:val="24"/>
        </w:rPr>
        <w:t>the department or agency’s</w:t>
      </w:r>
      <w:r w:rsidR="005C4567" w:rsidRPr="00B01CB8">
        <w:rPr>
          <w:rFonts w:ascii="Arial" w:hAnsi="Arial" w:cs="Arial"/>
          <w:sz w:val="24"/>
          <w:szCs w:val="24"/>
        </w:rPr>
        <w:t xml:space="preserve"> Acts and Regulations web</w:t>
      </w:r>
      <w:r w:rsidR="00B312E9" w:rsidRPr="00B01CB8">
        <w:rPr>
          <w:rFonts w:ascii="Arial" w:hAnsi="Arial" w:cs="Arial"/>
          <w:sz w:val="24"/>
          <w:szCs w:val="24"/>
        </w:rPr>
        <w:t>page</w:t>
      </w:r>
      <w:r w:rsidR="00EF55CB">
        <w:rPr>
          <w:rFonts w:ascii="Arial" w:hAnsi="Arial" w:cs="Arial"/>
          <w:sz w:val="24"/>
          <w:szCs w:val="24"/>
        </w:rPr>
        <w:t xml:space="preserve"> and should be updated annually by April 1</w:t>
      </w:r>
      <w:r w:rsidR="005435BE">
        <w:rPr>
          <w:rFonts w:ascii="Arial" w:hAnsi="Arial" w:cs="Arial"/>
          <w:sz w:val="24"/>
          <w:szCs w:val="24"/>
        </w:rPr>
        <w:t>.</w:t>
      </w:r>
      <w:r w:rsidR="00EF55CB">
        <w:rPr>
          <w:rFonts w:ascii="Arial" w:hAnsi="Arial" w:cs="Arial"/>
          <w:sz w:val="24"/>
          <w:szCs w:val="24"/>
        </w:rPr>
        <w:t xml:space="preserve"> This update should align with updates to the </w:t>
      </w:r>
      <w:r>
        <w:rPr>
          <w:rFonts w:ascii="Arial" w:hAnsi="Arial" w:cs="Arial"/>
          <w:sz w:val="24"/>
          <w:szCs w:val="24"/>
        </w:rPr>
        <w:t>department and agency’s Forward Regulatory Plan</w:t>
      </w:r>
      <w:r w:rsidR="00795F6F">
        <w:rPr>
          <w:rFonts w:ascii="Arial" w:hAnsi="Arial" w:cs="Arial"/>
          <w:sz w:val="24"/>
          <w:szCs w:val="24"/>
        </w:rPr>
        <w:t xml:space="preserve">. It must also be linked to the Forward Regulatory Plan, as required by the Policy on Transparency and Accountability </w:t>
      </w:r>
    </w:p>
    <w:p w14:paraId="7C6A8059" w14:textId="78E98BC4" w:rsidR="00B312E9" w:rsidRDefault="00326483" w:rsidP="00826F92">
      <w:pPr>
        <w:rPr>
          <w:rFonts w:ascii="Arial" w:hAnsi="Arial" w:cs="Arial"/>
          <w:sz w:val="24"/>
          <w:szCs w:val="24"/>
        </w:rPr>
      </w:pPr>
      <w:r>
        <w:rPr>
          <w:rFonts w:ascii="Arial" w:hAnsi="Arial" w:cs="Arial"/>
          <w:sz w:val="24"/>
          <w:szCs w:val="24"/>
        </w:rPr>
        <w:t>As set out in the D</w:t>
      </w:r>
      <w:r w:rsidR="00FF590D">
        <w:rPr>
          <w:rFonts w:ascii="Arial" w:hAnsi="Arial" w:cs="Arial"/>
          <w:sz w:val="24"/>
          <w:szCs w:val="24"/>
        </w:rPr>
        <w:t>irective, the President of the Treasury Board of Ca</w:t>
      </w:r>
      <w:r w:rsidR="00795F6F">
        <w:rPr>
          <w:rFonts w:ascii="Arial" w:hAnsi="Arial" w:cs="Arial"/>
          <w:sz w:val="24"/>
          <w:szCs w:val="24"/>
        </w:rPr>
        <w:t>nada has the authority to require</w:t>
      </w:r>
      <w:r w:rsidR="00FF590D">
        <w:rPr>
          <w:rFonts w:ascii="Arial" w:hAnsi="Arial" w:cs="Arial"/>
          <w:sz w:val="24"/>
          <w:szCs w:val="24"/>
        </w:rPr>
        <w:t xml:space="preserve"> a department o</w:t>
      </w:r>
      <w:r w:rsidR="00795F6F">
        <w:rPr>
          <w:rFonts w:ascii="Arial" w:hAnsi="Arial" w:cs="Arial"/>
          <w:sz w:val="24"/>
          <w:szCs w:val="24"/>
        </w:rPr>
        <w:t>r agency to undertake a review</w:t>
      </w:r>
      <w:r>
        <w:rPr>
          <w:rFonts w:ascii="Arial" w:hAnsi="Arial" w:cs="Arial"/>
          <w:sz w:val="24"/>
          <w:szCs w:val="24"/>
        </w:rPr>
        <w:t xml:space="preserve"> of a regulation(s)</w:t>
      </w:r>
      <w:r w:rsidR="00795F6F">
        <w:rPr>
          <w:rFonts w:ascii="Arial" w:hAnsi="Arial" w:cs="Arial"/>
          <w:sz w:val="24"/>
          <w:szCs w:val="24"/>
        </w:rPr>
        <w:t xml:space="preserve"> or to participate in a centrally-led regulatory review process. </w:t>
      </w:r>
      <w:r w:rsidR="00041BBE">
        <w:rPr>
          <w:rFonts w:ascii="Arial" w:hAnsi="Arial" w:cs="Arial"/>
          <w:sz w:val="24"/>
          <w:szCs w:val="24"/>
        </w:rPr>
        <w:t>Regulators</w:t>
      </w:r>
      <w:r w:rsidR="00B312E9" w:rsidRPr="00B01CB8">
        <w:rPr>
          <w:rFonts w:ascii="Arial" w:hAnsi="Arial" w:cs="Arial"/>
          <w:sz w:val="24"/>
          <w:szCs w:val="24"/>
        </w:rPr>
        <w:t xml:space="preserve"> participating </w:t>
      </w:r>
      <w:r w:rsidR="0009191B" w:rsidRPr="00B01CB8">
        <w:rPr>
          <w:rFonts w:ascii="Arial" w:hAnsi="Arial" w:cs="Arial"/>
          <w:sz w:val="24"/>
          <w:szCs w:val="24"/>
        </w:rPr>
        <w:t xml:space="preserve">in </w:t>
      </w:r>
      <w:r w:rsidR="00B312E9" w:rsidRPr="00B01CB8">
        <w:rPr>
          <w:rFonts w:ascii="Arial" w:hAnsi="Arial" w:cs="Arial"/>
          <w:sz w:val="24"/>
          <w:szCs w:val="24"/>
        </w:rPr>
        <w:t>centrally-led regulatory reviews</w:t>
      </w:r>
      <w:r w:rsidR="00B27C76">
        <w:rPr>
          <w:rFonts w:ascii="Arial" w:hAnsi="Arial" w:cs="Arial"/>
          <w:sz w:val="24"/>
          <w:szCs w:val="24"/>
        </w:rPr>
        <w:t xml:space="preserve">, such as those directed by the </w:t>
      </w:r>
      <w:r w:rsidR="00FF590D">
        <w:rPr>
          <w:rFonts w:ascii="Arial" w:hAnsi="Arial" w:cs="Arial"/>
          <w:sz w:val="24"/>
          <w:szCs w:val="24"/>
        </w:rPr>
        <w:t xml:space="preserve">President of the </w:t>
      </w:r>
      <w:r w:rsidR="00B27C76">
        <w:rPr>
          <w:rFonts w:ascii="Arial" w:hAnsi="Arial" w:cs="Arial"/>
          <w:sz w:val="24"/>
          <w:szCs w:val="24"/>
        </w:rPr>
        <w:t>Trea</w:t>
      </w:r>
      <w:r w:rsidR="00FF590D">
        <w:rPr>
          <w:rFonts w:ascii="Arial" w:hAnsi="Arial" w:cs="Arial"/>
          <w:sz w:val="24"/>
          <w:szCs w:val="24"/>
        </w:rPr>
        <w:t>sury Board or another Government of Canada decision</w:t>
      </w:r>
      <w:r w:rsidR="00B27C76">
        <w:rPr>
          <w:rFonts w:ascii="Arial" w:hAnsi="Arial" w:cs="Arial"/>
          <w:sz w:val="24"/>
          <w:szCs w:val="24"/>
        </w:rPr>
        <w:t>,</w:t>
      </w:r>
      <w:r w:rsidR="00B312E9" w:rsidRPr="00B01CB8">
        <w:rPr>
          <w:rFonts w:ascii="Arial" w:hAnsi="Arial" w:cs="Arial"/>
          <w:sz w:val="24"/>
          <w:szCs w:val="24"/>
        </w:rPr>
        <w:t xml:space="preserve"> </w:t>
      </w:r>
      <w:r w:rsidR="0009191B" w:rsidRPr="0069126F">
        <w:rPr>
          <w:rFonts w:ascii="Arial" w:hAnsi="Arial" w:cs="Arial"/>
          <w:sz w:val="24"/>
          <w:szCs w:val="24"/>
        </w:rPr>
        <w:t>should</w:t>
      </w:r>
      <w:r w:rsidR="00B312E9" w:rsidRPr="0069126F">
        <w:rPr>
          <w:rFonts w:ascii="Arial" w:hAnsi="Arial" w:cs="Arial"/>
          <w:sz w:val="24"/>
          <w:szCs w:val="24"/>
        </w:rPr>
        <w:t xml:space="preserve"> indicate </w:t>
      </w:r>
      <w:r w:rsidR="005C4567" w:rsidRPr="00F57954">
        <w:rPr>
          <w:rFonts w:ascii="Arial" w:hAnsi="Arial" w:cs="Arial"/>
          <w:sz w:val="24"/>
          <w:szCs w:val="24"/>
        </w:rPr>
        <w:t>th</w:t>
      </w:r>
      <w:r w:rsidR="00041BBE">
        <w:rPr>
          <w:rFonts w:ascii="Arial" w:hAnsi="Arial" w:cs="Arial"/>
          <w:sz w:val="24"/>
          <w:szCs w:val="24"/>
        </w:rPr>
        <w:t xml:space="preserve">is </w:t>
      </w:r>
      <w:r w:rsidR="005C4567" w:rsidRPr="00F57954">
        <w:rPr>
          <w:rFonts w:ascii="Arial" w:hAnsi="Arial" w:cs="Arial"/>
          <w:sz w:val="24"/>
          <w:szCs w:val="24"/>
        </w:rPr>
        <w:t>participation</w:t>
      </w:r>
      <w:r w:rsidR="00B312E9" w:rsidRPr="00F57954">
        <w:rPr>
          <w:rFonts w:ascii="Arial" w:hAnsi="Arial" w:cs="Arial"/>
          <w:sz w:val="24"/>
          <w:szCs w:val="24"/>
        </w:rPr>
        <w:t xml:space="preserve"> </w:t>
      </w:r>
      <w:r w:rsidR="0009191B" w:rsidRPr="00B01CB8">
        <w:rPr>
          <w:rFonts w:ascii="Arial" w:hAnsi="Arial" w:cs="Arial"/>
          <w:sz w:val="24"/>
          <w:szCs w:val="24"/>
        </w:rPr>
        <w:t xml:space="preserve">in their stock review plan, </w:t>
      </w:r>
      <w:r w:rsidR="005C4567" w:rsidRPr="00B01CB8">
        <w:rPr>
          <w:rFonts w:ascii="Arial" w:hAnsi="Arial" w:cs="Arial"/>
          <w:sz w:val="24"/>
          <w:szCs w:val="24"/>
        </w:rPr>
        <w:t xml:space="preserve">and </w:t>
      </w:r>
      <w:r w:rsidR="0009191B" w:rsidRPr="00B01CB8">
        <w:rPr>
          <w:rFonts w:ascii="Arial" w:hAnsi="Arial" w:cs="Arial"/>
          <w:sz w:val="24"/>
          <w:szCs w:val="24"/>
        </w:rPr>
        <w:t>should</w:t>
      </w:r>
      <w:r w:rsidR="005C4567" w:rsidRPr="00B01CB8">
        <w:rPr>
          <w:rFonts w:ascii="Arial" w:hAnsi="Arial" w:cs="Arial"/>
          <w:sz w:val="24"/>
          <w:szCs w:val="24"/>
        </w:rPr>
        <w:t xml:space="preserve"> </w:t>
      </w:r>
      <w:r w:rsidR="00D10EFB">
        <w:rPr>
          <w:rFonts w:ascii="Arial" w:hAnsi="Arial" w:cs="Arial"/>
          <w:sz w:val="24"/>
          <w:szCs w:val="24"/>
        </w:rPr>
        <w:t>indicate</w:t>
      </w:r>
      <w:r w:rsidR="005C4567" w:rsidRPr="00B01CB8">
        <w:rPr>
          <w:rFonts w:ascii="Arial" w:hAnsi="Arial" w:cs="Arial"/>
          <w:sz w:val="24"/>
          <w:szCs w:val="24"/>
        </w:rPr>
        <w:t xml:space="preserve"> which regulations are part of that </w:t>
      </w:r>
      <w:r w:rsidR="0009191B" w:rsidRPr="00B01CB8">
        <w:rPr>
          <w:rFonts w:ascii="Arial" w:hAnsi="Arial" w:cs="Arial"/>
          <w:sz w:val="24"/>
          <w:szCs w:val="24"/>
        </w:rPr>
        <w:t xml:space="preserve">central </w:t>
      </w:r>
      <w:r w:rsidR="005C4567" w:rsidRPr="00B01CB8">
        <w:rPr>
          <w:rFonts w:ascii="Arial" w:hAnsi="Arial" w:cs="Arial"/>
          <w:sz w:val="24"/>
          <w:szCs w:val="24"/>
        </w:rPr>
        <w:t>review process</w:t>
      </w:r>
      <w:r w:rsidR="00B312E9" w:rsidRPr="00B01CB8">
        <w:rPr>
          <w:rFonts w:ascii="Arial" w:hAnsi="Arial" w:cs="Arial"/>
          <w:sz w:val="24"/>
          <w:szCs w:val="24"/>
        </w:rPr>
        <w:t xml:space="preserve">. </w:t>
      </w:r>
    </w:p>
    <w:p w14:paraId="5600CC18" w14:textId="3D9E390C" w:rsidR="008477D9" w:rsidRDefault="00BD4591" w:rsidP="00826F92">
      <w:pPr>
        <w:rPr>
          <w:rFonts w:ascii="Arial" w:hAnsi="Arial" w:cs="Arial"/>
          <w:sz w:val="24"/>
          <w:szCs w:val="24"/>
        </w:rPr>
      </w:pPr>
      <w:r>
        <w:rPr>
          <w:rFonts w:ascii="Arial" w:hAnsi="Arial" w:cs="Arial"/>
          <w:sz w:val="24"/>
          <w:szCs w:val="24"/>
        </w:rPr>
        <w:t xml:space="preserve">When it makes sense, </w:t>
      </w:r>
      <w:r w:rsidR="00B27C76">
        <w:rPr>
          <w:rFonts w:ascii="Arial" w:hAnsi="Arial" w:cs="Arial"/>
          <w:sz w:val="24"/>
          <w:szCs w:val="24"/>
        </w:rPr>
        <w:t>regulations</w:t>
      </w:r>
      <w:r w:rsidR="008477D9">
        <w:rPr>
          <w:rFonts w:ascii="Arial" w:hAnsi="Arial" w:cs="Arial"/>
          <w:sz w:val="24"/>
          <w:szCs w:val="24"/>
        </w:rPr>
        <w:t xml:space="preserve"> can be grouped </w:t>
      </w:r>
      <w:r>
        <w:rPr>
          <w:rFonts w:ascii="Arial" w:hAnsi="Arial" w:cs="Arial"/>
          <w:sz w:val="24"/>
          <w:szCs w:val="24"/>
        </w:rPr>
        <w:t>with</w:t>
      </w:r>
      <w:r w:rsidR="00B9143C">
        <w:rPr>
          <w:rFonts w:ascii="Arial" w:hAnsi="Arial" w:cs="Arial"/>
          <w:sz w:val="24"/>
          <w:szCs w:val="24"/>
        </w:rPr>
        <w:t>in the stock review plan</w:t>
      </w:r>
      <w:r w:rsidR="00B43AE0">
        <w:rPr>
          <w:rFonts w:ascii="Arial" w:hAnsi="Arial" w:cs="Arial"/>
          <w:sz w:val="24"/>
          <w:szCs w:val="24"/>
        </w:rPr>
        <w:t xml:space="preserve"> under the umbrella of one review</w:t>
      </w:r>
      <w:r w:rsidR="00B9143C">
        <w:rPr>
          <w:rFonts w:ascii="Arial" w:hAnsi="Arial" w:cs="Arial"/>
          <w:sz w:val="24"/>
          <w:szCs w:val="24"/>
        </w:rPr>
        <w:t xml:space="preserve">. </w:t>
      </w:r>
      <w:r w:rsidR="003820A1">
        <w:rPr>
          <w:rFonts w:ascii="Arial" w:hAnsi="Arial" w:cs="Arial"/>
          <w:sz w:val="24"/>
          <w:szCs w:val="24"/>
        </w:rPr>
        <w:t xml:space="preserve">When the </w:t>
      </w:r>
      <w:r w:rsidR="00FD63EC">
        <w:rPr>
          <w:rFonts w:ascii="Arial" w:hAnsi="Arial" w:cs="Arial"/>
          <w:sz w:val="24"/>
          <w:szCs w:val="24"/>
        </w:rPr>
        <w:t xml:space="preserve">anticipated </w:t>
      </w:r>
      <w:r w:rsidR="003820A1">
        <w:rPr>
          <w:rFonts w:ascii="Arial" w:hAnsi="Arial" w:cs="Arial"/>
          <w:sz w:val="24"/>
          <w:szCs w:val="24"/>
        </w:rPr>
        <w:t xml:space="preserve">approach to a review is already known by the department (i.e., as part of a </w:t>
      </w:r>
      <w:r w:rsidR="00F63306">
        <w:rPr>
          <w:rFonts w:ascii="Arial" w:hAnsi="Arial" w:cs="Arial"/>
          <w:sz w:val="24"/>
          <w:szCs w:val="24"/>
        </w:rPr>
        <w:t>mandatory or ad-hoc review of a statute</w:t>
      </w:r>
      <w:r w:rsidR="003820A1">
        <w:rPr>
          <w:rFonts w:ascii="Arial" w:hAnsi="Arial" w:cs="Arial"/>
          <w:sz w:val="24"/>
          <w:szCs w:val="24"/>
        </w:rPr>
        <w:t>), this should be included in the stock review plan.</w:t>
      </w:r>
      <w:r w:rsidR="00FD63EC">
        <w:rPr>
          <w:rFonts w:ascii="Arial" w:hAnsi="Arial" w:cs="Arial"/>
          <w:sz w:val="24"/>
          <w:szCs w:val="24"/>
        </w:rPr>
        <w:t xml:space="preserve"> Regulators can also indicate that the approach is “to be determined” and incorporate stakeholder feedback into the planning process.</w:t>
      </w:r>
      <w:r w:rsidR="003820A1">
        <w:rPr>
          <w:rFonts w:ascii="Arial" w:hAnsi="Arial" w:cs="Arial"/>
          <w:sz w:val="24"/>
          <w:szCs w:val="24"/>
        </w:rPr>
        <w:t xml:space="preserve"> </w:t>
      </w:r>
      <w:r w:rsidR="008477D9">
        <w:rPr>
          <w:rFonts w:ascii="Arial" w:hAnsi="Arial" w:cs="Arial"/>
          <w:sz w:val="24"/>
          <w:szCs w:val="24"/>
        </w:rPr>
        <w:t xml:space="preserve">When a regulation is reviewed in parts, rather than in its entirety, regulators should list the parts that were reviewed and explain the rationale for the partial review </w:t>
      </w:r>
      <w:r w:rsidR="00F116CC">
        <w:rPr>
          <w:rFonts w:ascii="Arial" w:hAnsi="Arial" w:cs="Arial"/>
          <w:sz w:val="24"/>
          <w:szCs w:val="24"/>
        </w:rPr>
        <w:t xml:space="preserve">in </w:t>
      </w:r>
      <w:r w:rsidR="008477D9">
        <w:rPr>
          <w:rFonts w:ascii="Arial" w:hAnsi="Arial" w:cs="Arial"/>
          <w:sz w:val="24"/>
          <w:szCs w:val="24"/>
        </w:rPr>
        <w:t xml:space="preserve">a short narrative piece. </w:t>
      </w:r>
    </w:p>
    <w:p w14:paraId="75A78DEF" w14:textId="24A61F1F" w:rsidR="00C840C8" w:rsidRPr="00B01CB8" w:rsidRDefault="00B27C76" w:rsidP="00826F92">
      <w:pPr>
        <w:pStyle w:val="Default"/>
        <w:spacing w:after="287" w:line="276" w:lineRule="auto"/>
        <w:rPr>
          <w:rFonts w:ascii="Arial" w:hAnsi="Arial" w:cs="Arial"/>
          <w:color w:val="auto"/>
        </w:rPr>
      </w:pPr>
      <w:r>
        <w:rPr>
          <w:rFonts w:ascii="Arial" w:hAnsi="Arial" w:cs="Arial"/>
          <w:color w:val="auto"/>
        </w:rPr>
        <w:t>E</w:t>
      </w:r>
      <w:r w:rsidR="00C840C8" w:rsidRPr="00B01CB8">
        <w:rPr>
          <w:rFonts w:ascii="Arial" w:hAnsi="Arial" w:cs="Arial"/>
          <w:color w:val="auto"/>
        </w:rPr>
        <w:t xml:space="preserve">vidence gathered during the review </w:t>
      </w:r>
      <w:r w:rsidR="00041BBE">
        <w:rPr>
          <w:rFonts w:ascii="Arial" w:hAnsi="Arial" w:cs="Arial"/>
          <w:color w:val="auto"/>
        </w:rPr>
        <w:t xml:space="preserve">will </w:t>
      </w:r>
      <w:r w:rsidR="00C840C8" w:rsidRPr="00B01CB8">
        <w:rPr>
          <w:rFonts w:ascii="Arial" w:hAnsi="Arial" w:cs="Arial"/>
          <w:color w:val="auto"/>
        </w:rPr>
        <w:t xml:space="preserve">support decisions about the next steps for a regulation, which can be </w:t>
      </w:r>
      <w:r w:rsidR="00A526ED" w:rsidRPr="00B01CB8">
        <w:rPr>
          <w:rFonts w:ascii="Arial" w:hAnsi="Arial" w:cs="Arial"/>
          <w:color w:val="auto"/>
        </w:rPr>
        <w:t>categori</w:t>
      </w:r>
      <w:r w:rsidR="00A526ED">
        <w:rPr>
          <w:rFonts w:ascii="Arial" w:hAnsi="Arial" w:cs="Arial"/>
          <w:color w:val="auto"/>
        </w:rPr>
        <w:t>z</w:t>
      </w:r>
      <w:r w:rsidR="00A526ED" w:rsidRPr="00B01CB8">
        <w:rPr>
          <w:rFonts w:ascii="Arial" w:hAnsi="Arial" w:cs="Arial"/>
          <w:color w:val="auto"/>
        </w:rPr>
        <w:t xml:space="preserve">ed </w:t>
      </w:r>
      <w:r w:rsidR="00C840C8" w:rsidRPr="00B01CB8">
        <w:rPr>
          <w:rFonts w:ascii="Arial" w:hAnsi="Arial" w:cs="Arial"/>
          <w:color w:val="auto"/>
        </w:rPr>
        <w:t xml:space="preserve">as one of the following outcomes: </w:t>
      </w:r>
    </w:p>
    <w:p w14:paraId="37FD0D2D" w14:textId="624BDAE6" w:rsidR="00C840C8" w:rsidRPr="00B01CB8" w:rsidRDefault="007311AE" w:rsidP="00826F92">
      <w:pPr>
        <w:pStyle w:val="Default"/>
        <w:numPr>
          <w:ilvl w:val="0"/>
          <w:numId w:val="3"/>
        </w:numPr>
        <w:spacing w:after="287" w:line="276" w:lineRule="auto"/>
        <w:rPr>
          <w:rFonts w:ascii="Arial" w:hAnsi="Arial" w:cs="Arial"/>
          <w:color w:val="auto"/>
        </w:rPr>
      </w:pPr>
      <w:r>
        <w:rPr>
          <w:rFonts w:ascii="Arial" w:hAnsi="Arial" w:cs="Arial"/>
          <w:b/>
          <w:bCs/>
          <w:color w:val="auto"/>
        </w:rPr>
        <w:t>reviewed and confirmed</w:t>
      </w:r>
      <w:r w:rsidRPr="00B01CB8">
        <w:rPr>
          <w:rFonts w:ascii="Arial" w:hAnsi="Arial" w:cs="Arial"/>
          <w:b/>
          <w:bCs/>
          <w:color w:val="auto"/>
        </w:rPr>
        <w:t xml:space="preserve"> </w:t>
      </w:r>
      <w:r w:rsidR="001B04EA" w:rsidRPr="00B01CB8">
        <w:rPr>
          <w:rFonts w:ascii="Arial" w:hAnsi="Arial" w:cs="Arial"/>
          <w:color w:val="auto"/>
        </w:rPr>
        <w:t>–</w:t>
      </w:r>
      <w:r w:rsidR="00E573DE" w:rsidRPr="00B01CB8">
        <w:rPr>
          <w:rFonts w:ascii="Arial" w:hAnsi="Arial" w:cs="Arial"/>
          <w:color w:val="auto"/>
        </w:rPr>
        <w:t xml:space="preserve"> the</w:t>
      </w:r>
      <w:r w:rsidR="00C840C8" w:rsidRPr="00B01CB8">
        <w:rPr>
          <w:rFonts w:ascii="Arial" w:hAnsi="Arial" w:cs="Arial"/>
          <w:color w:val="auto"/>
        </w:rPr>
        <w:t xml:space="preserve"> regulation continues without change; </w:t>
      </w:r>
    </w:p>
    <w:p w14:paraId="01EF3ADD" w14:textId="54C8F96C"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cs="Arial"/>
          <w:b/>
          <w:bCs/>
          <w:color w:val="auto"/>
        </w:rPr>
        <w:t>a</w:t>
      </w:r>
      <w:r w:rsidR="00AA52AB" w:rsidRPr="00B01CB8">
        <w:rPr>
          <w:rFonts w:ascii="Arial" w:hAnsi="Arial" w:cs="Arial"/>
          <w:b/>
          <w:bCs/>
          <w:color w:val="auto"/>
        </w:rPr>
        <w:t>mended</w:t>
      </w:r>
      <w:r w:rsidR="00C840C8" w:rsidRPr="00B01CB8">
        <w:rPr>
          <w:rFonts w:ascii="Arial" w:hAnsi="Arial" w:cs="Arial"/>
          <w:b/>
          <w:bCs/>
          <w:color w:val="auto"/>
        </w:rPr>
        <w:t xml:space="preserve"> </w:t>
      </w:r>
      <w:r w:rsidR="00E573DE" w:rsidRPr="00B01CB8">
        <w:rPr>
          <w:rFonts w:ascii="Arial" w:hAnsi="Arial" w:cs="Arial"/>
          <w:color w:val="auto"/>
        </w:rPr>
        <w:t>–</w:t>
      </w:r>
      <w:r w:rsidR="00C840C8" w:rsidRPr="00B01CB8">
        <w:rPr>
          <w:rFonts w:ascii="Arial" w:hAnsi="Arial" w:cs="Arial"/>
          <w:color w:val="auto"/>
        </w:rPr>
        <w:t xml:space="preserve"> </w:t>
      </w:r>
      <w:r w:rsidR="00E573DE" w:rsidRPr="00B01CB8">
        <w:rPr>
          <w:rFonts w:ascii="Arial" w:hAnsi="Arial" w:cs="Arial"/>
          <w:color w:val="auto"/>
        </w:rPr>
        <w:t xml:space="preserve">the </w:t>
      </w:r>
      <w:r w:rsidR="00C840C8" w:rsidRPr="00B01CB8">
        <w:rPr>
          <w:rFonts w:ascii="Arial" w:hAnsi="Arial" w:cs="Arial"/>
          <w:color w:val="auto"/>
        </w:rPr>
        <w:t>regulation remains</w:t>
      </w:r>
      <w:r w:rsidR="001B04EA" w:rsidRPr="00B01CB8">
        <w:rPr>
          <w:rFonts w:ascii="Arial" w:hAnsi="Arial" w:cs="Arial"/>
          <w:color w:val="auto"/>
        </w:rPr>
        <w:t>,</w:t>
      </w:r>
      <w:r w:rsidR="00C840C8" w:rsidRPr="00B01CB8">
        <w:rPr>
          <w:rFonts w:ascii="Arial" w:hAnsi="Arial" w:cs="Arial"/>
          <w:color w:val="auto"/>
        </w:rPr>
        <w:t xml:space="preserve"> but changes are made to improve it; </w:t>
      </w:r>
    </w:p>
    <w:p w14:paraId="51B1D6A6" w14:textId="7BD4B91B"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cs="Arial"/>
          <w:b/>
          <w:bCs/>
          <w:color w:val="auto"/>
        </w:rPr>
        <w:t>r</w:t>
      </w:r>
      <w:r w:rsidR="00AA52AB" w:rsidRPr="00B01CB8">
        <w:rPr>
          <w:rFonts w:ascii="Arial" w:hAnsi="Arial" w:cs="Arial"/>
          <w:b/>
          <w:bCs/>
          <w:color w:val="auto"/>
        </w:rPr>
        <w:t>emoved</w:t>
      </w:r>
      <w:r w:rsidR="00C840C8" w:rsidRPr="00B01CB8">
        <w:rPr>
          <w:rFonts w:ascii="Arial" w:hAnsi="Arial" w:cs="Arial"/>
          <w:b/>
          <w:bCs/>
          <w:color w:val="auto"/>
        </w:rPr>
        <w:t xml:space="preserve"> </w:t>
      </w:r>
      <w:r w:rsidR="001B04EA" w:rsidRPr="00B01CB8">
        <w:rPr>
          <w:rFonts w:ascii="Arial" w:hAnsi="Arial" w:cs="Arial"/>
          <w:color w:val="auto"/>
        </w:rPr>
        <w:t>–</w:t>
      </w:r>
      <w:r w:rsidR="00E573DE" w:rsidRPr="00B01CB8">
        <w:rPr>
          <w:rFonts w:ascii="Arial" w:hAnsi="Arial" w:cs="Arial"/>
          <w:color w:val="auto"/>
        </w:rPr>
        <w:t xml:space="preserve"> the</w:t>
      </w:r>
      <w:r w:rsidR="00C840C8" w:rsidRPr="00B01CB8">
        <w:rPr>
          <w:rFonts w:ascii="Arial" w:hAnsi="Arial" w:cs="Arial"/>
          <w:color w:val="auto"/>
        </w:rPr>
        <w:t xml:space="preserve"> regulation is removed without replacement; or </w:t>
      </w:r>
    </w:p>
    <w:p w14:paraId="2E847826" w14:textId="4613DCAA"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cs="Arial"/>
          <w:b/>
          <w:bCs/>
          <w:color w:val="auto"/>
        </w:rPr>
        <w:lastRenderedPageBreak/>
        <w:t>r</w:t>
      </w:r>
      <w:r w:rsidR="00AA52AB" w:rsidRPr="00B01CB8">
        <w:rPr>
          <w:rFonts w:ascii="Arial" w:hAnsi="Arial" w:cs="Arial"/>
          <w:b/>
          <w:bCs/>
          <w:color w:val="auto"/>
        </w:rPr>
        <w:t>eplaced</w:t>
      </w:r>
      <w:r w:rsidR="00C840C8" w:rsidRPr="00B01CB8">
        <w:rPr>
          <w:rFonts w:ascii="Arial" w:hAnsi="Arial" w:cs="Arial"/>
          <w:b/>
          <w:bCs/>
          <w:color w:val="auto"/>
        </w:rPr>
        <w:t xml:space="preserve"> </w:t>
      </w:r>
      <w:r w:rsidR="00E573DE" w:rsidRPr="00B01CB8">
        <w:rPr>
          <w:rFonts w:ascii="Arial" w:hAnsi="Arial" w:cs="Arial"/>
          <w:color w:val="auto"/>
        </w:rPr>
        <w:t>–</w:t>
      </w:r>
      <w:r w:rsidR="00C840C8" w:rsidRPr="00B01CB8">
        <w:rPr>
          <w:rFonts w:ascii="Arial" w:hAnsi="Arial" w:cs="Arial"/>
          <w:color w:val="auto"/>
        </w:rPr>
        <w:t xml:space="preserve"> </w:t>
      </w:r>
      <w:r w:rsidR="00E573DE" w:rsidRPr="00B01CB8">
        <w:rPr>
          <w:rFonts w:ascii="Arial" w:hAnsi="Arial" w:cs="Arial"/>
          <w:color w:val="auto"/>
        </w:rPr>
        <w:t xml:space="preserve">the </w:t>
      </w:r>
      <w:r w:rsidR="00C840C8" w:rsidRPr="00B01CB8">
        <w:rPr>
          <w:rFonts w:ascii="Arial" w:hAnsi="Arial" w:cs="Arial"/>
          <w:color w:val="auto"/>
        </w:rPr>
        <w:t xml:space="preserve">regulation is replaced or </w:t>
      </w:r>
      <w:r w:rsidR="007E3960" w:rsidRPr="00B01CB8">
        <w:rPr>
          <w:rFonts w:ascii="Arial" w:hAnsi="Arial" w:cs="Arial"/>
          <w:color w:val="auto"/>
        </w:rPr>
        <w:t xml:space="preserve">substantially </w:t>
      </w:r>
      <w:r w:rsidR="00C840C8" w:rsidRPr="00B01CB8">
        <w:rPr>
          <w:rFonts w:ascii="Arial" w:hAnsi="Arial" w:cs="Arial"/>
          <w:color w:val="auto"/>
        </w:rPr>
        <w:t xml:space="preserve">redesigned. </w:t>
      </w:r>
    </w:p>
    <w:p w14:paraId="68C7EAA9" w14:textId="0B68ED85" w:rsidR="00710505" w:rsidRPr="00B01CB8" w:rsidRDefault="00FE6890" w:rsidP="00826F92">
      <w:pPr>
        <w:pStyle w:val="Heading2"/>
        <w:spacing w:after="240"/>
        <w:rPr>
          <w:rStyle w:val="SubtleReference"/>
          <w:rFonts w:ascii="Arial" w:hAnsi="Arial" w:cs="Arial"/>
          <w:b/>
          <w:smallCaps w:val="0"/>
          <w:color w:val="auto"/>
          <w:sz w:val="32"/>
          <w:szCs w:val="28"/>
        </w:rPr>
      </w:pPr>
      <w:r>
        <w:rPr>
          <w:rStyle w:val="SubtleReference"/>
          <w:rFonts w:ascii="Arial" w:hAnsi="Arial" w:cs="Arial"/>
          <w:b/>
          <w:smallCaps w:val="0"/>
          <w:color w:val="auto"/>
          <w:sz w:val="32"/>
          <w:szCs w:val="28"/>
        </w:rPr>
        <w:t>Approaches to reviewing the regulatory stock</w:t>
      </w:r>
    </w:p>
    <w:p w14:paraId="2595F3E4" w14:textId="04BA4155" w:rsidR="00FE6890" w:rsidRPr="00FE6890" w:rsidRDefault="00FE6890" w:rsidP="00626602">
      <w:pPr>
        <w:spacing w:after="120"/>
        <w:rPr>
          <w:rFonts w:ascii="Arial" w:hAnsi="Arial" w:cs="Arial"/>
          <w:b/>
          <w:sz w:val="28"/>
          <w:szCs w:val="24"/>
        </w:rPr>
      </w:pPr>
      <w:r w:rsidRPr="00FE6890">
        <w:rPr>
          <w:rFonts w:ascii="Arial" w:hAnsi="Arial" w:cs="Arial"/>
          <w:b/>
          <w:sz w:val="28"/>
          <w:szCs w:val="24"/>
        </w:rPr>
        <w:t>Analytical Lenses</w:t>
      </w:r>
    </w:p>
    <w:p w14:paraId="1AE6E296" w14:textId="50F76BCA" w:rsidR="00CA0118" w:rsidRPr="00B01CB8" w:rsidRDefault="00CA0118" w:rsidP="00826F92">
      <w:pPr>
        <w:rPr>
          <w:rFonts w:ascii="Arial" w:hAnsi="Arial" w:cs="Arial"/>
          <w:sz w:val="24"/>
          <w:szCs w:val="24"/>
        </w:rPr>
      </w:pPr>
      <w:r w:rsidRPr="00B01CB8">
        <w:rPr>
          <w:rFonts w:ascii="Arial" w:hAnsi="Arial" w:cs="Arial"/>
          <w:sz w:val="24"/>
          <w:szCs w:val="24"/>
        </w:rPr>
        <w:t xml:space="preserve">A list of factors or </w:t>
      </w:r>
      <w:r w:rsidR="00E573DE" w:rsidRPr="00B01CB8">
        <w:rPr>
          <w:rFonts w:ascii="Arial" w:hAnsi="Arial" w:cs="Arial"/>
          <w:sz w:val="24"/>
          <w:szCs w:val="24"/>
        </w:rPr>
        <w:t>“</w:t>
      </w:r>
      <w:r w:rsidRPr="00B01CB8">
        <w:rPr>
          <w:rFonts w:ascii="Arial" w:hAnsi="Arial" w:cs="Arial"/>
          <w:sz w:val="24"/>
          <w:szCs w:val="24"/>
        </w:rPr>
        <w:t>lenses</w:t>
      </w:r>
      <w:r w:rsidR="00E573DE" w:rsidRPr="00B01CB8">
        <w:rPr>
          <w:rFonts w:ascii="Arial" w:hAnsi="Arial" w:cs="Arial"/>
          <w:sz w:val="24"/>
          <w:szCs w:val="24"/>
        </w:rPr>
        <w:t>”</w:t>
      </w:r>
      <w:r w:rsidRPr="00B01CB8">
        <w:rPr>
          <w:rFonts w:ascii="Arial" w:hAnsi="Arial" w:cs="Arial"/>
          <w:sz w:val="24"/>
          <w:szCs w:val="24"/>
        </w:rPr>
        <w:t xml:space="preserve"> that </w:t>
      </w:r>
      <w:r w:rsidR="0009191B" w:rsidRPr="00B01CB8">
        <w:rPr>
          <w:rFonts w:ascii="Arial" w:hAnsi="Arial" w:cs="Arial"/>
          <w:sz w:val="24"/>
          <w:szCs w:val="24"/>
        </w:rPr>
        <w:t>shou</w:t>
      </w:r>
      <w:r w:rsidRPr="00B01CB8">
        <w:rPr>
          <w:rFonts w:ascii="Arial" w:hAnsi="Arial" w:cs="Arial"/>
          <w:sz w:val="24"/>
          <w:szCs w:val="24"/>
        </w:rPr>
        <w:t xml:space="preserve">ld </w:t>
      </w:r>
      <w:r w:rsidR="008B514F">
        <w:rPr>
          <w:rFonts w:ascii="Arial" w:hAnsi="Arial" w:cs="Arial"/>
          <w:sz w:val="24"/>
          <w:szCs w:val="24"/>
        </w:rPr>
        <w:t xml:space="preserve">be </w:t>
      </w:r>
      <w:r w:rsidR="0009191B" w:rsidRPr="00B01CB8">
        <w:rPr>
          <w:rFonts w:ascii="Arial" w:hAnsi="Arial" w:cs="Arial"/>
          <w:sz w:val="24"/>
          <w:szCs w:val="24"/>
        </w:rPr>
        <w:t>considered during</w:t>
      </w:r>
      <w:r w:rsidRPr="00B01CB8">
        <w:rPr>
          <w:rFonts w:ascii="Arial" w:hAnsi="Arial" w:cs="Arial"/>
          <w:sz w:val="24"/>
          <w:szCs w:val="24"/>
        </w:rPr>
        <w:t xml:space="preserve"> the review are set out in </w:t>
      </w:r>
      <w:r w:rsidRPr="00B01CB8">
        <w:rPr>
          <w:rFonts w:ascii="Arial" w:hAnsi="Arial" w:cs="Arial"/>
          <w:b/>
          <w:sz w:val="24"/>
          <w:szCs w:val="24"/>
        </w:rPr>
        <w:t>Section 7.2</w:t>
      </w:r>
      <w:r w:rsidRPr="00B01CB8">
        <w:rPr>
          <w:rFonts w:ascii="Arial" w:hAnsi="Arial" w:cs="Arial"/>
          <w:sz w:val="24"/>
          <w:szCs w:val="24"/>
        </w:rPr>
        <w:t xml:space="preserve"> of the </w:t>
      </w:r>
      <w:r w:rsidR="00326483">
        <w:rPr>
          <w:rFonts w:ascii="Arial" w:hAnsi="Arial" w:cs="Arial"/>
          <w:sz w:val="24"/>
          <w:szCs w:val="24"/>
        </w:rPr>
        <w:t>D</w:t>
      </w:r>
      <w:r w:rsidR="005435BE">
        <w:rPr>
          <w:rFonts w:ascii="Arial" w:hAnsi="Arial" w:cs="Arial"/>
          <w:sz w:val="24"/>
          <w:szCs w:val="24"/>
        </w:rPr>
        <w:t>irective</w:t>
      </w:r>
      <w:r w:rsidRPr="00B01CB8">
        <w:rPr>
          <w:rFonts w:ascii="Arial" w:hAnsi="Arial" w:cs="Arial"/>
          <w:sz w:val="24"/>
          <w:szCs w:val="24"/>
        </w:rPr>
        <w:t xml:space="preserve">. These lenses guide the review </w:t>
      </w:r>
      <w:r w:rsidR="0009191B" w:rsidRPr="00B01CB8">
        <w:rPr>
          <w:rFonts w:ascii="Arial" w:hAnsi="Arial" w:cs="Arial"/>
          <w:sz w:val="24"/>
          <w:szCs w:val="24"/>
        </w:rPr>
        <w:t xml:space="preserve">process and </w:t>
      </w:r>
      <w:r w:rsidR="005B20AF">
        <w:rPr>
          <w:rFonts w:ascii="Arial" w:hAnsi="Arial" w:cs="Arial"/>
          <w:sz w:val="24"/>
          <w:szCs w:val="24"/>
        </w:rPr>
        <w:t xml:space="preserve">help regulators </w:t>
      </w:r>
      <w:r w:rsidR="0009191B" w:rsidRPr="00B01CB8">
        <w:rPr>
          <w:rFonts w:ascii="Arial" w:hAnsi="Arial" w:cs="Arial"/>
          <w:sz w:val="24"/>
          <w:szCs w:val="24"/>
        </w:rPr>
        <w:t xml:space="preserve">in </w:t>
      </w:r>
      <w:r w:rsidRPr="00B01CB8">
        <w:rPr>
          <w:rFonts w:ascii="Arial" w:hAnsi="Arial" w:cs="Arial"/>
          <w:sz w:val="24"/>
          <w:szCs w:val="24"/>
        </w:rPr>
        <w:t>evaluat</w:t>
      </w:r>
      <w:r w:rsidR="005B20AF">
        <w:rPr>
          <w:rFonts w:ascii="Arial" w:hAnsi="Arial" w:cs="Arial"/>
          <w:sz w:val="24"/>
          <w:szCs w:val="24"/>
        </w:rPr>
        <w:t xml:space="preserve">ing </w:t>
      </w:r>
      <w:r w:rsidRPr="00B01CB8">
        <w:rPr>
          <w:rFonts w:ascii="Arial" w:hAnsi="Arial" w:cs="Arial"/>
          <w:sz w:val="24"/>
          <w:szCs w:val="24"/>
        </w:rPr>
        <w:t xml:space="preserve">the overall performance and effectiveness of a regulation. Regulators </w:t>
      </w:r>
      <w:r w:rsidR="005B20AF">
        <w:rPr>
          <w:rFonts w:ascii="Arial" w:hAnsi="Arial" w:cs="Arial"/>
          <w:sz w:val="24"/>
          <w:szCs w:val="24"/>
        </w:rPr>
        <w:t>must</w:t>
      </w:r>
      <w:r w:rsidRPr="00B01CB8">
        <w:rPr>
          <w:rFonts w:ascii="Arial" w:hAnsi="Arial" w:cs="Arial"/>
          <w:sz w:val="24"/>
          <w:szCs w:val="24"/>
        </w:rPr>
        <w:t xml:space="preserve"> consider a mix of lenses</w:t>
      </w:r>
      <w:r w:rsidR="005B20AF">
        <w:rPr>
          <w:rFonts w:ascii="Arial" w:hAnsi="Arial" w:cs="Arial"/>
          <w:sz w:val="24"/>
          <w:szCs w:val="24"/>
        </w:rPr>
        <w:t xml:space="preserve"> when they undertake a review</w:t>
      </w:r>
      <w:r w:rsidR="0009191B" w:rsidRPr="00B01CB8">
        <w:rPr>
          <w:rFonts w:ascii="Arial" w:hAnsi="Arial" w:cs="Arial"/>
          <w:sz w:val="24"/>
          <w:szCs w:val="24"/>
        </w:rPr>
        <w:t xml:space="preserve">. </w:t>
      </w:r>
      <w:r w:rsidR="00FC3BB2" w:rsidRPr="00B01CB8">
        <w:rPr>
          <w:rFonts w:ascii="Arial" w:hAnsi="Arial" w:cs="Arial"/>
          <w:sz w:val="24"/>
          <w:szCs w:val="24"/>
        </w:rPr>
        <w:t xml:space="preserve"> </w:t>
      </w:r>
    </w:p>
    <w:p w14:paraId="71019619" w14:textId="3EEF09FC" w:rsidR="00D258A8" w:rsidRDefault="005435BE" w:rsidP="00626602">
      <w:pPr>
        <w:spacing w:after="120"/>
        <w:rPr>
          <w:rFonts w:ascii="Arial" w:hAnsi="Arial" w:cs="Arial"/>
          <w:sz w:val="24"/>
          <w:szCs w:val="24"/>
        </w:rPr>
      </w:pPr>
      <w:r>
        <w:rPr>
          <w:rFonts w:ascii="Arial" w:hAnsi="Arial" w:cs="Arial"/>
          <w:b/>
          <w:sz w:val="24"/>
          <w:szCs w:val="24"/>
        </w:rPr>
        <w:t>Appendix B</w:t>
      </w:r>
      <w:r w:rsidR="0009191B" w:rsidRPr="00B01CB8">
        <w:rPr>
          <w:rFonts w:ascii="Arial" w:hAnsi="Arial" w:cs="Arial"/>
          <w:sz w:val="24"/>
          <w:szCs w:val="24"/>
        </w:rPr>
        <w:t xml:space="preserve"> sets out a series of guiding questions a department </w:t>
      </w:r>
      <w:r w:rsidR="00326483">
        <w:rPr>
          <w:rFonts w:ascii="Arial" w:hAnsi="Arial" w:cs="Arial"/>
          <w:sz w:val="24"/>
          <w:szCs w:val="24"/>
        </w:rPr>
        <w:t xml:space="preserve">or agency </w:t>
      </w:r>
      <w:r w:rsidR="00FF55A2">
        <w:rPr>
          <w:rFonts w:ascii="Arial" w:hAnsi="Arial" w:cs="Arial"/>
          <w:sz w:val="24"/>
          <w:szCs w:val="24"/>
        </w:rPr>
        <w:t>c</w:t>
      </w:r>
      <w:r w:rsidR="0009191B" w:rsidRPr="00B01CB8">
        <w:rPr>
          <w:rFonts w:ascii="Arial" w:hAnsi="Arial" w:cs="Arial"/>
          <w:sz w:val="24"/>
          <w:szCs w:val="24"/>
        </w:rPr>
        <w:t>ould ask while reviewing regulations. Departments and agencies are not required to address all questions, but as a good regulatory practice, they are encouraged to include sufficient information in the outcomes of the review to touch upon these core issues</w:t>
      </w:r>
      <w:r w:rsidR="00D258A8">
        <w:rPr>
          <w:rFonts w:ascii="Arial" w:hAnsi="Arial" w:cs="Arial"/>
          <w:sz w:val="24"/>
          <w:szCs w:val="24"/>
        </w:rPr>
        <w:t xml:space="preserve">: </w:t>
      </w:r>
    </w:p>
    <w:p w14:paraId="34FE346C" w14:textId="7AAACAA8"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cs="Arial"/>
          <w:szCs w:val="24"/>
        </w:rPr>
        <w:t>r</w:t>
      </w:r>
      <w:r w:rsidR="00C3162D" w:rsidRPr="00D258A8">
        <w:rPr>
          <w:rFonts w:ascii="Arial" w:hAnsi="Arial" w:cs="Arial"/>
          <w:szCs w:val="24"/>
        </w:rPr>
        <w:t>elevanc</w:t>
      </w:r>
      <w:r w:rsidR="00D258A8" w:rsidRPr="00D258A8">
        <w:rPr>
          <w:rFonts w:ascii="Arial" w:hAnsi="Arial" w:cs="Arial"/>
          <w:szCs w:val="24"/>
        </w:rPr>
        <w:t>y;</w:t>
      </w:r>
    </w:p>
    <w:p w14:paraId="6E623C3A" w14:textId="1EDFA149" w:rsidR="00F750E8" w:rsidRPr="00D258A8" w:rsidRDefault="00F750E8" w:rsidP="00F750E8">
      <w:pPr>
        <w:pStyle w:val="ListParagraph"/>
        <w:numPr>
          <w:ilvl w:val="0"/>
          <w:numId w:val="4"/>
        </w:numPr>
        <w:spacing w:line="276" w:lineRule="auto"/>
        <w:rPr>
          <w:rFonts w:ascii="Arial" w:hAnsi="Arial" w:cs="Arial"/>
          <w:szCs w:val="24"/>
        </w:rPr>
      </w:pPr>
      <w:r>
        <w:rPr>
          <w:rFonts w:ascii="Arial" w:hAnsi="Arial" w:cs="Arial"/>
          <w:szCs w:val="24"/>
        </w:rPr>
        <w:t>i</w:t>
      </w:r>
      <w:r w:rsidRPr="00D258A8">
        <w:rPr>
          <w:rFonts w:ascii="Arial" w:hAnsi="Arial" w:cs="Arial"/>
          <w:szCs w:val="24"/>
        </w:rPr>
        <w:t>nstrument</w:t>
      </w:r>
      <w:r>
        <w:rPr>
          <w:rFonts w:ascii="Arial" w:hAnsi="Arial" w:cs="Arial"/>
          <w:szCs w:val="24"/>
        </w:rPr>
        <w:t xml:space="preserve"> choice;</w:t>
      </w:r>
      <w:r w:rsidRPr="00D258A8">
        <w:rPr>
          <w:rFonts w:ascii="Arial" w:hAnsi="Arial" w:cs="Arial"/>
          <w:szCs w:val="24"/>
        </w:rPr>
        <w:t xml:space="preserve"> </w:t>
      </w:r>
    </w:p>
    <w:p w14:paraId="2652B62C" w14:textId="3FB1BB7D"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cs="Arial"/>
          <w:szCs w:val="24"/>
        </w:rPr>
        <w:t>e</w:t>
      </w:r>
      <w:r w:rsidR="00D258A8" w:rsidRPr="00D258A8">
        <w:rPr>
          <w:rFonts w:ascii="Arial" w:hAnsi="Arial" w:cs="Arial"/>
          <w:szCs w:val="24"/>
        </w:rPr>
        <w:t>ffectiveness;</w:t>
      </w:r>
    </w:p>
    <w:p w14:paraId="6015F618" w14:textId="14E2171F" w:rsidR="00F750E8" w:rsidRPr="00D258A8" w:rsidRDefault="00F750E8" w:rsidP="00F750E8">
      <w:pPr>
        <w:pStyle w:val="ListParagraph"/>
        <w:numPr>
          <w:ilvl w:val="0"/>
          <w:numId w:val="4"/>
        </w:numPr>
        <w:spacing w:line="276" w:lineRule="auto"/>
        <w:rPr>
          <w:rFonts w:ascii="Arial" w:hAnsi="Arial" w:cs="Arial"/>
          <w:szCs w:val="24"/>
        </w:rPr>
      </w:pPr>
      <w:r>
        <w:rPr>
          <w:rFonts w:ascii="Arial" w:hAnsi="Arial" w:cs="Arial"/>
          <w:szCs w:val="24"/>
        </w:rPr>
        <w:t>f</w:t>
      </w:r>
      <w:r w:rsidRPr="00D258A8">
        <w:rPr>
          <w:rFonts w:ascii="Arial" w:hAnsi="Arial" w:cs="Arial"/>
          <w:szCs w:val="24"/>
        </w:rPr>
        <w:t>lexibility</w:t>
      </w:r>
      <w:r w:rsidR="00ED0F56">
        <w:rPr>
          <w:rFonts w:ascii="Arial" w:hAnsi="Arial" w:cs="Arial"/>
          <w:szCs w:val="24"/>
        </w:rPr>
        <w:t xml:space="preserve"> and alignment</w:t>
      </w:r>
      <w:r>
        <w:rPr>
          <w:rFonts w:ascii="Arial" w:hAnsi="Arial" w:cs="Arial"/>
          <w:szCs w:val="24"/>
        </w:rPr>
        <w:t xml:space="preserve">; </w:t>
      </w:r>
      <w:r w:rsidRPr="00D258A8">
        <w:rPr>
          <w:rFonts w:ascii="Arial" w:hAnsi="Arial" w:cs="Arial"/>
          <w:szCs w:val="24"/>
        </w:rPr>
        <w:t xml:space="preserve">and </w:t>
      </w:r>
    </w:p>
    <w:p w14:paraId="0DB35BB2" w14:textId="73EDD6D6"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cs="Arial"/>
          <w:szCs w:val="24"/>
        </w:rPr>
        <w:t>e</w:t>
      </w:r>
      <w:r w:rsidR="00C3162D" w:rsidRPr="00D258A8">
        <w:rPr>
          <w:rFonts w:ascii="Arial" w:hAnsi="Arial" w:cs="Arial"/>
          <w:szCs w:val="24"/>
        </w:rPr>
        <w:t>fficiency</w:t>
      </w:r>
      <w:r w:rsidR="00F750E8">
        <w:rPr>
          <w:rFonts w:ascii="Arial" w:hAnsi="Arial" w:cs="Arial"/>
          <w:szCs w:val="24"/>
        </w:rPr>
        <w:t xml:space="preserve">. </w:t>
      </w:r>
    </w:p>
    <w:p w14:paraId="419A6128" w14:textId="77777777" w:rsidR="00D258A8" w:rsidRPr="00626602" w:rsidRDefault="00D258A8" w:rsidP="00826F92">
      <w:pPr>
        <w:pStyle w:val="Heading2"/>
        <w:rPr>
          <w:rStyle w:val="SubtleReference"/>
          <w:rFonts w:ascii="Arial" w:hAnsi="Arial" w:cs="Arial"/>
          <w:b/>
          <w:smallCaps w:val="0"/>
          <w:color w:val="auto"/>
          <w:sz w:val="16"/>
          <w:szCs w:val="16"/>
        </w:rPr>
      </w:pPr>
    </w:p>
    <w:p w14:paraId="310CA954" w14:textId="4D7B39E5" w:rsidR="00FE6890" w:rsidRPr="00FE6890" w:rsidRDefault="00FE6890" w:rsidP="00826F92">
      <w:pPr>
        <w:rPr>
          <w:rFonts w:ascii="Arial" w:hAnsi="Arial" w:cs="Arial"/>
          <w:b/>
          <w:sz w:val="28"/>
          <w:szCs w:val="24"/>
        </w:rPr>
      </w:pPr>
      <w:r w:rsidRPr="00FE6890">
        <w:rPr>
          <w:rFonts w:ascii="Arial" w:hAnsi="Arial" w:cs="Arial"/>
          <w:b/>
          <w:sz w:val="28"/>
          <w:szCs w:val="24"/>
        </w:rPr>
        <w:t xml:space="preserve">Planning </w:t>
      </w:r>
      <w:r>
        <w:rPr>
          <w:rFonts w:ascii="Arial" w:hAnsi="Arial" w:cs="Arial"/>
          <w:b/>
          <w:sz w:val="28"/>
          <w:szCs w:val="24"/>
        </w:rPr>
        <w:t xml:space="preserve">and </w:t>
      </w:r>
      <w:r w:rsidRPr="00FE6890">
        <w:rPr>
          <w:rFonts w:ascii="Arial" w:hAnsi="Arial" w:cs="Arial"/>
          <w:b/>
          <w:sz w:val="28"/>
          <w:szCs w:val="24"/>
        </w:rPr>
        <w:t xml:space="preserve">Evaluation </w:t>
      </w:r>
      <w:r>
        <w:rPr>
          <w:rFonts w:ascii="Arial" w:hAnsi="Arial" w:cs="Arial"/>
          <w:b/>
          <w:sz w:val="28"/>
          <w:szCs w:val="24"/>
        </w:rPr>
        <w:t>Methodology</w:t>
      </w:r>
      <w:r w:rsidRPr="00FE6890">
        <w:rPr>
          <w:rFonts w:ascii="Arial" w:hAnsi="Arial" w:cs="Arial"/>
          <w:b/>
          <w:sz w:val="28"/>
          <w:szCs w:val="24"/>
        </w:rPr>
        <w:t xml:space="preserve"> </w:t>
      </w:r>
    </w:p>
    <w:p w14:paraId="28B3D61E" w14:textId="77777777" w:rsidR="003820A1" w:rsidRDefault="00562CD9" w:rsidP="003820A1">
      <w:pPr>
        <w:rPr>
          <w:rFonts w:ascii="Arial" w:hAnsi="Arial" w:cs="Arial"/>
          <w:sz w:val="24"/>
          <w:szCs w:val="24"/>
        </w:rPr>
      </w:pPr>
      <w:r w:rsidRPr="00562CD9">
        <w:rPr>
          <w:rFonts w:ascii="Arial" w:hAnsi="Arial" w:cs="Arial"/>
          <w:b/>
          <w:sz w:val="24"/>
          <w:szCs w:val="24"/>
        </w:rPr>
        <w:t>Appendix C</w:t>
      </w:r>
      <w:r>
        <w:rPr>
          <w:rFonts w:ascii="Arial" w:hAnsi="Arial" w:cs="Arial"/>
          <w:b/>
          <w:sz w:val="24"/>
          <w:szCs w:val="24"/>
        </w:rPr>
        <w:t xml:space="preserve"> </w:t>
      </w:r>
      <w:r>
        <w:rPr>
          <w:rFonts w:ascii="Arial" w:hAnsi="Arial" w:cs="Arial"/>
          <w:sz w:val="24"/>
          <w:szCs w:val="24"/>
        </w:rPr>
        <w:t xml:space="preserve">provides </w:t>
      </w:r>
      <w:r w:rsidR="00DA0A90">
        <w:rPr>
          <w:rFonts w:ascii="Arial" w:hAnsi="Arial" w:cs="Arial"/>
          <w:sz w:val="24"/>
          <w:szCs w:val="24"/>
        </w:rPr>
        <w:t xml:space="preserve">examples of evaluation methods and process steps that can be adopted by departments and agencies undertaking a stock review. </w:t>
      </w:r>
      <w:r w:rsidR="008115CB">
        <w:rPr>
          <w:rFonts w:ascii="Arial" w:hAnsi="Arial" w:cs="Arial"/>
          <w:sz w:val="24"/>
          <w:szCs w:val="24"/>
        </w:rPr>
        <w:t xml:space="preserve">This includes planning for the review, suggestions on coordination, and how to best engage stakeholders throughout the review process. </w:t>
      </w:r>
    </w:p>
    <w:p w14:paraId="67EAE001" w14:textId="005690BA" w:rsidR="003820A1" w:rsidRDefault="003820A1" w:rsidP="003820A1">
      <w:pPr>
        <w:rPr>
          <w:rFonts w:ascii="Arial" w:hAnsi="Arial" w:cs="Arial"/>
          <w:sz w:val="24"/>
          <w:szCs w:val="24"/>
        </w:rPr>
      </w:pPr>
      <w:r>
        <w:rPr>
          <w:rFonts w:ascii="Arial" w:hAnsi="Arial" w:cs="Arial"/>
          <w:sz w:val="24"/>
          <w:szCs w:val="24"/>
        </w:rPr>
        <w:t xml:space="preserve">The approach to the review could also be shaped by other statutory or policy requirements, such as legislative reviews or audits. When this is the case, departments and agencies should indicate this process in their stock review plan to explain the rationale for the review. </w:t>
      </w:r>
    </w:p>
    <w:p w14:paraId="62026C58" w14:textId="162A1817" w:rsidR="00E573DE" w:rsidRPr="00B01CB8" w:rsidRDefault="00E573DE" w:rsidP="003820A1">
      <w:pPr>
        <w:rPr>
          <w:rStyle w:val="SubtleReference"/>
          <w:rFonts w:ascii="Arial" w:hAnsi="Arial" w:cs="Arial"/>
          <w:b/>
          <w:smallCaps w:val="0"/>
          <w:color w:val="auto"/>
          <w:sz w:val="32"/>
          <w:szCs w:val="28"/>
        </w:rPr>
      </w:pPr>
      <w:r w:rsidRPr="00B01CB8">
        <w:rPr>
          <w:rStyle w:val="SubtleReference"/>
          <w:rFonts w:ascii="Arial" w:hAnsi="Arial" w:cs="Arial"/>
          <w:b/>
          <w:smallCaps w:val="0"/>
          <w:color w:val="auto"/>
          <w:sz w:val="32"/>
          <w:szCs w:val="28"/>
        </w:rPr>
        <w:t>Timeframe</w:t>
      </w:r>
    </w:p>
    <w:p w14:paraId="12036654" w14:textId="3888C018" w:rsidR="00E573DE" w:rsidRPr="00B01CB8" w:rsidRDefault="00E573DE" w:rsidP="00826F92">
      <w:pPr>
        <w:rPr>
          <w:rFonts w:ascii="Arial" w:hAnsi="Arial" w:cs="Arial"/>
          <w:sz w:val="24"/>
          <w:szCs w:val="24"/>
        </w:rPr>
      </w:pPr>
      <w:r w:rsidRPr="00B01CB8">
        <w:rPr>
          <w:rFonts w:ascii="Arial" w:hAnsi="Arial" w:cs="Arial"/>
          <w:sz w:val="24"/>
          <w:szCs w:val="24"/>
        </w:rPr>
        <w:t xml:space="preserve">The first assessment period will </w:t>
      </w:r>
      <w:r w:rsidRPr="002F54EC">
        <w:rPr>
          <w:rFonts w:ascii="Arial" w:hAnsi="Arial" w:cs="Arial"/>
          <w:sz w:val="24"/>
          <w:szCs w:val="24"/>
        </w:rPr>
        <w:t xml:space="preserve">begin </w:t>
      </w:r>
      <w:r w:rsidR="00CF65D9" w:rsidRPr="002F54EC">
        <w:rPr>
          <w:rFonts w:ascii="Arial" w:hAnsi="Arial" w:cs="Arial"/>
          <w:sz w:val="24"/>
          <w:szCs w:val="24"/>
        </w:rPr>
        <w:t>April 1, 2019</w:t>
      </w:r>
      <w:r w:rsidR="00A6611F" w:rsidRPr="002F54EC">
        <w:rPr>
          <w:rFonts w:ascii="Arial" w:hAnsi="Arial" w:cs="Arial"/>
          <w:sz w:val="24"/>
          <w:szCs w:val="24"/>
        </w:rPr>
        <w:t xml:space="preserve">. </w:t>
      </w:r>
      <w:r w:rsidR="00CF65D9" w:rsidRPr="002F54EC">
        <w:rPr>
          <w:rFonts w:ascii="Arial" w:hAnsi="Arial" w:cs="Arial"/>
          <w:sz w:val="24"/>
          <w:szCs w:val="24"/>
        </w:rPr>
        <w:t>Updates</w:t>
      </w:r>
      <w:r w:rsidR="00CF65D9">
        <w:rPr>
          <w:rFonts w:ascii="Arial" w:hAnsi="Arial" w:cs="Arial"/>
          <w:sz w:val="24"/>
          <w:szCs w:val="24"/>
        </w:rPr>
        <w:t xml:space="preserve"> to s</w:t>
      </w:r>
      <w:r w:rsidR="00A6611F">
        <w:rPr>
          <w:rFonts w:ascii="Arial" w:hAnsi="Arial" w:cs="Arial"/>
          <w:sz w:val="24"/>
          <w:szCs w:val="24"/>
        </w:rPr>
        <w:t xml:space="preserve">tock review plans should be posted publically </w:t>
      </w:r>
      <w:r w:rsidR="00B410C2">
        <w:rPr>
          <w:rFonts w:ascii="Arial" w:hAnsi="Arial" w:cs="Arial"/>
          <w:sz w:val="24"/>
          <w:szCs w:val="24"/>
        </w:rPr>
        <w:t xml:space="preserve">on the departmental Acts and Regulations webpage </w:t>
      </w:r>
      <w:r w:rsidR="00A6611F">
        <w:rPr>
          <w:rFonts w:ascii="Arial" w:hAnsi="Arial" w:cs="Arial"/>
          <w:sz w:val="24"/>
          <w:szCs w:val="24"/>
        </w:rPr>
        <w:t xml:space="preserve">by </w:t>
      </w:r>
      <w:r w:rsidR="00653EF9">
        <w:rPr>
          <w:rFonts w:ascii="Arial" w:hAnsi="Arial" w:cs="Arial"/>
          <w:sz w:val="24"/>
          <w:szCs w:val="24"/>
        </w:rPr>
        <w:t>April 1, each year</w:t>
      </w:r>
      <w:r w:rsidR="00B410C2">
        <w:rPr>
          <w:rFonts w:ascii="Arial" w:hAnsi="Arial" w:cs="Arial"/>
          <w:sz w:val="24"/>
          <w:szCs w:val="24"/>
        </w:rPr>
        <w:t xml:space="preserve">. </w:t>
      </w:r>
    </w:p>
    <w:p w14:paraId="20E7483B" w14:textId="63CAB528" w:rsidR="00A6611F" w:rsidRDefault="00041BBE" w:rsidP="00826F92">
      <w:pPr>
        <w:rPr>
          <w:rStyle w:val="SubtleReference"/>
          <w:rFonts w:ascii="Arial" w:eastAsiaTheme="majorEastAsia" w:hAnsi="Arial" w:cs="Arial"/>
          <w:b/>
          <w:smallCaps w:val="0"/>
          <w:color w:val="auto"/>
          <w:sz w:val="32"/>
          <w:szCs w:val="28"/>
        </w:rPr>
      </w:pPr>
      <w:r>
        <w:rPr>
          <w:rStyle w:val="SubtleReference"/>
          <w:rFonts w:ascii="Arial" w:eastAsiaTheme="majorEastAsia" w:hAnsi="Arial" w:cs="Arial"/>
          <w:b/>
          <w:smallCaps w:val="0"/>
          <w:color w:val="auto"/>
          <w:sz w:val="32"/>
          <w:szCs w:val="28"/>
        </w:rPr>
        <w:t>Resources</w:t>
      </w:r>
    </w:p>
    <w:p w14:paraId="3844E454" w14:textId="072B0FFF" w:rsidR="007C54D8" w:rsidRPr="00072442" w:rsidRDefault="00BA0BE9" w:rsidP="00826F92">
      <w:pPr>
        <w:pStyle w:val="ListParagraph"/>
        <w:numPr>
          <w:ilvl w:val="0"/>
          <w:numId w:val="7"/>
        </w:numPr>
        <w:spacing w:line="276" w:lineRule="auto"/>
        <w:rPr>
          <w:rStyle w:val="SubtleReference"/>
          <w:rFonts w:ascii="Arial" w:eastAsiaTheme="majorEastAsia" w:hAnsi="Arial" w:cs="Arial"/>
          <w:smallCaps w:val="0"/>
          <w:color w:val="auto"/>
          <w:szCs w:val="24"/>
        </w:rPr>
      </w:pPr>
      <w:r w:rsidRPr="00072442">
        <w:rPr>
          <w:rStyle w:val="SubtleReference"/>
          <w:rFonts w:ascii="Arial" w:eastAsiaTheme="majorEastAsia" w:hAnsi="Arial" w:cs="Arial"/>
          <w:smallCaps w:val="0"/>
          <w:color w:val="auto"/>
          <w:szCs w:val="24"/>
        </w:rPr>
        <w:lastRenderedPageBreak/>
        <w:t>Proceedings from the</w:t>
      </w:r>
      <w:r w:rsidR="007C54D8" w:rsidRPr="00072442">
        <w:rPr>
          <w:rStyle w:val="SubtleReference"/>
          <w:rFonts w:ascii="Arial" w:eastAsiaTheme="majorEastAsia" w:hAnsi="Arial" w:cs="Arial"/>
          <w:smallCaps w:val="0"/>
          <w:color w:val="auto"/>
          <w:szCs w:val="24"/>
        </w:rPr>
        <w:t xml:space="preserve"> 9</w:t>
      </w:r>
      <w:r w:rsidR="007C54D8" w:rsidRPr="00072442">
        <w:rPr>
          <w:rStyle w:val="SubtleReference"/>
          <w:rFonts w:ascii="Arial" w:eastAsiaTheme="majorEastAsia" w:hAnsi="Arial" w:cs="Arial"/>
          <w:smallCaps w:val="0"/>
          <w:color w:val="auto"/>
          <w:szCs w:val="24"/>
          <w:vertAlign w:val="superscript"/>
        </w:rPr>
        <w:t>th</w:t>
      </w:r>
      <w:r w:rsidR="007C54D8" w:rsidRPr="00072442">
        <w:rPr>
          <w:rStyle w:val="SubtleReference"/>
          <w:rFonts w:ascii="Arial" w:eastAsiaTheme="majorEastAsia" w:hAnsi="Arial" w:cs="Arial"/>
          <w:smallCaps w:val="0"/>
          <w:color w:val="auto"/>
          <w:szCs w:val="24"/>
        </w:rPr>
        <w:t xml:space="preserve"> OECD Conference on </w:t>
      </w:r>
      <w:hyperlink r:id="rId8" w:history="1">
        <w:r w:rsidR="007C54D8" w:rsidRPr="00072442">
          <w:rPr>
            <w:rStyle w:val="Hyperlink"/>
            <w:rFonts w:ascii="Arial" w:eastAsiaTheme="majorEastAsia" w:hAnsi="Arial" w:cs="Arial"/>
            <w:szCs w:val="24"/>
          </w:rPr>
          <w:t>Measuring Regulatory Performance</w:t>
        </w:r>
      </w:hyperlink>
      <w:r w:rsidR="007C54D8" w:rsidRPr="00072442">
        <w:rPr>
          <w:rStyle w:val="SubtleReference"/>
          <w:rFonts w:ascii="Arial" w:eastAsiaTheme="majorEastAsia" w:hAnsi="Arial" w:cs="Arial"/>
          <w:smallCaps w:val="0"/>
          <w:color w:val="auto"/>
          <w:szCs w:val="24"/>
        </w:rPr>
        <w:t xml:space="preserve"> (2017)  </w:t>
      </w:r>
    </w:p>
    <w:p w14:paraId="268B4451" w14:textId="66306D65" w:rsidR="00653EF9" w:rsidRPr="00072442" w:rsidRDefault="00653EF9" w:rsidP="00826F92">
      <w:pPr>
        <w:pStyle w:val="ListParagraph"/>
        <w:numPr>
          <w:ilvl w:val="0"/>
          <w:numId w:val="7"/>
        </w:numPr>
        <w:spacing w:line="276" w:lineRule="auto"/>
        <w:rPr>
          <w:rStyle w:val="SubtleReference"/>
          <w:rFonts w:ascii="Arial" w:eastAsiaTheme="majorEastAsia" w:hAnsi="Arial" w:cs="Arial"/>
          <w:smallCaps w:val="0"/>
          <w:color w:val="auto"/>
          <w:szCs w:val="24"/>
        </w:rPr>
      </w:pPr>
      <w:r w:rsidRPr="00072442">
        <w:rPr>
          <w:rStyle w:val="SubtleReference"/>
          <w:rFonts w:ascii="Arial" w:eastAsiaTheme="majorEastAsia" w:hAnsi="Arial" w:cs="Arial"/>
          <w:smallCaps w:val="0"/>
          <w:color w:val="auto"/>
          <w:szCs w:val="24"/>
        </w:rPr>
        <w:t xml:space="preserve">The </w:t>
      </w:r>
      <w:hyperlink r:id="rId9" w:history="1">
        <w:r w:rsidRPr="00072442">
          <w:rPr>
            <w:rStyle w:val="Hyperlink"/>
            <w:rFonts w:ascii="Arial" w:eastAsiaTheme="majorEastAsia" w:hAnsi="Arial" w:cs="Arial"/>
            <w:color w:val="auto"/>
            <w:szCs w:val="24"/>
            <w:u w:val="none"/>
          </w:rPr>
          <w:t xml:space="preserve">OECD </w:t>
        </w:r>
        <w:r w:rsidRPr="00072442">
          <w:rPr>
            <w:rStyle w:val="Hyperlink"/>
            <w:rFonts w:ascii="Arial" w:eastAsiaTheme="majorEastAsia" w:hAnsi="Arial" w:cs="Arial"/>
            <w:szCs w:val="24"/>
          </w:rPr>
          <w:t xml:space="preserve">Framework </w:t>
        </w:r>
        <w:r w:rsidR="007C54D8" w:rsidRPr="00072442">
          <w:rPr>
            <w:rStyle w:val="Hyperlink"/>
            <w:rFonts w:ascii="Arial" w:eastAsiaTheme="majorEastAsia" w:hAnsi="Arial" w:cs="Arial"/>
            <w:szCs w:val="24"/>
          </w:rPr>
          <w:t>for Regulatory Policy Evaluation</w:t>
        </w:r>
      </w:hyperlink>
      <w:r w:rsidR="007C54D8" w:rsidRPr="00072442">
        <w:rPr>
          <w:rStyle w:val="SubtleReference"/>
          <w:rFonts w:ascii="Arial" w:eastAsiaTheme="majorEastAsia" w:hAnsi="Arial" w:cs="Arial"/>
          <w:smallCaps w:val="0"/>
          <w:color w:val="auto"/>
          <w:szCs w:val="24"/>
        </w:rPr>
        <w:t xml:space="preserve"> (2014)</w:t>
      </w:r>
    </w:p>
    <w:p w14:paraId="5AD2D158" w14:textId="36D104D0" w:rsidR="00DA0A90" w:rsidRPr="00626602" w:rsidRDefault="00FC3DE4" w:rsidP="00C356DE">
      <w:pPr>
        <w:pStyle w:val="ListParagraph"/>
        <w:numPr>
          <w:ilvl w:val="0"/>
          <w:numId w:val="7"/>
        </w:numPr>
        <w:spacing w:line="276" w:lineRule="auto"/>
        <w:rPr>
          <w:rFonts w:ascii="Arial" w:hAnsi="Arial" w:cs="Arial"/>
          <w:b/>
          <w:sz w:val="28"/>
          <w:szCs w:val="28"/>
        </w:rPr>
      </w:pPr>
      <w:r w:rsidRPr="00626602">
        <w:rPr>
          <w:rStyle w:val="SubtleReference"/>
          <w:rFonts w:ascii="Arial" w:eastAsiaTheme="majorEastAsia" w:hAnsi="Arial" w:cs="Arial"/>
          <w:smallCaps w:val="0"/>
          <w:color w:val="auto"/>
          <w:szCs w:val="24"/>
        </w:rPr>
        <w:t xml:space="preserve">Webpage: </w:t>
      </w:r>
      <w:hyperlink r:id="rId10" w:history="1">
        <w:r w:rsidR="007C54D8" w:rsidRPr="00626602">
          <w:rPr>
            <w:rStyle w:val="Hyperlink"/>
            <w:rFonts w:ascii="Arial" w:eastAsiaTheme="majorEastAsia" w:hAnsi="Arial" w:cs="Arial"/>
            <w:szCs w:val="24"/>
          </w:rPr>
          <w:t>Ex Post Evaluation of Regulatory Tools and Institutions</w:t>
        </w:r>
      </w:hyperlink>
      <w:r w:rsidR="007C54D8" w:rsidRPr="00626602">
        <w:rPr>
          <w:rStyle w:val="SubtleReference"/>
          <w:rFonts w:ascii="Arial" w:eastAsiaTheme="majorEastAsia" w:hAnsi="Arial" w:cs="Arial"/>
          <w:smallCaps w:val="0"/>
          <w:color w:val="auto"/>
          <w:szCs w:val="24"/>
        </w:rPr>
        <w:t xml:space="preserve"> (2004) </w:t>
      </w:r>
    </w:p>
    <w:p w14:paraId="74B54C19" w14:textId="77777777" w:rsidR="00C50B82" w:rsidRDefault="00C50B82">
      <w:pPr>
        <w:rPr>
          <w:rFonts w:ascii="Arial" w:hAnsi="Arial" w:cs="Arial"/>
          <w:b/>
          <w:sz w:val="28"/>
          <w:szCs w:val="28"/>
        </w:rPr>
      </w:pPr>
      <w:r>
        <w:rPr>
          <w:rFonts w:ascii="Arial" w:hAnsi="Arial" w:cs="Arial"/>
          <w:b/>
          <w:sz w:val="28"/>
          <w:szCs w:val="28"/>
        </w:rPr>
        <w:br w:type="page"/>
      </w:r>
    </w:p>
    <w:p w14:paraId="30EBBEDD" w14:textId="253EC917" w:rsidR="00A6611F" w:rsidRDefault="005435BE" w:rsidP="005435BE">
      <w:pPr>
        <w:rPr>
          <w:rFonts w:ascii="Arial" w:hAnsi="Arial" w:cs="Arial"/>
          <w:b/>
          <w:sz w:val="28"/>
          <w:szCs w:val="28"/>
        </w:rPr>
      </w:pPr>
      <w:r w:rsidRPr="007049EE">
        <w:rPr>
          <w:rFonts w:ascii="Arial" w:hAnsi="Arial" w:cs="Arial"/>
          <w:b/>
          <w:sz w:val="28"/>
          <w:szCs w:val="28"/>
        </w:rPr>
        <w:lastRenderedPageBreak/>
        <w:t xml:space="preserve">Appendix A: </w:t>
      </w:r>
    </w:p>
    <w:p w14:paraId="20AE8A4D" w14:textId="54FFA2CC" w:rsidR="005435BE" w:rsidRPr="005435BE" w:rsidRDefault="00A6611F" w:rsidP="005435BE">
      <w:pPr>
        <w:rPr>
          <w:rStyle w:val="SubtleReference"/>
          <w:rFonts w:ascii="Arial" w:eastAsiaTheme="majorEastAsia" w:hAnsi="Arial" w:cs="Arial"/>
          <w:b/>
          <w:smallCaps w:val="0"/>
          <w:color w:val="auto"/>
          <w:sz w:val="32"/>
          <w:szCs w:val="28"/>
        </w:rPr>
      </w:pPr>
      <w:r>
        <w:rPr>
          <w:rFonts w:ascii="Arial" w:hAnsi="Arial" w:cs="Arial"/>
          <w:b/>
          <w:sz w:val="28"/>
          <w:szCs w:val="28"/>
        </w:rPr>
        <w:t>Stock Review T</w:t>
      </w:r>
      <w:r w:rsidRPr="00A6611F">
        <w:rPr>
          <w:rFonts w:ascii="Arial" w:hAnsi="Arial" w:cs="Arial"/>
          <w:b/>
          <w:sz w:val="28"/>
          <w:szCs w:val="28"/>
        </w:rPr>
        <w:t>emplate</w:t>
      </w:r>
      <w:r w:rsidR="005435BE" w:rsidRPr="005435BE">
        <w:rPr>
          <w:rStyle w:val="SubtleReference"/>
          <w:rFonts w:ascii="Arial" w:eastAsiaTheme="majorEastAsia" w:hAnsi="Arial" w:cs="Arial"/>
          <w:b/>
          <w:smallCaps w:val="0"/>
          <w:color w:val="auto"/>
          <w:sz w:val="32"/>
          <w:szCs w:val="28"/>
        </w:rPr>
        <w:t xml:space="preserve"> </w:t>
      </w:r>
    </w:p>
    <w:p w14:paraId="65902F7E" w14:textId="77777777" w:rsidR="005435BE" w:rsidRPr="00B01CB8" w:rsidRDefault="005435BE" w:rsidP="005435BE">
      <w:pPr>
        <w:pStyle w:val="Heading2"/>
        <w:rPr>
          <w:rStyle w:val="SubtleReference"/>
          <w:rFonts w:ascii="Arial" w:hAnsi="Arial" w:cs="Arial"/>
          <w:b/>
          <w:smallCaps w:val="0"/>
          <w:color w:val="auto"/>
          <w:sz w:val="32"/>
          <w:szCs w:val="28"/>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26"/>
        <w:gridCol w:w="208"/>
        <w:gridCol w:w="6421"/>
      </w:tblGrid>
      <w:tr w:rsidR="000D6A30" w:rsidRPr="00FB6875" w14:paraId="7BB7C1D4" w14:textId="77777777" w:rsidTr="00547CC0">
        <w:tc>
          <w:tcPr>
            <w:tcW w:w="9355" w:type="dxa"/>
            <w:gridSpan w:val="3"/>
          </w:tcPr>
          <w:p w14:paraId="30B3C5CB" w14:textId="77777777" w:rsidR="000D6A30" w:rsidRPr="00FB6875" w:rsidRDefault="000D6A30" w:rsidP="00733B9E">
            <w:pPr>
              <w:jc w:val="center"/>
              <w:rPr>
                <w:b/>
                <w:color w:val="FF0000"/>
              </w:rPr>
            </w:pPr>
            <w:r w:rsidRPr="00FB6875">
              <w:rPr>
                <w:b/>
              </w:rPr>
              <w:t xml:space="preserve">[Area for the </w:t>
            </w:r>
            <w:r w:rsidRPr="00FB6875">
              <w:rPr>
                <w:b/>
                <w:bCs/>
              </w:rPr>
              <w:t>Departmental</w:t>
            </w:r>
            <w:r>
              <w:rPr>
                <w:b/>
                <w:bCs/>
              </w:rPr>
              <w:t>/Agency</w:t>
            </w:r>
            <w:r w:rsidRPr="00FB6875">
              <w:rPr>
                <w:b/>
                <w:bCs/>
              </w:rPr>
              <w:t xml:space="preserve"> Banner</w:t>
            </w:r>
            <w:r w:rsidRPr="00FB6875">
              <w:rPr>
                <w:b/>
              </w:rPr>
              <w:t>]</w:t>
            </w:r>
          </w:p>
        </w:tc>
      </w:tr>
      <w:tr w:rsidR="000D6A30" w:rsidRPr="00FB6875" w14:paraId="68523302" w14:textId="77777777" w:rsidTr="00614B8B">
        <w:tc>
          <w:tcPr>
            <w:tcW w:w="9355" w:type="dxa"/>
            <w:gridSpan w:val="3"/>
          </w:tcPr>
          <w:p w14:paraId="5393CDFD" w14:textId="77777777" w:rsidR="000D6A30" w:rsidRPr="00FB6875" w:rsidRDefault="000D6A30" w:rsidP="00733B9E">
            <w:pPr>
              <w:rPr>
                <w:b/>
                <w:color w:val="FF0000"/>
              </w:rPr>
            </w:pPr>
            <w:r w:rsidRPr="00FB6875">
              <w:rPr>
                <w:b/>
              </w:rPr>
              <w:t xml:space="preserve">[Area for the </w:t>
            </w:r>
            <w:r w:rsidRPr="00FB6875">
              <w:rPr>
                <w:b/>
                <w:bCs/>
              </w:rPr>
              <w:t>Breadcrumbs</w:t>
            </w:r>
            <w:r w:rsidRPr="00FB6875">
              <w:rPr>
                <w:b/>
              </w:rPr>
              <w:t>]</w:t>
            </w:r>
          </w:p>
        </w:tc>
      </w:tr>
      <w:tr w:rsidR="000D6A30" w:rsidRPr="00FB6875" w14:paraId="16D4A63C" w14:textId="77777777" w:rsidTr="008817D5">
        <w:tc>
          <w:tcPr>
            <w:tcW w:w="2726" w:type="dxa"/>
          </w:tcPr>
          <w:p w14:paraId="347BB43C" w14:textId="77777777" w:rsidR="000D6A30" w:rsidRPr="00FB6875" w:rsidRDefault="000D6A30" w:rsidP="00733B9E">
            <w:pPr>
              <w:rPr>
                <w:b/>
                <w:color w:val="FF0000"/>
              </w:rPr>
            </w:pPr>
            <w:r w:rsidRPr="00FB6875">
              <w:rPr>
                <w:b/>
              </w:rPr>
              <w:t>[Area for the Departmental</w:t>
            </w:r>
            <w:r>
              <w:rPr>
                <w:b/>
              </w:rPr>
              <w:t>/Agency</w:t>
            </w:r>
            <w:r w:rsidRPr="00FB6875">
              <w:rPr>
                <w:b/>
              </w:rPr>
              <w:t xml:space="preserve"> Navigation]</w:t>
            </w:r>
          </w:p>
        </w:tc>
        <w:tc>
          <w:tcPr>
            <w:tcW w:w="6624" w:type="dxa"/>
            <w:gridSpan w:val="2"/>
          </w:tcPr>
          <w:p w14:paraId="08BE39D7" w14:textId="7AF484C4" w:rsidR="000D6A30" w:rsidRPr="00FB6875" w:rsidRDefault="000D6A30" w:rsidP="00733B9E">
            <w:pPr>
              <w:rPr>
                <w:b/>
              </w:rPr>
            </w:pPr>
            <w:r>
              <w:rPr>
                <w:b/>
              </w:rPr>
              <w:t xml:space="preserve">Regulatory Stock Review Plan </w:t>
            </w:r>
          </w:p>
          <w:p w14:paraId="04BDB0FF" w14:textId="77777777" w:rsidR="000D6A30" w:rsidRPr="00FB6875" w:rsidRDefault="000D6A30" w:rsidP="00733B9E">
            <w:pPr>
              <w:rPr>
                <w:b/>
              </w:rPr>
            </w:pPr>
          </w:p>
          <w:p w14:paraId="7C3BC97A" w14:textId="6A3545A1" w:rsidR="000D6A30" w:rsidRPr="00FB6875" w:rsidRDefault="000D6A30" w:rsidP="00733B9E">
            <w:pPr>
              <w:rPr>
                <w:b/>
              </w:rPr>
            </w:pPr>
            <w:r>
              <w:t>This</w:t>
            </w:r>
            <w:r w:rsidRPr="00FB6875">
              <w:t xml:space="preserve"> </w:t>
            </w:r>
            <w:r>
              <w:t>Regulatory Stock Review</w:t>
            </w:r>
            <w:r w:rsidRPr="00FB6875">
              <w:t xml:space="preserve"> Plan is a public list and description of </w:t>
            </w:r>
            <w:r>
              <w:t xml:space="preserve">planned reviews of regulations </w:t>
            </w:r>
            <w:r w:rsidRPr="00FB6875">
              <w:t xml:space="preserve">that </w:t>
            </w:r>
            <w:r w:rsidRPr="00FB6875">
              <w:rPr>
                <w:b/>
              </w:rPr>
              <w:t>[insert department</w:t>
            </w:r>
            <w:r>
              <w:rPr>
                <w:b/>
              </w:rPr>
              <w:t>/agency</w:t>
            </w:r>
            <w:r w:rsidRPr="00FB6875">
              <w:rPr>
                <w:b/>
              </w:rPr>
              <w:t xml:space="preserve"> name] </w:t>
            </w:r>
            <w:r w:rsidRPr="00547CC0">
              <w:t>is proposing within</w:t>
            </w:r>
            <w:r w:rsidRPr="00FB6875">
              <w:t xml:space="preserve"> a</w:t>
            </w:r>
            <w:r>
              <w:t xml:space="preserve"> </w:t>
            </w:r>
            <w:r w:rsidRPr="00FB6875">
              <w:rPr>
                <w:b/>
              </w:rPr>
              <w:t>[</w:t>
            </w:r>
            <w:r w:rsidRPr="00C50B82">
              <w:rPr>
                <w:b/>
              </w:rPr>
              <w:t>insert X year period</w:t>
            </w:r>
            <w:r w:rsidRPr="00FB6875">
              <w:rPr>
                <w:b/>
              </w:rPr>
              <w:t>]</w:t>
            </w:r>
            <w:r w:rsidRPr="00FB6875">
              <w:t xml:space="preserve">. It is intended to give Canadians, including businesses and </w:t>
            </w:r>
            <w:r>
              <w:t>I</w:t>
            </w:r>
            <w:r w:rsidRPr="00FB6875">
              <w:t xml:space="preserve">ndigenous peoples, and trading partners, greater opportunity to inform </w:t>
            </w:r>
            <w:r>
              <w:t>the reviews of r</w:t>
            </w:r>
            <w:r w:rsidRPr="00FB6875">
              <w:t xml:space="preserve">egulations and to plan for the future. </w:t>
            </w:r>
            <w:r w:rsidRPr="004A5D97">
              <w:rPr>
                <w:b/>
              </w:rPr>
              <w:t xml:space="preserve">[Department </w:t>
            </w:r>
            <w:r>
              <w:rPr>
                <w:b/>
              </w:rPr>
              <w:t>can</w:t>
            </w:r>
            <w:r w:rsidRPr="004A5D97">
              <w:rPr>
                <w:b/>
              </w:rPr>
              <w:t xml:space="preserve"> insert a sentence or two on how the </w:t>
            </w:r>
            <w:r>
              <w:rPr>
                <w:b/>
              </w:rPr>
              <w:t>stock review plan</w:t>
            </w:r>
            <w:r w:rsidRPr="004A5D97">
              <w:rPr>
                <w:b/>
              </w:rPr>
              <w:t xml:space="preserve"> is</w:t>
            </w:r>
            <w:r w:rsidR="00826F92">
              <w:rPr>
                <w:b/>
              </w:rPr>
              <w:t xml:space="preserve"> </w:t>
            </w:r>
            <w:r w:rsidR="00EA469D" w:rsidRPr="004A5D97">
              <w:rPr>
                <w:b/>
              </w:rPr>
              <w:t>developed</w:t>
            </w:r>
            <w:r w:rsidR="00EA469D">
              <w:rPr>
                <w:b/>
              </w:rPr>
              <w:t xml:space="preserve"> and prioritized</w:t>
            </w:r>
            <w:r w:rsidRPr="004A5D97">
              <w:rPr>
                <w:b/>
              </w:rPr>
              <w:t>]</w:t>
            </w:r>
          </w:p>
          <w:p w14:paraId="1CAD38EB" w14:textId="77777777" w:rsidR="000D6A30" w:rsidRPr="00FB6875" w:rsidRDefault="000D6A30" w:rsidP="00733B9E">
            <w:pPr>
              <w:rPr>
                <w:b/>
              </w:rPr>
            </w:pPr>
          </w:p>
          <w:p w14:paraId="4B789927" w14:textId="1C80DB8D" w:rsidR="000D6A30" w:rsidRPr="00547CC0" w:rsidRDefault="000D6A30" w:rsidP="00733B9E">
            <w:pPr>
              <w:rPr>
                <w:b/>
              </w:rPr>
            </w:pPr>
            <w:r>
              <w:t xml:space="preserve">The </w:t>
            </w:r>
            <w:r w:rsidR="00C50B82">
              <w:t>stock r</w:t>
            </w:r>
            <w:r w:rsidR="00547CC0">
              <w:t>eview</w:t>
            </w:r>
            <w:r>
              <w:t xml:space="preserve"> </w:t>
            </w:r>
            <w:r w:rsidR="00C50B82">
              <w:t>p</w:t>
            </w:r>
            <w:r>
              <w:t xml:space="preserve">lan </w:t>
            </w:r>
            <w:r w:rsidRPr="00FB6875">
              <w:t xml:space="preserve">identifies </w:t>
            </w:r>
            <w:r w:rsidRPr="005D2E18">
              <w:t xml:space="preserve">a </w:t>
            </w:r>
            <w:r w:rsidRPr="005D2E18">
              <w:rPr>
                <w:b/>
              </w:rPr>
              <w:t>[insert “departmental” or “agency”]</w:t>
            </w:r>
            <w:r w:rsidRPr="00FB6875">
              <w:t xml:space="preserve"> contact point for </w:t>
            </w:r>
            <w:r w:rsidR="00547CC0">
              <w:t>the planned review</w:t>
            </w:r>
            <w:r w:rsidR="00EA469D">
              <w:t>s</w:t>
            </w:r>
            <w:r w:rsidRPr="00FB6875">
              <w:t xml:space="preserve">. </w:t>
            </w:r>
            <w:r>
              <w:t xml:space="preserve">The </w:t>
            </w:r>
            <w:r w:rsidR="008B514F">
              <w:t xml:space="preserve">stock review plan </w:t>
            </w:r>
            <w:r w:rsidRPr="00FB6875">
              <w:t>will be a</w:t>
            </w:r>
            <w:r>
              <w:t xml:space="preserve">djusted and updated over time to reflect </w:t>
            </w:r>
            <w:r w:rsidRPr="00FB6875">
              <w:rPr>
                <w:b/>
              </w:rPr>
              <w:t>[insert department</w:t>
            </w:r>
            <w:r>
              <w:rPr>
                <w:b/>
              </w:rPr>
              <w:t>/agency</w:t>
            </w:r>
            <w:r w:rsidRPr="00FB6875">
              <w:rPr>
                <w:b/>
              </w:rPr>
              <w:t xml:space="preserve"> name]</w:t>
            </w:r>
            <w:r w:rsidRPr="00FB6875">
              <w:t xml:space="preserve">’s </w:t>
            </w:r>
            <w:r>
              <w:t>regulatory priorities and changes to the operating environment</w:t>
            </w:r>
            <w:r w:rsidRPr="00FB6875">
              <w:t>.</w:t>
            </w:r>
          </w:p>
          <w:p w14:paraId="52E7848B" w14:textId="79CF7783" w:rsidR="000D6A30" w:rsidRPr="00FB6875" w:rsidRDefault="000D6A30" w:rsidP="00733B9E"/>
        </w:tc>
      </w:tr>
      <w:tr w:rsidR="008477D9" w:rsidRPr="00FB6875" w14:paraId="177AFD37"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355" w:type="dxa"/>
            <w:gridSpan w:val="3"/>
            <w:shd w:val="clear" w:color="auto" w:fill="auto"/>
            <w:vAlign w:val="center"/>
          </w:tcPr>
          <w:p w14:paraId="374970D9" w14:textId="5E586BE7" w:rsidR="008477D9" w:rsidRPr="00CD1335" w:rsidRDefault="008477D9" w:rsidP="008477D9">
            <w:pPr>
              <w:spacing w:before="120" w:after="120"/>
              <w:jc w:val="center"/>
              <w:rPr>
                <w:b/>
              </w:rPr>
            </w:pPr>
            <w:r>
              <w:rPr>
                <w:b/>
              </w:rPr>
              <w:t>Stock Review Plan</w:t>
            </w:r>
            <w:r w:rsidRPr="00FB6875">
              <w:rPr>
                <w:b/>
              </w:rPr>
              <w:t xml:space="preserve"> [start year – finish year]</w:t>
            </w:r>
          </w:p>
        </w:tc>
      </w:tr>
      <w:tr w:rsidR="008477D9" w:rsidRPr="00FB6875" w14:paraId="1EFFE93E"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2934" w:type="dxa"/>
            <w:gridSpan w:val="2"/>
            <w:shd w:val="clear" w:color="auto" w:fill="auto"/>
          </w:tcPr>
          <w:p w14:paraId="204515BE" w14:textId="2571952D" w:rsidR="008477D9" w:rsidRPr="00FB6875" w:rsidRDefault="008477D9" w:rsidP="008477D9">
            <w:pPr>
              <w:rPr>
                <w:b/>
              </w:rPr>
            </w:pPr>
            <w:r w:rsidRPr="00CD1335">
              <w:rPr>
                <w:b/>
              </w:rPr>
              <w:t xml:space="preserve">Title or </w:t>
            </w:r>
            <w:r>
              <w:rPr>
                <w:b/>
              </w:rPr>
              <w:t>Working Title of the Regulation(s)</w:t>
            </w:r>
          </w:p>
        </w:tc>
        <w:tc>
          <w:tcPr>
            <w:tcW w:w="6421" w:type="dxa"/>
            <w:shd w:val="clear" w:color="auto" w:fill="auto"/>
          </w:tcPr>
          <w:p w14:paraId="155FD140" w14:textId="77777777" w:rsidR="008477D9" w:rsidRDefault="008477D9" w:rsidP="00733B9E">
            <w:r w:rsidRPr="00CD1335">
              <w:rPr>
                <w:b/>
              </w:rPr>
              <w:t>Requirement:</w:t>
            </w:r>
            <w:r w:rsidRPr="00CD1335">
              <w:t xml:space="preserve"> The title of the regulatory initiative must be clear and concise and reflect the nature or subject matter of the regulatory initiative or change being proposed.</w:t>
            </w:r>
          </w:p>
          <w:p w14:paraId="17EB32B5" w14:textId="77777777" w:rsidR="008477D9" w:rsidRDefault="008477D9" w:rsidP="00733B9E">
            <w:pPr>
              <w:tabs>
                <w:tab w:val="left" w:pos="1387"/>
              </w:tabs>
            </w:pPr>
            <w:r>
              <w:tab/>
            </w:r>
          </w:p>
          <w:p w14:paraId="350514E8" w14:textId="1174B06C" w:rsidR="008477D9" w:rsidRPr="00FB6875" w:rsidRDefault="008477D9" w:rsidP="00733B9E">
            <w:pPr>
              <w:rPr>
                <w:b/>
                <w:color w:val="FF0000"/>
              </w:rPr>
            </w:pPr>
          </w:p>
        </w:tc>
      </w:tr>
      <w:tr w:rsidR="008477D9" w:rsidRPr="00FB6875" w14:paraId="75579BF2"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AA3A4A5" w14:textId="77777777" w:rsidR="008477D9" w:rsidRPr="00C62E75" w:rsidRDefault="008477D9" w:rsidP="00733B9E">
            <w:pPr>
              <w:rPr>
                <w:b/>
              </w:rPr>
            </w:pPr>
            <w:r w:rsidRPr="00CD1335">
              <w:rPr>
                <w:b/>
              </w:rPr>
              <w:t>Enabling Act(s)</w:t>
            </w:r>
          </w:p>
          <w:p w14:paraId="52F045D3" w14:textId="77777777" w:rsidR="008477D9" w:rsidRPr="00C62E75" w:rsidRDefault="008477D9" w:rsidP="00733B9E">
            <w:pPr>
              <w:rPr>
                <w:b/>
              </w:rPr>
            </w:pPr>
          </w:p>
          <w:p w14:paraId="66B3A177" w14:textId="77777777" w:rsidR="008477D9" w:rsidRPr="00C62E75" w:rsidRDefault="008477D9" w:rsidP="00733B9E">
            <w:pPr>
              <w:rPr>
                <w:b/>
                <w:color w:val="FF0000"/>
              </w:rPr>
            </w:pPr>
          </w:p>
        </w:tc>
        <w:tc>
          <w:tcPr>
            <w:tcW w:w="6421" w:type="dxa"/>
            <w:shd w:val="clear" w:color="auto" w:fill="auto"/>
          </w:tcPr>
          <w:p w14:paraId="14464F10" w14:textId="028A4EC4" w:rsidR="008477D9" w:rsidRPr="00C62E75" w:rsidRDefault="008477D9" w:rsidP="00733B9E">
            <w:r w:rsidRPr="00CD1335">
              <w:rPr>
                <w:b/>
              </w:rPr>
              <w:t>Requirement:</w:t>
            </w:r>
            <w:r w:rsidRPr="00CD1335">
              <w:t xml:space="preserve"> Departments and agencies must include the title(s) of the Enabling Act(s) that provides the authority for the proposed regulat</w:t>
            </w:r>
            <w:r>
              <w:t>ion(s)</w:t>
            </w:r>
            <w:r w:rsidRPr="00CD1335">
              <w:t>.</w:t>
            </w:r>
          </w:p>
          <w:p w14:paraId="6853E3D0" w14:textId="77777777" w:rsidR="008477D9" w:rsidRPr="00C62E75" w:rsidRDefault="008477D9" w:rsidP="00733B9E">
            <w:pPr>
              <w:rPr>
                <w:b/>
                <w:color w:val="FF0000"/>
              </w:rPr>
            </w:pPr>
          </w:p>
        </w:tc>
      </w:tr>
      <w:tr w:rsidR="00614B8B" w:rsidRPr="00FB6875" w14:paraId="688A642C"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37A3F118" w14:textId="2031D077" w:rsidR="00614B8B" w:rsidRDefault="00614B8B" w:rsidP="00733B9E">
            <w:pPr>
              <w:rPr>
                <w:b/>
              </w:rPr>
            </w:pPr>
            <w:r>
              <w:rPr>
                <w:b/>
              </w:rPr>
              <w:t xml:space="preserve">Rationale </w:t>
            </w:r>
          </w:p>
        </w:tc>
        <w:tc>
          <w:tcPr>
            <w:tcW w:w="6421" w:type="dxa"/>
            <w:shd w:val="clear" w:color="auto" w:fill="auto"/>
          </w:tcPr>
          <w:p w14:paraId="2764FEA9" w14:textId="08A62B5C" w:rsidR="00614B8B" w:rsidRDefault="00614B8B" w:rsidP="00614B8B">
            <w:pPr>
              <w:rPr>
                <w:b/>
              </w:rPr>
            </w:pPr>
            <w:r>
              <w:rPr>
                <w:b/>
              </w:rPr>
              <w:t xml:space="preserve">Requirement: </w:t>
            </w:r>
            <w:r w:rsidRPr="00614B8B">
              <w:t xml:space="preserve">A line summarizing the reason for the regulatory review. </w:t>
            </w:r>
          </w:p>
        </w:tc>
      </w:tr>
      <w:tr w:rsidR="008477D9" w:rsidRPr="00FB6875" w14:paraId="4FB0923E"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3D0676A5" w14:textId="28C8E61A" w:rsidR="008477D9" w:rsidRDefault="008477D9" w:rsidP="00733B9E">
            <w:pPr>
              <w:rPr>
                <w:b/>
              </w:rPr>
            </w:pPr>
            <w:r>
              <w:rPr>
                <w:b/>
              </w:rPr>
              <w:t>Narrative</w:t>
            </w:r>
          </w:p>
          <w:p w14:paraId="3C0268CA" w14:textId="77777777" w:rsidR="008477D9" w:rsidRPr="00FB6875" w:rsidRDefault="008477D9" w:rsidP="00733B9E">
            <w:pPr>
              <w:rPr>
                <w:b/>
              </w:rPr>
            </w:pPr>
          </w:p>
          <w:p w14:paraId="437AE6D9" w14:textId="77777777" w:rsidR="008477D9" w:rsidRPr="00FB6875" w:rsidRDefault="008477D9" w:rsidP="00733B9E">
            <w:pPr>
              <w:rPr>
                <w:b/>
                <w:color w:val="FF0000"/>
              </w:rPr>
            </w:pPr>
          </w:p>
        </w:tc>
        <w:tc>
          <w:tcPr>
            <w:tcW w:w="6421" w:type="dxa"/>
            <w:shd w:val="clear" w:color="auto" w:fill="auto"/>
          </w:tcPr>
          <w:p w14:paraId="5ECF3CB0" w14:textId="5E379501" w:rsidR="00F116CC" w:rsidRDefault="008477D9" w:rsidP="00733B9E">
            <w:r>
              <w:rPr>
                <w:b/>
              </w:rPr>
              <w:t>Narrative</w:t>
            </w:r>
            <w:r w:rsidRPr="00CD1335">
              <w:rPr>
                <w:b/>
              </w:rPr>
              <w:t>:</w:t>
            </w:r>
            <w:r w:rsidRPr="00CD1335">
              <w:t xml:space="preserve"> </w:t>
            </w:r>
            <w:r w:rsidR="00F116CC">
              <w:t xml:space="preserve">For </w:t>
            </w:r>
            <w:r w:rsidR="0058291F">
              <w:t>reviews of significant regulations, d</w:t>
            </w:r>
            <w:r w:rsidRPr="00CD1335">
              <w:t xml:space="preserve">epartments and agencies </w:t>
            </w:r>
            <w:r>
              <w:t>can</w:t>
            </w:r>
            <w:r w:rsidR="0058291F">
              <w:t xml:space="preserve"> describe the</w:t>
            </w:r>
            <w:r w:rsidR="00FD63EC">
              <w:t xml:space="preserve"> </w:t>
            </w:r>
            <w:r w:rsidR="003D4A16">
              <w:t xml:space="preserve">anticipated </w:t>
            </w:r>
            <w:r w:rsidR="0058291F">
              <w:t>review process</w:t>
            </w:r>
            <w:r w:rsidRPr="00CD1335">
              <w:t xml:space="preserve"> and indicate the key objective(s) of the </w:t>
            </w:r>
            <w:r w:rsidR="0058291F">
              <w:t>review</w:t>
            </w:r>
            <w:r w:rsidRPr="00CD1335">
              <w:t>.</w:t>
            </w:r>
            <w:r w:rsidR="0058291F">
              <w:t xml:space="preserve"> This section can </w:t>
            </w:r>
            <w:r w:rsidR="00F116CC">
              <w:t xml:space="preserve">also be used to explain why a partial review of a regulation is being proposed, or why several regulatory titles are being grouped together. </w:t>
            </w:r>
          </w:p>
          <w:p w14:paraId="7E4A1BD1" w14:textId="77777777" w:rsidR="00F116CC" w:rsidRDefault="00F116CC" w:rsidP="00733B9E"/>
          <w:p w14:paraId="735EEE12" w14:textId="45395C6B" w:rsidR="00326483" w:rsidRDefault="00326483" w:rsidP="00733B9E">
            <w:r>
              <w:t xml:space="preserve">When known, departments and agencies should use this section to describe the </w:t>
            </w:r>
            <w:r w:rsidR="003D4A16">
              <w:t xml:space="preserve">planned </w:t>
            </w:r>
            <w:r>
              <w:t>approach to the review (e.g., as part of a statutory requir</w:t>
            </w:r>
            <w:r w:rsidR="00FD63EC">
              <w:t xml:space="preserve">ement for a legislative review). A “TBD” response is also appropriate. </w:t>
            </w:r>
          </w:p>
          <w:p w14:paraId="240A4201" w14:textId="77777777" w:rsidR="00FD63EC" w:rsidRDefault="00FD63EC" w:rsidP="00733B9E"/>
          <w:p w14:paraId="5CF6E806" w14:textId="673FB39B" w:rsidR="008477D9" w:rsidRPr="00CD1335" w:rsidRDefault="00F116CC" w:rsidP="00733B9E">
            <w:r>
              <w:lastRenderedPageBreak/>
              <w:t xml:space="preserve">Departments and agencies should </w:t>
            </w:r>
            <w:r w:rsidR="00326483">
              <w:t xml:space="preserve">also </w:t>
            </w:r>
            <w:r>
              <w:t>feel free use this section to communicate a rationale or policy considerations to stakeholders</w:t>
            </w:r>
            <w:r w:rsidR="00C50B82">
              <w:t>, as required</w:t>
            </w:r>
            <w:r>
              <w:t xml:space="preserve">. </w:t>
            </w:r>
          </w:p>
          <w:p w14:paraId="652ECE63" w14:textId="77777777" w:rsidR="008477D9" w:rsidRPr="00CF0AE8" w:rsidRDefault="008477D9" w:rsidP="00F116CC">
            <w:pPr>
              <w:rPr>
                <w:color w:val="FF0000"/>
              </w:rPr>
            </w:pPr>
          </w:p>
        </w:tc>
      </w:tr>
      <w:tr w:rsidR="008477D9" w:rsidRPr="00FB6875" w14:paraId="77DAC210"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082B79AC" w14:textId="1E53CD83" w:rsidR="008477D9" w:rsidRPr="00A5698A" w:rsidRDefault="008477D9" w:rsidP="008477D9">
            <w:pPr>
              <w:rPr>
                <w:b/>
              </w:rPr>
            </w:pPr>
            <w:r w:rsidRPr="00A5698A">
              <w:rPr>
                <w:b/>
              </w:rPr>
              <w:lastRenderedPageBreak/>
              <w:t>Date of last review or amendment (Year)</w:t>
            </w:r>
          </w:p>
        </w:tc>
        <w:tc>
          <w:tcPr>
            <w:tcW w:w="6421" w:type="dxa"/>
            <w:shd w:val="clear" w:color="auto" w:fill="auto"/>
          </w:tcPr>
          <w:p w14:paraId="06E770B0" w14:textId="30B51321" w:rsidR="008477D9" w:rsidRPr="00826F92" w:rsidRDefault="00826F92" w:rsidP="00826F92">
            <w:pPr>
              <w:pStyle w:val="ListParagraph"/>
              <w:ind w:left="18"/>
            </w:pPr>
            <w:r w:rsidRPr="00826F92">
              <w:rPr>
                <w:rFonts w:asciiTheme="minorHAnsi" w:eastAsiaTheme="minorHAnsi" w:hAnsiTheme="minorHAnsi" w:cstheme="minorBidi"/>
                <w:b/>
                <w:sz w:val="22"/>
                <w:szCs w:val="22"/>
              </w:rPr>
              <w:t>Note:</w:t>
            </w:r>
            <w:r w:rsidRPr="00826F92">
              <w:rPr>
                <w:rFonts w:asciiTheme="minorHAnsi" w:eastAsiaTheme="minorHAnsi" w:hAnsiTheme="minorHAnsi" w:cstheme="minorBidi"/>
                <w:sz w:val="22"/>
                <w:szCs w:val="22"/>
              </w:rPr>
              <w:t xml:space="preserve"> If only a chapter or section of the regulation(s) were reviewed</w:t>
            </w:r>
            <w:r>
              <w:rPr>
                <w:rFonts w:asciiTheme="minorHAnsi" w:eastAsiaTheme="minorHAnsi" w:hAnsiTheme="minorHAnsi" w:cstheme="minorBidi"/>
                <w:sz w:val="22"/>
                <w:szCs w:val="22"/>
              </w:rPr>
              <w:t xml:space="preserve"> last</w:t>
            </w:r>
            <w:r w:rsidRPr="00826F92">
              <w:rPr>
                <w:rFonts w:asciiTheme="minorHAnsi" w:eastAsiaTheme="minorHAnsi" w:hAnsiTheme="minorHAnsi" w:cstheme="minorBidi"/>
                <w:sz w:val="22"/>
                <w:szCs w:val="22"/>
              </w:rPr>
              <w:t>, i</w:t>
            </w:r>
            <w:r>
              <w:rPr>
                <w:rFonts w:asciiTheme="minorHAnsi" w:eastAsiaTheme="minorHAnsi" w:hAnsiTheme="minorHAnsi" w:cstheme="minorBidi"/>
                <w:sz w:val="22"/>
                <w:szCs w:val="22"/>
              </w:rPr>
              <w:t xml:space="preserve">ndicate the chapter or section, </w:t>
            </w:r>
            <w:r w:rsidRPr="00826F92">
              <w:rPr>
                <w:rFonts w:asciiTheme="minorHAnsi" w:eastAsiaTheme="minorHAnsi" w:hAnsiTheme="minorHAnsi" w:cstheme="minorBidi"/>
                <w:sz w:val="22"/>
                <w:szCs w:val="22"/>
              </w:rPr>
              <w:t>in addition to the year</w:t>
            </w:r>
            <w:r>
              <w:rPr>
                <w:rFonts w:asciiTheme="minorHAnsi" w:eastAsiaTheme="minorHAnsi" w:hAnsiTheme="minorHAnsi" w:cstheme="minorBidi"/>
                <w:sz w:val="22"/>
                <w:szCs w:val="22"/>
              </w:rPr>
              <w:t xml:space="preserve"> of that review</w:t>
            </w:r>
            <w:r w:rsidRPr="00826F92">
              <w:rPr>
                <w:rFonts w:asciiTheme="minorHAnsi" w:eastAsiaTheme="minorHAnsi" w:hAnsiTheme="minorHAnsi" w:cstheme="minorBidi"/>
                <w:sz w:val="22"/>
                <w:szCs w:val="22"/>
              </w:rPr>
              <w:t>.</w:t>
            </w:r>
            <w:r w:rsidRPr="00826F92">
              <w:t xml:space="preserve"> </w:t>
            </w:r>
          </w:p>
        </w:tc>
      </w:tr>
      <w:tr w:rsidR="008477D9" w:rsidRPr="00FB6875" w14:paraId="72D2F1E0"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7592BAD0" w14:textId="498655ED" w:rsidR="008477D9" w:rsidRPr="00A5698A" w:rsidRDefault="008477D9" w:rsidP="008477D9">
            <w:pPr>
              <w:rPr>
                <w:b/>
              </w:rPr>
            </w:pPr>
            <w:r w:rsidRPr="00A5698A">
              <w:rPr>
                <w:b/>
              </w:rPr>
              <w:t>Target</w:t>
            </w:r>
            <w:r w:rsidR="00547CC0">
              <w:rPr>
                <w:b/>
              </w:rPr>
              <w:t>ed</w:t>
            </w:r>
            <w:r w:rsidRPr="00A5698A">
              <w:rPr>
                <w:b/>
              </w:rPr>
              <w:t xml:space="preserve"> start for review (Year)</w:t>
            </w:r>
          </w:p>
        </w:tc>
        <w:tc>
          <w:tcPr>
            <w:tcW w:w="6421" w:type="dxa"/>
            <w:shd w:val="clear" w:color="auto" w:fill="auto"/>
          </w:tcPr>
          <w:p w14:paraId="1915C27D" w14:textId="588F4C59" w:rsidR="008477D9" w:rsidRPr="00CD1335" w:rsidRDefault="007F5D02" w:rsidP="007F5D02">
            <w:pPr>
              <w:pStyle w:val="ListParagraph"/>
              <w:ind w:left="18"/>
              <w:rPr>
                <w:b/>
              </w:rPr>
            </w:pPr>
            <w:r w:rsidRPr="008477D9">
              <w:rPr>
                <w:rFonts w:asciiTheme="minorHAnsi" w:eastAsiaTheme="minorHAnsi" w:hAnsiTheme="minorHAnsi" w:cstheme="minorBidi"/>
                <w:b/>
                <w:sz w:val="22"/>
                <w:szCs w:val="22"/>
              </w:rPr>
              <w:t>Requirements:</w:t>
            </w:r>
            <w:r>
              <w:rPr>
                <w:rFonts w:asciiTheme="minorHAnsi" w:eastAsiaTheme="minorHAnsi" w:hAnsiTheme="minorHAnsi" w:cstheme="minorBidi"/>
                <w:b/>
                <w:sz w:val="22"/>
                <w:szCs w:val="22"/>
              </w:rPr>
              <w:t xml:space="preserve"> </w:t>
            </w:r>
            <w:r w:rsidRPr="007F5D02">
              <w:rPr>
                <w:rFonts w:asciiTheme="minorHAnsi" w:eastAsiaTheme="minorHAnsi" w:hAnsiTheme="minorHAnsi" w:cstheme="minorBidi"/>
                <w:sz w:val="22"/>
                <w:szCs w:val="22"/>
              </w:rPr>
              <w:t>For transparency and to give stakeholders sufficient notice, a timeframe /date for the start of the review should be established.</w:t>
            </w:r>
            <w:r>
              <w:rPr>
                <w:rFonts w:asciiTheme="minorHAnsi" w:eastAsiaTheme="minorHAnsi" w:hAnsiTheme="minorHAnsi" w:cstheme="minorBidi"/>
                <w:b/>
                <w:sz w:val="22"/>
                <w:szCs w:val="22"/>
              </w:rPr>
              <w:t xml:space="preserve"> </w:t>
            </w:r>
          </w:p>
        </w:tc>
      </w:tr>
      <w:tr w:rsidR="00614B8B" w:rsidRPr="00FB6875" w14:paraId="17842865"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22828AE6" w14:textId="77777777" w:rsidR="00FD63EC" w:rsidRDefault="00614B8B" w:rsidP="008477D9">
            <w:pPr>
              <w:rPr>
                <w:b/>
              </w:rPr>
            </w:pPr>
            <w:r>
              <w:rPr>
                <w:b/>
              </w:rPr>
              <w:t xml:space="preserve">Stakeholder Feedback </w:t>
            </w:r>
          </w:p>
          <w:p w14:paraId="1BB742C7" w14:textId="05176ED4" w:rsidR="00614B8B" w:rsidRPr="00FD63EC" w:rsidRDefault="00FD63EC" w:rsidP="008477D9">
            <w:pPr>
              <w:rPr>
                <w:i/>
              </w:rPr>
            </w:pPr>
            <w:r w:rsidRPr="00FD63EC">
              <w:rPr>
                <w:i/>
              </w:rPr>
              <w:t>(once complete)</w:t>
            </w:r>
          </w:p>
        </w:tc>
        <w:tc>
          <w:tcPr>
            <w:tcW w:w="6421" w:type="dxa"/>
            <w:shd w:val="clear" w:color="auto" w:fill="auto"/>
          </w:tcPr>
          <w:p w14:paraId="60898A1B" w14:textId="05213B2A" w:rsidR="00614B8B" w:rsidRPr="00614B8B" w:rsidRDefault="00614B8B" w:rsidP="00614B8B">
            <w:pPr>
              <w:pStyle w:val="ListParagraph"/>
              <w:ind w:left="18"/>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Requirement: </w:t>
            </w:r>
            <w:r>
              <w:rPr>
                <w:rFonts w:asciiTheme="minorHAnsi" w:eastAsiaTheme="minorHAnsi" w:hAnsiTheme="minorHAnsi" w:cstheme="minorBidi"/>
                <w:sz w:val="22"/>
                <w:szCs w:val="22"/>
              </w:rPr>
              <w:t xml:space="preserve">A brief statement is included to summarize stakeholder input and/or considerations. This section is included once stakeholders are consulted on the review plan. </w:t>
            </w:r>
          </w:p>
        </w:tc>
      </w:tr>
      <w:tr w:rsidR="008477D9" w:rsidRPr="00FB6875" w14:paraId="6DDFDA9D"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4502C426" w14:textId="441172B6" w:rsidR="008477D9" w:rsidRPr="00A5698A" w:rsidRDefault="008477D9" w:rsidP="008477D9">
            <w:pPr>
              <w:rPr>
                <w:b/>
              </w:rPr>
            </w:pPr>
            <w:r w:rsidRPr="00A5698A">
              <w:rPr>
                <w:b/>
              </w:rPr>
              <w:t xml:space="preserve">Outcomes </w:t>
            </w:r>
            <w:r w:rsidR="00FD63EC" w:rsidRPr="00FD63EC">
              <w:rPr>
                <w:i/>
              </w:rPr>
              <w:t>(once complete)</w:t>
            </w:r>
          </w:p>
          <w:p w14:paraId="60C6BA65" w14:textId="77777777" w:rsidR="002E4ED1" w:rsidRDefault="002E4ED1" w:rsidP="002E4ED1">
            <w:pPr>
              <w:pStyle w:val="ListParagraph"/>
              <w:numPr>
                <w:ilvl w:val="0"/>
                <w:numId w:val="8"/>
              </w:numPr>
              <w:rPr>
                <w:rFonts w:asciiTheme="minorHAnsi" w:eastAsiaTheme="minorHAnsi" w:hAnsiTheme="minorHAnsi" w:cstheme="minorBidi"/>
                <w:sz w:val="22"/>
                <w:szCs w:val="22"/>
              </w:rPr>
            </w:pPr>
            <w:r>
              <w:rPr>
                <w:rFonts w:asciiTheme="minorHAnsi" w:eastAsiaTheme="minorHAnsi" w:hAnsiTheme="minorHAnsi" w:cstheme="minorBidi"/>
                <w:sz w:val="22"/>
                <w:szCs w:val="22"/>
              </w:rPr>
              <w:t>Reviewed and confirmed</w:t>
            </w:r>
          </w:p>
          <w:p w14:paraId="268F382F" w14:textId="5C31912A" w:rsidR="008477D9" w:rsidRPr="00496420" w:rsidRDefault="002E4ED1" w:rsidP="002E4ED1">
            <w:pPr>
              <w:pStyle w:val="ListParagraph"/>
              <w:numPr>
                <w:ilvl w:val="0"/>
                <w:numId w:val="8"/>
              </w:numPr>
              <w:rPr>
                <w:rFonts w:asciiTheme="minorHAnsi" w:eastAsiaTheme="minorHAnsi" w:hAnsiTheme="minorHAnsi" w:cstheme="minorBidi"/>
                <w:sz w:val="22"/>
                <w:szCs w:val="22"/>
              </w:rPr>
            </w:pPr>
            <w:r>
              <w:rPr>
                <w:rFonts w:asciiTheme="minorHAnsi" w:eastAsiaTheme="minorHAnsi" w:hAnsiTheme="minorHAnsi" w:cstheme="minorBidi"/>
                <w:sz w:val="22"/>
                <w:szCs w:val="22"/>
              </w:rPr>
              <w:t>Amended</w:t>
            </w:r>
          </w:p>
          <w:p w14:paraId="5F6B3A84" w14:textId="720ABFCB" w:rsidR="008477D9" w:rsidRPr="00496420" w:rsidRDefault="002E4ED1" w:rsidP="00496420">
            <w:pPr>
              <w:pStyle w:val="ListParagraph"/>
              <w:numPr>
                <w:ilvl w:val="0"/>
                <w:numId w:val="8"/>
              </w:numPr>
              <w:rPr>
                <w:rFonts w:asciiTheme="minorHAnsi" w:eastAsiaTheme="minorHAnsi" w:hAnsiTheme="minorHAnsi" w:cstheme="minorBidi"/>
                <w:sz w:val="22"/>
                <w:szCs w:val="22"/>
              </w:rPr>
            </w:pPr>
            <w:r>
              <w:rPr>
                <w:rFonts w:asciiTheme="minorHAnsi" w:eastAsiaTheme="minorHAnsi" w:hAnsiTheme="minorHAnsi" w:cstheme="minorBidi"/>
                <w:sz w:val="22"/>
                <w:szCs w:val="22"/>
              </w:rPr>
              <w:t>Removed</w:t>
            </w:r>
          </w:p>
          <w:p w14:paraId="16915B78" w14:textId="3666BE3C" w:rsidR="008477D9" w:rsidRPr="00496420" w:rsidRDefault="002E4ED1" w:rsidP="00496420">
            <w:pPr>
              <w:pStyle w:val="ListParagraph"/>
              <w:numPr>
                <w:ilvl w:val="0"/>
                <w:numId w:val="8"/>
              </w:numPr>
              <w:rPr>
                <w:b/>
                <w:color w:val="FF0000"/>
              </w:rPr>
            </w:pPr>
            <w:r>
              <w:rPr>
                <w:rFonts w:asciiTheme="minorHAnsi" w:eastAsiaTheme="minorHAnsi" w:hAnsiTheme="minorHAnsi" w:cstheme="minorBidi"/>
                <w:sz w:val="22"/>
                <w:szCs w:val="22"/>
              </w:rPr>
              <w:t>Replaced</w:t>
            </w:r>
          </w:p>
        </w:tc>
        <w:tc>
          <w:tcPr>
            <w:tcW w:w="6421" w:type="dxa"/>
            <w:shd w:val="clear" w:color="auto" w:fill="auto"/>
          </w:tcPr>
          <w:p w14:paraId="616ECA48" w14:textId="2A4C9E8C" w:rsidR="008477D9" w:rsidRPr="008477D9" w:rsidRDefault="008477D9" w:rsidP="00733B9E">
            <w:pPr>
              <w:pStyle w:val="ListParagraph"/>
              <w:ind w:left="18"/>
              <w:rPr>
                <w:rFonts w:asciiTheme="minorHAnsi" w:eastAsiaTheme="minorHAnsi" w:hAnsiTheme="minorHAnsi" w:cstheme="minorBidi"/>
                <w:sz w:val="22"/>
                <w:szCs w:val="22"/>
              </w:rPr>
            </w:pPr>
            <w:r w:rsidRPr="008477D9">
              <w:rPr>
                <w:rFonts w:asciiTheme="minorHAnsi" w:eastAsiaTheme="minorHAnsi" w:hAnsiTheme="minorHAnsi" w:cstheme="minorBidi"/>
                <w:b/>
                <w:sz w:val="22"/>
                <w:szCs w:val="22"/>
              </w:rPr>
              <w:t xml:space="preserve">Requirements: </w:t>
            </w:r>
            <w:r w:rsidRPr="008477D9">
              <w:rPr>
                <w:rFonts w:asciiTheme="minorHAnsi" w:eastAsiaTheme="minorHAnsi" w:hAnsiTheme="minorHAnsi" w:cstheme="minorBidi"/>
                <w:sz w:val="22"/>
                <w:szCs w:val="22"/>
              </w:rPr>
              <w:t xml:space="preserve">A brief statement is included to describe </w:t>
            </w:r>
            <w:r w:rsidR="002E4ED1">
              <w:rPr>
                <w:rFonts w:asciiTheme="minorHAnsi" w:eastAsiaTheme="minorHAnsi" w:hAnsiTheme="minorHAnsi" w:cstheme="minorBidi"/>
                <w:sz w:val="22"/>
                <w:szCs w:val="22"/>
              </w:rPr>
              <w:t>the outcomes for the regulation(</w:t>
            </w:r>
            <w:r w:rsidRPr="008477D9">
              <w:rPr>
                <w:rFonts w:asciiTheme="minorHAnsi" w:eastAsiaTheme="minorHAnsi" w:hAnsiTheme="minorHAnsi" w:cstheme="minorBidi"/>
                <w:sz w:val="22"/>
                <w:szCs w:val="22"/>
              </w:rPr>
              <w:t>s</w:t>
            </w:r>
            <w:r w:rsidR="002E4ED1">
              <w:rPr>
                <w:rFonts w:asciiTheme="minorHAnsi" w:eastAsiaTheme="minorHAnsi" w:hAnsiTheme="minorHAnsi" w:cstheme="minorBidi"/>
                <w:sz w:val="22"/>
                <w:szCs w:val="22"/>
              </w:rPr>
              <w:t>)</w:t>
            </w:r>
            <w:r w:rsidRPr="008477D9">
              <w:rPr>
                <w:rFonts w:asciiTheme="minorHAnsi" w:eastAsiaTheme="minorHAnsi" w:hAnsiTheme="minorHAnsi" w:cstheme="minorBidi"/>
                <w:sz w:val="22"/>
                <w:szCs w:val="22"/>
              </w:rPr>
              <w:t xml:space="preserve">. </w:t>
            </w:r>
            <w:r w:rsidR="00547CC0">
              <w:rPr>
                <w:rFonts w:asciiTheme="minorHAnsi" w:eastAsiaTheme="minorHAnsi" w:hAnsiTheme="minorHAnsi" w:cstheme="minorBidi"/>
                <w:sz w:val="22"/>
                <w:szCs w:val="22"/>
              </w:rPr>
              <w:t xml:space="preserve">This section is included once the review is complete. </w:t>
            </w:r>
          </w:p>
          <w:p w14:paraId="72531521" w14:textId="77777777" w:rsidR="008477D9" w:rsidRDefault="008477D9" w:rsidP="00733B9E">
            <w:pPr>
              <w:pStyle w:val="ListParagraph"/>
              <w:ind w:left="18"/>
            </w:pPr>
          </w:p>
          <w:p w14:paraId="5C421300" w14:textId="77777777" w:rsidR="008477D9" w:rsidRPr="00FB6875" w:rsidRDefault="008477D9" w:rsidP="008477D9">
            <w:pPr>
              <w:pStyle w:val="ListParagraph"/>
              <w:ind w:left="18"/>
            </w:pPr>
          </w:p>
        </w:tc>
      </w:tr>
      <w:tr w:rsidR="008477D9" w:rsidRPr="00FB6875" w14:paraId="2D7DFBE3"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705706F" w14:textId="77777777" w:rsidR="008477D9" w:rsidRPr="00946AE5" w:rsidRDefault="008477D9" w:rsidP="00733B9E">
            <w:pPr>
              <w:rPr>
                <w:b/>
              </w:rPr>
            </w:pPr>
            <w:r w:rsidRPr="00946AE5">
              <w:rPr>
                <w:b/>
              </w:rPr>
              <w:t>For further information</w:t>
            </w:r>
          </w:p>
          <w:p w14:paraId="06B7335C" w14:textId="77777777" w:rsidR="008477D9" w:rsidRPr="00946AE5" w:rsidRDefault="008477D9" w:rsidP="00733B9E">
            <w:pPr>
              <w:rPr>
                <w:b/>
              </w:rPr>
            </w:pPr>
          </w:p>
        </w:tc>
        <w:tc>
          <w:tcPr>
            <w:tcW w:w="6421" w:type="dxa"/>
            <w:shd w:val="clear" w:color="auto" w:fill="auto"/>
          </w:tcPr>
          <w:p w14:paraId="76FEF15A" w14:textId="031C0FF6" w:rsidR="008477D9" w:rsidRPr="00946AE5" w:rsidRDefault="008477D9" w:rsidP="00547CC0">
            <w:pPr>
              <w:rPr>
                <w:lang w:val="en"/>
              </w:rPr>
            </w:pPr>
            <w:r w:rsidRPr="00946AE5">
              <w:rPr>
                <w:b/>
              </w:rPr>
              <w:t>Requirements:</w:t>
            </w:r>
            <w:r w:rsidRPr="00946AE5">
              <w:t xml:space="preserve"> For ease of reference by stakeholders, departments and agencies should provide hyperlinks to additional information such as data, research, or analysis related to the </w:t>
            </w:r>
            <w:r w:rsidR="00547CC0">
              <w:t>review</w:t>
            </w:r>
            <w:r w:rsidRPr="00946AE5">
              <w:t xml:space="preserve">. </w:t>
            </w:r>
          </w:p>
        </w:tc>
      </w:tr>
      <w:tr w:rsidR="008477D9" w:rsidRPr="00FB6875" w14:paraId="62789B8B"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5350669" w14:textId="77777777" w:rsidR="008477D9" w:rsidRPr="00946AE5" w:rsidRDefault="008477D9" w:rsidP="00733B9E">
            <w:pPr>
              <w:rPr>
                <w:b/>
              </w:rPr>
            </w:pPr>
            <w:r w:rsidRPr="00946AE5">
              <w:rPr>
                <w:b/>
              </w:rPr>
              <w:t>Departmental or agency contact:</w:t>
            </w:r>
          </w:p>
        </w:tc>
        <w:tc>
          <w:tcPr>
            <w:tcW w:w="6421" w:type="dxa"/>
            <w:shd w:val="clear" w:color="auto" w:fill="auto"/>
          </w:tcPr>
          <w:p w14:paraId="6E43C6E7" w14:textId="18D170D3" w:rsidR="008477D9" w:rsidRPr="00946AE5" w:rsidRDefault="008477D9" w:rsidP="00733B9E">
            <w:r w:rsidRPr="00946AE5">
              <w:rPr>
                <w:b/>
              </w:rPr>
              <w:t>Requirements:</w:t>
            </w:r>
            <w:r w:rsidRPr="00946AE5">
              <w:t xml:space="preserve"> Departments and agencies </w:t>
            </w:r>
            <w:r w:rsidR="00547CC0">
              <w:t>should</w:t>
            </w:r>
            <w:r w:rsidRPr="00946AE5">
              <w:t xml:space="preserve"> provide a contact point for an official that has the knowledge necessary to respond to questions from the public on that initiative.</w:t>
            </w:r>
          </w:p>
          <w:p w14:paraId="3932872D" w14:textId="77777777" w:rsidR="008477D9" w:rsidRPr="00946AE5" w:rsidRDefault="008477D9" w:rsidP="00733B9E"/>
        </w:tc>
      </w:tr>
    </w:tbl>
    <w:p w14:paraId="4C3C641E" w14:textId="77777777" w:rsidR="005435BE" w:rsidRDefault="005435BE" w:rsidP="00C840C8">
      <w:pPr>
        <w:pStyle w:val="Heading2"/>
        <w:rPr>
          <w:rFonts w:ascii="Arial" w:eastAsiaTheme="minorHAnsi" w:hAnsi="Arial" w:cs="Arial"/>
          <w:b/>
          <w:color w:val="auto"/>
          <w:sz w:val="28"/>
          <w:szCs w:val="28"/>
        </w:rPr>
      </w:pPr>
    </w:p>
    <w:p w14:paraId="43D9A3F9" w14:textId="77777777" w:rsidR="005435BE" w:rsidRDefault="005435BE" w:rsidP="00C840C8">
      <w:pPr>
        <w:pStyle w:val="Heading2"/>
        <w:rPr>
          <w:rFonts w:ascii="Arial" w:eastAsiaTheme="minorHAnsi" w:hAnsi="Arial" w:cs="Arial"/>
          <w:b/>
          <w:color w:val="auto"/>
          <w:sz w:val="28"/>
          <w:szCs w:val="28"/>
        </w:rPr>
      </w:pPr>
    </w:p>
    <w:p w14:paraId="0F744F77" w14:textId="77777777" w:rsidR="005435BE" w:rsidRDefault="005435BE" w:rsidP="00C840C8">
      <w:pPr>
        <w:pStyle w:val="Heading2"/>
        <w:rPr>
          <w:rFonts w:ascii="Arial" w:eastAsiaTheme="minorHAnsi" w:hAnsi="Arial" w:cs="Arial"/>
          <w:b/>
          <w:color w:val="auto"/>
          <w:sz w:val="28"/>
          <w:szCs w:val="28"/>
        </w:rPr>
      </w:pPr>
    </w:p>
    <w:p w14:paraId="7C19510F" w14:textId="77777777" w:rsidR="005435BE" w:rsidRDefault="005435BE" w:rsidP="00C840C8">
      <w:pPr>
        <w:pStyle w:val="Heading2"/>
        <w:rPr>
          <w:rFonts w:ascii="Arial" w:eastAsiaTheme="minorHAnsi" w:hAnsi="Arial" w:cs="Arial"/>
          <w:b/>
          <w:color w:val="auto"/>
          <w:sz w:val="28"/>
          <w:szCs w:val="28"/>
        </w:rPr>
      </w:pPr>
    </w:p>
    <w:p w14:paraId="72479B91" w14:textId="77777777" w:rsidR="005435BE" w:rsidRDefault="005435BE" w:rsidP="00C840C8">
      <w:pPr>
        <w:pStyle w:val="Heading2"/>
        <w:rPr>
          <w:rFonts w:ascii="Arial" w:eastAsiaTheme="minorHAnsi" w:hAnsi="Arial" w:cs="Arial"/>
          <w:b/>
          <w:color w:val="auto"/>
          <w:sz w:val="28"/>
          <w:szCs w:val="28"/>
        </w:rPr>
      </w:pPr>
    </w:p>
    <w:p w14:paraId="20B27E5A" w14:textId="77777777" w:rsidR="005435BE" w:rsidRDefault="005435BE">
      <w:pPr>
        <w:rPr>
          <w:rFonts w:ascii="Arial" w:hAnsi="Arial" w:cs="Arial"/>
          <w:b/>
          <w:sz w:val="28"/>
          <w:szCs w:val="28"/>
        </w:rPr>
      </w:pPr>
      <w:r>
        <w:rPr>
          <w:rFonts w:ascii="Arial" w:hAnsi="Arial" w:cs="Arial"/>
          <w:b/>
          <w:sz w:val="28"/>
          <w:szCs w:val="28"/>
        </w:rPr>
        <w:br w:type="page"/>
      </w:r>
    </w:p>
    <w:p w14:paraId="7FA23E2D" w14:textId="72862E7E" w:rsidR="00BD2EF1" w:rsidRPr="007049EE" w:rsidRDefault="00C840C8" w:rsidP="00C840C8">
      <w:pPr>
        <w:pStyle w:val="Heading2"/>
        <w:rPr>
          <w:rFonts w:ascii="Arial" w:eastAsiaTheme="minorHAnsi" w:hAnsi="Arial" w:cs="Arial"/>
          <w:b/>
          <w:color w:val="auto"/>
          <w:sz w:val="28"/>
          <w:szCs w:val="28"/>
        </w:rPr>
      </w:pPr>
      <w:r w:rsidRPr="007049EE">
        <w:rPr>
          <w:rFonts w:ascii="Arial" w:eastAsiaTheme="minorHAnsi" w:hAnsi="Arial" w:cs="Arial"/>
          <w:b/>
          <w:color w:val="auto"/>
          <w:sz w:val="28"/>
          <w:szCs w:val="28"/>
        </w:rPr>
        <w:lastRenderedPageBreak/>
        <w:t xml:space="preserve">Appendix </w:t>
      </w:r>
      <w:r w:rsidR="005435BE">
        <w:rPr>
          <w:rFonts w:ascii="Arial" w:eastAsiaTheme="minorHAnsi" w:hAnsi="Arial" w:cs="Arial"/>
          <w:b/>
          <w:color w:val="auto"/>
          <w:sz w:val="28"/>
          <w:szCs w:val="28"/>
        </w:rPr>
        <w:t>B</w:t>
      </w:r>
      <w:r w:rsidR="00BD2EF1" w:rsidRPr="007049EE">
        <w:rPr>
          <w:rFonts w:ascii="Arial" w:eastAsiaTheme="minorHAnsi" w:hAnsi="Arial" w:cs="Arial"/>
          <w:b/>
          <w:color w:val="auto"/>
          <w:sz w:val="28"/>
          <w:szCs w:val="28"/>
        </w:rPr>
        <w:t xml:space="preserve">: </w:t>
      </w:r>
      <w:r w:rsidR="00AA1F0A" w:rsidRPr="007049EE">
        <w:rPr>
          <w:rFonts w:ascii="Arial" w:eastAsiaTheme="minorHAnsi" w:hAnsi="Arial" w:cs="Arial"/>
          <w:b/>
          <w:color w:val="auto"/>
          <w:sz w:val="28"/>
          <w:szCs w:val="28"/>
        </w:rPr>
        <w:t xml:space="preserve"> </w:t>
      </w:r>
      <w:r w:rsidR="00BD2EF1" w:rsidRPr="007049EE">
        <w:rPr>
          <w:rFonts w:ascii="Arial" w:eastAsiaTheme="minorHAnsi" w:hAnsi="Arial" w:cs="Arial"/>
          <w:b/>
          <w:color w:val="auto"/>
          <w:sz w:val="28"/>
          <w:szCs w:val="28"/>
        </w:rPr>
        <w:t xml:space="preserve">Guiding Questions for </w:t>
      </w:r>
      <w:r w:rsidR="00AA1F0A" w:rsidRPr="007049EE">
        <w:rPr>
          <w:rFonts w:ascii="Arial" w:eastAsiaTheme="minorHAnsi" w:hAnsi="Arial" w:cs="Arial"/>
          <w:b/>
          <w:color w:val="auto"/>
          <w:sz w:val="28"/>
          <w:szCs w:val="28"/>
        </w:rPr>
        <w:t xml:space="preserve">a </w:t>
      </w:r>
      <w:r w:rsidR="00BD2EF1" w:rsidRPr="007049EE">
        <w:rPr>
          <w:rFonts w:ascii="Arial" w:eastAsiaTheme="minorHAnsi" w:hAnsi="Arial" w:cs="Arial"/>
          <w:b/>
          <w:color w:val="auto"/>
          <w:sz w:val="28"/>
          <w:szCs w:val="28"/>
        </w:rPr>
        <w:t xml:space="preserve">Regulatory Review </w:t>
      </w:r>
    </w:p>
    <w:p w14:paraId="0B9ADA33" w14:textId="3733F86D" w:rsidR="00C840C8" w:rsidRDefault="00C840C8" w:rsidP="007049EE"/>
    <w:p w14:paraId="5FDEF5F9" w14:textId="1319942E" w:rsidR="00A6611F" w:rsidRDefault="007311AE" w:rsidP="00BD2EF1">
      <w:pPr>
        <w:rPr>
          <w:rFonts w:ascii="Arial" w:hAnsi="Arial" w:cs="Arial"/>
          <w:sz w:val="24"/>
          <w:szCs w:val="24"/>
        </w:rPr>
      </w:pPr>
      <w:r w:rsidRPr="007311AE">
        <w:rPr>
          <w:rFonts w:ascii="Arial" w:hAnsi="Arial" w:cs="Arial"/>
          <w:sz w:val="24"/>
          <w:szCs w:val="24"/>
        </w:rPr>
        <w:t>Reviewing a regulation may require dedicated resources but is a necessary step for the successful implementation of the lifecycle approach</w:t>
      </w:r>
      <w:r w:rsidR="007049EE" w:rsidRPr="00A6611F">
        <w:rPr>
          <w:rFonts w:ascii="Arial" w:hAnsi="Arial" w:cs="Arial"/>
          <w:sz w:val="24"/>
          <w:szCs w:val="24"/>
        </w:rPr>
        <w:t>.</w:t>
      </w:r>
      <w:r w:rsidR="00A6611F">
        <w:rPr>
          <w:rFonts w:ascii="Arial" w:hAnsi="Arial" w:cs="Arial"/>
          <w:sz w:val="24"/>
          <w:szCs w:val="24"/>
        </w:rPr>
        <w:t xml:space="preserve"> Below are a set of questions that can be considered by regulators undertaking a review exercise to help identify and analyse impacts and outcomes. These questions can be part of the methodological framework and systematic plan developed by a regulator for the review, and will help meet the review requirements set out in </w:t>
      </w:r>
      <w:r w:rsidR="00A6611F" w:rsidRPr="008817D5">
        <w:rPr>
          <w:rFonts w:ascii="Arial" w:hAnsi="Arial" w:cs="Arial"/>
          <w:b/>
          <w:sz w:val="24"/>
          <w:szCs w:val="24"/>
        </w:rPr>
        <w:t>Section 7</w:t>
      </w:r>
      <w:r w:rsidR="00A6611F">
        <w:rPr>
          <w:rFonts w:ascii="Arial" w:hAnsi="Arial" w:cs="Arial"/>
          <w:sz w:val="24"/>
          <w:szCs w:val="24"/>
        </w:rPr>
        <w:t xml:space="preserve"> of the Directive. </w:t>
      </w:r>
    </w:p>
    <w:p w14:paraId="3101307F" w14:textId="0290915C" w:rsidR="002920E0" w:rsidRDefault="00A6611F" w:rsidP="00BD2EF1">
      <w:pPr>
        <w:rPr>
          <w:rFonts w:ascii="Arial" w:hAnsi="Arial" w:cs="Arial"/>
          <w:sz w:val="24"/>
          <w:szCs w:val="24"/>
        </w:rPr>
      </w:pPr>
      <w:r>
        <w:rPr>
          <w:rFonts w:ascii="Arial" w:hAnsi="Arial" w:cs="Arial"/>
          <w:sz w:val="24"/>
          <w:szCs w:val="24"/>
        </w:rPr>
        <w:t xml:space="preserve">Note, this is not an exhaustive list, but a starting point for the review exercise. </w:t>
      </w:r>
    </w:p>
    <w:p w14:paraId="0E384035" w14:textId="77777777" w:rsidR="0025287A" w:rsidRPr="00FB36B6" w:rsidRDefault="0025287A" w:rsidP="00BD2EF1">
      <w:pPr>
        <w:rPr>
          <w:rFonts w:ascii="Arial" w:hAnsi="Arial" w:cs="Arial"/>
          <w:b/>
          <w:sz w:val="24"/>
          <w:szCs w:val="24"/>
        </w:rPr>
      </w:pPr>
      <w:r w:rsidRPr="00FB36B6">
        <w:rPr>
          <w:rFonts w:ascii="Arial" w:hAnsi="Arial" w:cs="Arial"/>
          <w:b/>
          <w:sz w:val="24"/>
          <w:szCs w:val="24"/>
        </w:rPr>
        <w:t>Issue</w:t>
      </w:r>
      <w:r w:rsidR="004A683B" w:rsidRPr="00FB36B6">
        <w:rPr>
          <w:rFonts w:ascii="Arial" w:hAnsi="Arial" w:cs="Arial"/>
          <w:b/>
          <w:sz w:val="24"/>
          <w:szCs w:val="24"/>
        </w:rPr>
        <w:t xml:space="preserve"> 1</w:t>
      </w:r>
      <w:r w:rsidRPr="00FB36B6">
        <w:rPr>
          <w:rFonts w:ascii="Arial" w:hAnsi="Arial" w:cs="Arial"/>
          <w:b/>
          <w:sz w:val="24"/>
          <w:szCs w:val="24"/>
        </w:rPr>
        <w:t>: Relevance</w:t>
      </w:r>
    </w:p>
    <w:p w14:paraId="1F03EE79" w14:textId="3B292A76" w:rsidR="00D26AC5" w:rsidRPr="00FB36B6" w:rsidRDefault="00D26AC5"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What problem was the regulation meant to solve?</w:t>
      </w:r>
      <w:r w:rsidR="000177E6">
        <w:rPr>
          <w:rFonts w:ascii="Arial" w:hAnsi="Arial" w:cs="Arial"/>
          <w:szCs w:val="24"/>
        </w:rPr>
        <w:t xml:space="preserve"> Does that problem still exist?</w:t>
      </w:r>
    </w:p>
    <w:p w14:paraId="74E05ACA" w14:textId="77777777" w:rsidR="004A683B" w:rsidRPr="00FB36B6" w:rsidRDefault="004A683B"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What is the role or objective of the federal government in this regulated area/sector?</w:t>
      </w:r>
    </w:p>
    <w:p w14:paraId="5E07F87C" w14:textId="06EC226E" w:rsidR="00D26AC5" w:rsidRPr="00FB36B6" w:rsidRDefault="00D26AC5"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 xml:space="preserve">Why </w:t>
      </w:r>
      <w:r w:rsidR="007049EE">
        <w:rPr>
          <w:rFonts w:ascii="Arial" w:hAnsi="Arial" w:cs="Arial"/>
          <w:szCs w:val="24"/>
        </w:rPr>
        <w:t>is</w:t>
      </w:r>
      <w:r w:rsidRPr="00FB36B6">
        <w:rPr>
          <w:rFonts w:ascii="Arial" w:hAnsi="Arial" w:cs="Arial"/>
          <w:szCs w:val="24"/>
        </w:rPr>
        <w:t xml:space="preserve"> government </w:t>
      </w:r>
      <w:r w:rsidR="002920E0">
        <w:rPr>
          <w:rFonts w:ascii="Arial" w:hAnsi="Arial" w:cs="Arial"/>
          <w:szCs w:val="24"/>
        </w:rPr>
        <w:t xml:space="preserve">or regulatory </w:t>
      </w:r>
      <w:r w:rsidRPr="00FB36B6">
        <w:rPr>
          <w:rFonts w:ascii="Arial" w:hAnsi="Arial" w:cs="Arial"/>
          <w:szCs w:val="24"/>
        </w:rPr>
        <w:t xml:space="preserve">action </w:t>
      </w:r>
      <w:r w:rsidR="007049EE">
        <w:rPr>
          <w:rFonts w:ascii="Arial" w:hAnsi="Arial" w:cs="Arial"/>
          <w:szCs w:val="24"/>
        </w:rPr>
        <w:t xml:space="preserve">still </w:t>
      </w:r>
      <w:r w:rsidRPr="00FB36B6">
        <w:rPr>
          <w:rFonts w:ascii="Arial" w:hAnsi="Arial" w:cs="Arial"/>
          <w:szCs w:val="24"/>
        </w:rPr>
        <w:t>needed?</w:t>
      </w:r>
    </w:p>
    <w:p w14:paraId="72D485AF" w14:textId="2B5B8923" w:rsidR="0025287A" w:rsidRDefault="004F45BD"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 xml:space="preserve">Do the regulations continue to serve the public interest? </w:t>
      </w:r>
    </w:p>
    <w:p w14:paraId="7F1EB325" w14:textId="6187833B" w:rsidR="00ED0F56" w:rsidRDefault="00ED0F56" w:rsidP="00A248BE">
      <w:pPr>
        <w:pStyle w:val="ListParagraph"/>
        <w:numPr>
          <w:ilvl w:val="0"/>
          <w:numId w:val="5"/>
        </w:numPr>
        <w:spacing w:before="240" w:after="240"/>
        <w:ind w:left="714" w:hanging="357"/>
        <w:contextualSpacing w:val="0"/>
        <w:rPr>
          <w:rFonts w:ascii="Arial" w:hAnsi="Arial" w:cs="Arial"/>
          <w:szCs w:val="24"/>
        </w:rPr>
      </w:pPr>
      <w:r>
        <w:rPr>
          <w:rFonts w:ascii="Arial" w:hAnsi="Arial" w:cs="Arial"/>
          <w:szCs w:val="24"/>
        </w:rPr>
        <w:t xml:space="preserve">Are the appropriate international and/or domestic standards and references incorporated by reference and up-to-date? </w:t>
      </w:r>
    </w:p>
    <w:p w14:paraId="6F79F7D5" w14:textId="60DC4F86" w:rsidR="00EF55CB" w:rsidRPr="00FB36B6" w:rsidRDefault="00EF55CB" w:rsidP="00A248BE">
      <w:pPr>
        <w:pStyle w:val="ListParagraph"/>
        <w:numPr>
          <w:ilvl w:val="0"/>
          <w:numId w:val="5"/>
        </w:numPr>
        <w:spacing w:before="240" w:after="240"/>
        <w:ind w:left="714" w:hanging="357"/>
        <w:contextualSpacing w:val="0"/>
        <w:rPr>
          <w:rFonts w:ascii="Arial" w:hAnsi="Arial" w:cs="Arial"/>
          <w:szCs w:val="24"/>
        </w:rPr>
      </w:pPr>
      <w:r>
        <w:rPr>
          <w:rFonts w:ascii="Arial" w:hAnsi="Arial" w:cs="Arial"/>
          <w:szCs w:val="24"/>
        </w:rPr>
        <w:t>Do</w:t>
      </w:r>
      <w:r w:rsidR="005429E8">
        <w:rPr>
          <w:rFonts w:ascii="Arial" w:hAnsi="Arial" w:cs="Arial"/>
          <w:szCs w:val="24"/>
        </w:rPr>
        <w:t>(</w:t>
      </w:r>
      <w:r>
        <w:rPr>
          <w:rFonts w:ascii="Arial" w:hAnsi="Arial" w:cs="Arial"/>
          <w:szCs w:val="24"/>
        </w:rPr>
        <w:t>es</w:t>
      </w:r>
      <w:r w:rsidR="005429E8">
        <w:rPr>
          <w:rFonts w:ascii="Arial" w:hAnsi="Arial" w:cs="Arial"/>
          <w:szCs w:val="24"/>
        </w:rPr>
        <w:t>)</w:t>
      </w:r>
      <w:r>
        <w:rPr>
          <w:rFonts w:ascii="Arial" w:hAnsi="Arial" w:cs="Arial"/>
          <w:szCs w:val="24"/>
        </w:rPr>
        <w:t xml:space="preserve"> the regulation(s) still align with Canada’s international obligations?</w:t>
      </w:r>
    </w:p>
    <w:p w14:paraId="5E198634" w14:textId="557E6F88" w:rsidR="006943C1" w:rsidRPr="00FB36B6" w:rsidRDefault="004A683B"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Do regulatory objectives align with broader government objectives for the regulated area/sector</w:t>
      </w:r>
      <w:r w:rsidR="000177E6">
        <w:rPr>
          <w:rFonts w:ascii="Arial" w:hAnsi="Arial" w:cs="Arial"/>
          <w:szCs w:val="24"/>
        </w:rPr>
        <w:t xml:space="preserve"> including facilitating innovation, promoting economic growth, </w:t>
      </w:r>
      <w:r w:rsidR="00207A2F">
        <w:rPr>
          <w:rFonts w:ascii="Arial" w:hAnsi="Arial" w:cs="Arial"/>
          <w:szCs w:val="24"/>
        </w:rPr>
        <w:t>or competitiveness</w:t>
      </w:r>
      <w:r w:rsidRPr="00FB36B6">
        <w:rPr>
          <w:rFonts w:ascii="Arial" w:hAnsi="Arial" w:cs="Arial"/>
          <w:szCs w:val="24"/>
        </w:rPr>
        <w:t>?</w:t>
      </w:r>
      <w:r w:rsidR="007554E2">
        <w:rPr>
          <w:rFonts w:ascii="Arial" w:hAnsi="Arial" w:cs="Arial"/>
          <w:szCs w:val="24"/>
        </w:rPr>
        <w:t xml:space="preserve"> Is there an opportunity to modify the regulation or program to support these objectives? </w:t>
      </w:r>
    </w:p>
    <w:p w14:paraId="3A0EF288" w14:textId="77777777" w:rsidR="0025287A" w:rsidRPr="00FB36B6" w:rsidRDefault="0025287A" w:rsidP="00BD2EF1">
      <w:pPr>
        <w:rPr>
          <w:rFonts w:ascii="Arial" w:hAnsi="Arial" w:cs="Arial"/>
          <w:b/>
          <w:sz w:val="24"/>
          <w:szCs w:val="24"/>
        </w:rPr>
      </w:pPr>
      <w:r w:rsidRPr="00FB36B6">
        <w:rPr>
          <w:rFonts w:ascii="Arial" w:hAnsi="Arial" w:cs="Arial"/>
          <w:b/>
          <w:sz w:val="24"/>
          <w:szCs w:val="24"/>
        </w:rPr>
        <w:t>Issue</w:t>
      </w:r>
      <w:r w:rsidR="004A683B" w:rsidRPr="00FB36B6">
        <w:rPr>
          <w:rFonts w:ascii="Arial" w:hAnsi="Arial" w:cs="Arial"/>
          <w:b/>
          <w:sz w:val="24"/>
          <w:szCs w:val="24"/>
        </w:rPr>
        <w:t xml:space="preserve"> 2</w:t>
      </w:r>
      <w:r w:rsidRPr="00FB36B6">
        <w:rPr>
          <w:rFonts w:ascii="Arial" w:hAnsi="Arial" w:cs="Arial"/>
          <w:b/>
          <w:sz w:val="24"/>
          <w:szCs w:val="24"/>
        </w:rPr>
        <w:t>: Effectiveness</w:t>
      </w:r>
    </w:p>
    <w:p w14:paraId="6A7B20E6" w14:textId="5A097428" w:rsidR="0025287A" w:rsidRDefault="00AA10A2"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When compared to the initial regulator</w:t>
      </w:r>
      <w:r w:rsidR="005429E8">
        <w:rPr>
          <w:rFonts w:ascii="Arial" w:hAnsi="Arial" w:cs="Arial"/>
          <w:szCs w:val="24"/>
        </w:rPr>
        <w:t>y</w:t>
      </w:r>
      <w:r w:rsidRPr="00FB36B6">
        <w:rPr>
          <w:rFonts w:ascii="Arial" w:hAnsi="Arial" w:cs="Arial"/>
          <w:szCs w:val="24"/>
        </w:rPr>
        <w:t xml:space="preserve"> proposal, has the regulation resulted in the expected benefits? </w:t>
      </w:r>
    </w:p>
    <w:p w14:paraId="77C57B24" w14:textId="77777777" w:rsidR="005429E8" w:rsidRPr="00FB36B6" w:rsidRDefault="005429E8" w:rsidP="005429E8">
      <w:pPr>
        <w:pStyle w:val="ListParagraph"/>
        <w:numPr>
          <w:ilvl w:val="0"/>
          <w:numId w:val="5"/>
        </w:numPr>
        <w:spacing w:before="240" w:after="240"/>
        <w:ind w:left="714" w:hanging="357"/>
        <w:contextualSpacing w:val="0"/>
        <w:rPr>
          <w:rFonts w:ascii="Arial" w:hAnsi="Arial" w:cs="Arial"/>
          <w:szCs w:val="24"/>
        </w:rPr>
      </w:pPr>
      <w:r>
        <w:rPr>
          <w:rFonts w:ascii="Arial" w:hAnsi="Arial" w:cs="Arial"/>
          <w:szCs w:val="24"/>
        </w:rPr>
        <w:t>Have you examined the original Regulatory Impact Analysis and Cost Benefit Analysis assumptions? How were they different (or similar) to the way the regulation has been implemented and managed?</w:t>
      </w:r>
    </w:p>
    <w:p w14:paraId="10A9FB10" w14:textId="32FA29C3" w:rsidR="0025287A" w:rsidRPr="00FB36B6" w:rsidRDefault="0025287A"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How does the regulat</w:t>
      </w:r>
      <w:r w:rsidR="00496420">
        <w:rPr>
          <w:rFonts w:ascii="Arial" w:hAnsi="Arial" w:cs="Arial"/>
          <w:szCs w:val="24"/>
        </w:rPr>
        <w:t>ory regime encourage innovation</w:t>
      </w:r>
      <w:r w:rsidRPr="00FB36B6">
        <w:rPr>
          <w:rFonts w:ascii="Arial" w:hAnsi="Arial" w:cs="Arial"/>
          <w:szCs w:val="24"/>
        </w:rPr>
        <w:t xml:space="preserve"> </w:t>
      </w:r>
      <w:r w:rsidR="00496420">
        <w:rPr>
          <w:rFonts w:ascii="Arial" w:hAnsi="Arial" w:cs="Arial"/>
          <w:szCs w:val="24"/>
        </w:rPr>
        <w:t xml:space="preserve">and </w:t>
      </w:r>
      <w:r w:rsidRPr="00FB36B6">
        <w:rPr>
          <w:rFonts w:ascii="Arial" w:hAnsi="Arial" w:cs="Arial"/>
          <w:szCs w:val="24"/>
        </w:rPr>
        <w:t>complement market forces?</w:t>
      </w:r>
    </w:p>
    <w:p w14:paraId="641150AE" w14:textId="029A449E" w:rsidR="0025287A" w:rsidRPr="00FB36B6" w:rsidRDefault="0025287A"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What is the impact of the r</w:t>
      </w:r>
      <w:r w:rsidR="00496420">
        <w:rPr>
          <w:rFonts w:ascii="Arial" w:hAnsi="Arial" w:cs="Arial"/>
          <w:szCs w:val="24"/>
        </w:rPr>
        <w:t xml:space="preserve">egulatory regime on investment and </w:t>
      </w:r>
      <w:r w:rsidRPr="00FB36B6">
        <w:rPr>
          <w:rFonts w:ascii="Arial" w:hAnsi="Arial" w:cs="Arial"/>
          <w:szCs w:val="24"/>
        </w:rPr>
        <w:t>innovation?</w:t>
      </w:r>
    </w:p>
    <w:p w14:paraId="495E8BC1" w14:textId="77777777" w:rsidR="006943C1" w:rsidRPr="00FB36B6" w:rsidRDefault="006943C1" w:rsidP="00BD2EF1">
      <w:pPr>
        <w:rPr>
          <w:rFonts w:ascii="Arial" w:hAnsi="Arial" w:cs="Arial"/>
          <w:b/>
          <w:sz w:val="24"/>
          <w:szCs w:val="24"/>
        </w:rPr>
      </w:pPr>
      <w:r w:rsidRPr="00FB36B6">
        <w:rPr>
          <w:rFonts w:ascii="Arial" w:hAnsi="Arial" w:cs="Arial"/>
          <w:b/>
          <w:sz w:val="24"/>
          <w:szCs w:val="24"/>
        </w:rPr>
        <w:lastRenderedPageBreak/>
        <w:t>Issue</w:t>
      </w:r>
      <w:r w:rsidR="004A683B" w:rsidRPr="00FB36B6">
        <w:rPr>
          <w:rFonts w:ascii="Arial" w:hAnsi="Arial" w:cs="Arial"/>
          <w:b/>
          <w:sz w:val="24"/>
          <w:szCs w:val="24"/>
        </w:rPr>
        <w:t xml:space="preserve"> 3</w:t>
      </w:r>
      <w:r w:rsidRPr="00FB36B6">
        <w:rPr>
          <w:rFonts w:ascii="Arial" w:hAnsi="Arial" w:cs="Arial"/>
          <w:b/>
          <w:sz w:val="24"/>
          <w:szCs w:val="24"/>
        </w:rPr>
        <w:t>: Efficiency</w:t>
      </w:r>
    </w:p>
    <w:p w14:paraId="2D2CB89B" w14:textId="7EE3B299" w:rsidR="000177E6" w:rsidRDefault="004A683B"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 xml:space="preserve">Has the regulation </w:t>
      </w:r>
      <w:r w:rsidR="00AD4E7A" w:rsidRPr="00FB36B6">
        <w:rPr>
          <w:rFonts w:ascii="Arial" w:hAnsi="Arial" w:cs="Arial"/>
          <w:szCs w:val="24"/>
        </w:rPr>
        <w:t>led t</w:t>
      </w:r>
      <w:r w:rsidR="000177E6">
        <w:rPr>
          <w:rFonts w:ascii="Arial" w:hAnsi="Arial" w:cs="Arial"/>
          <w:szCs w:val="24"/>
        </w:rPr>
        <w:t xml:space="preserve">o </w:t>
      </w:r>
      <w:r w:rsidR="00AD4E7A" w:rsidRPr="00FB36B6">
        <w:rPr>
          <w:rFonts w:ascii="Arial" w:hAnsi="Arial" w:cs="Arial"/>
          <w:szCs w:val="24"/>
        </w:rPr>
        <w:t>unintended impacts</w:t>
      </w:r>
      <w:r w:rsidR="007049EE">
        <w:rPr>
          <w:rFonts w:ascii="Arial" w:hAnsi="Arial" w:cs="Arial"/>
          <w:szCs w:val="24"/>
        </w:rPr>
        <w:t xml:space="preserve"> </w:t>
      </w:r>
      <w:r w:rsidR="005429E8">
        <w:rPr>
          <w:rFonts w:ascii="Arial" w:hAnsi="Arial" w:cs="Arial"/>
          <w:szCs w:val="24"/>
        </w:rPr>
        <w:t xml:space="preserve">and/or costs </w:t>
      </w:r>
      <w:r w:rsidR="007049EE">
        <w:rPr>
          <w:rFonts w:ascii="Arial" w:hAnsi="Arial" w:cs="Arial"/>
          <w:szCs w:val="24"/>
        </w:rPr>
        <w:t>on either the regulated party or the Government</w:t>
      </w:r>
      <w:r w:rsidR="00AD4E7A" w:rsidRPr="00FB36B6">
        <w:rPr>
          <w:rFonts w:ascii="Arial" w:hAnsi="Arial" w:cs="Arial"/>
          <w:szCs w:val="24"/>
        </w:rPr>
        <w:t>?</w:t>
      </w:r>
      <w:r w:rsidR="007049EE">
        <w:rPr>
          <w:rFonts w:ascii="Arial" w:hAnsi="Arial" w:cs="Arial"/>
          <w:szCs w:val="24"/>
        </w:rPr>
        <w:t xml:space="preserve"> Is there a better way to gather compliance information or manage the </w:t>
      </w:r>
      <w:r w:rsidR="002920E0">
        <w:rPr>
          <w:rFonts w:ascii="Arial" w:hAnsi="Arial" w:cs="Arial"/>
          <w:szCs w:val="24"/>
        </w:rPr>
        <w:t>implementation of the regulation?</w:t>
      </w:r>
    </w:p>
    <w:p w14:paraId="3A8598DD" w14:textId="33390058" w:rsidR="006943C1" w:rsidRPr="00FB36B6" w:rsidRDefault="00AD4E7A" w:rsidP="00BD2EF1">
      <w:pPr>
        <w:rPr>
          <w:rFonts w:ascii="Arial" w:hAnsi="Arial" w:cs="Arial"/>
          <w:b/>
          <w:sz w:val="24"/>
          <w:szCs w:val="24"/>
        </w:rPr>
      </w:pPr>
      <w:r w:rsidRPr="00FB36B6">
        <w:rPr>
          <w:rFonts w:ascii="Arial" w:hAnsi="Arial" w:cs="Arial"/>
          <w:b/>
          <w:sz w:val="24"/>
          <w:szCs w:val="24"/>
        </w:rPr>
        <w:t>Issue 4</w:t>
      </w:r>
      <w:r w:rsidR="00ED0F56">
        <w:rPr>
          <w:rFonts w:ascii="Arial" w:hAnsi="Arial" w:cs="Arial"/>
          <w:b/>
          <w:sz w:val="24"/>
          <w:szCs w:val="24"/>
        </w:rPr>
        <w:t xml:space="preserve">: Flexibility and Alignment </w:t>
      </w:r>
    </w:p>
    <w:p w14:paraId="32463452" w14:textId="14964A0A" w:rsidR="006943C1" w:rsidRDefault="00AA10A2"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C</w:t>
      </w:r>
      <w:r w:rsidR="006943C1" w:rsidRPr="00FB36B6">
        <w:rPr>
          <w:rFonts w:ascii="Arial" w:hAnsi="Arial" w:cs="Arial"/>
          <w:szCs w:val="24"/>
        </w:rPr>
        <w:t xml:space="preserve">an </w:t>
      </w:r>
      <w:r w:rsidR="005D2EB3" w:rsidRPr="00FB36B6">
        <w:rPr>
          <w:rFonts w:ascii="Arial" w:hAnsi="Arial" w:cs="Arial"/>
          <w:szCs w:val="24"/>
        </w:rPr>
        <w:t>compliance requirements be minimised</w:t>
      </w:r>
      <w:r w:rsidR="00D5090E">
        <w:rPr>
          <w:rFonts w:ascii="Arial" w:hAnsi="Arial" w:cs="Arial"/>
          <w:szCs w:val="24"/>
        </w:rPr>
        <w:t xml:space="preserve"> without jeopardizing the regulatory objectives, including public health, safety, security, the environment</w:t>
      </w:r>
      <w:r w:rsidR="005D2EB3" w:rsidRPr="00FB36B6">
        <w:rPr>
          <w:rFonts w:ascii="Arial" w:hAnsi="Arial" w:cs="Arial"/>
          <w:szCs w:val="24"/>
        </w:rPr>
        <w:t>?</w:t>
      </w:r>
    </w:p>
    <w:p w14:paraId="7715CF07" w14:textId="700A1297" w:rsidR="00483D57" w:rsidRPr="00FB36B6" w:rsidRDefault="00483D57" w:rsidP="00A248BE">
      <w:pPr>
        <w:pStyle w:val="ListParagraph"/>
        <w:numPr>
          <w:ilvl w:val="0"/>
          <w:numId w:val="5"/>
        </w:numPr>
        <w:spacing w:before="240" w:after="240"/>
        <w:ind w:left="714" w:hanging="357"/>
        <w:contextualSpacing w:val="0"/>
        <w:rPr>
          <w:rFonts w:ascii="Arial" w:hAnsi="Arial" w:cs="Arial"/>
          <w:szCs w:val="24"/>
        </w:rPr>
      </w:pPr>
      <w:r>
        <w:rPr>
          <w:rFonts w:ascii="Arial" w:hAnsi="Arial" w:cs="Arial"/>
          <w:szCs w:val="24"/>
        </w:rPr>
        <w:t>Can additional flexibility be given to small businesses</w:t>
      </w:r>
      <w:r w:rsidR="00323AC9">
        <w:rPr>
          <w:rFonts w:ascii="Arial" w:hAnsi="Arial" w:cs="Arial"/>
          <w:szCs w:val="24"/>
        </w:rPr>
        <w:t xml:space="preserve"> to minimise administrative and</w:t>
      </w:r>
      <w:r w:rsidR="00494911">
        <w:rPr>
          <w:rFonts w:ascii="Arial" w:hAnsi="Arial" w:cs="Arial"/>
          <w:szCs w:val="24"/>
        </w:rPr>
        <w:t>/or</w:t>
      </w:r>
      <w:r w:rsidR="00323AC9">
        <w:rPr>
          <w:rFonts w:ascii="Arial" w:hAnsi="Arial" w:cs="Arial"/>
          <w:szCs w:val="24"/>
        </w:rPr>
        <w:t xml:space="preserve"> compliance burden</w:t>
      </w:r>
      <w:r>
        <w:rPr>
          <w:rFonts w:ascii="Arial" w:hAnsi="Arial" w:cs="Arial"/>
          <w:szCs w:val="24"/>
        </w:rPr>
        <w:t>?</w:t>
      </w:r>
    </w:p>
    <w:p w14:paraId="4A52060E" w14:textId="4CB7343B" w:rsidR="005D2EB3" w:rsidRPr="00FB36B6" w:rsidRDefault="005D2EB3"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 xml:space="preserve">Could a performance </w:t>
      </w:r>
      <w:r w:rsidR="00D5090E">
        <w:rPr>
          <w:rFonts w:ascii="Arial" w:hAnsi="Arial" w:cs="Arial"/>
          <w:szCs w:val="24"/>
        </w:rPr>
        <w:t>or</w:t>
      </w:r>
      <w:r w:rsidR="00D5090E" w:rsidRPr="00FB36B6">
        <w:rPr>
          <w:rFonts w:ascii="Arial" w:hAnsi="Arial" w:cs="Arial"/>
          <w:szCs w:val="24"/>
        </w:rPr>
        <w:t xml:space="preserve"> </w:t>
      </w:r>
      <w:r w:rsidRPr="00FB36B6">
        <w:rPr>
          <w:rFonts w:ascii="Arial" w:hAnsi="Arial" w:cs="Arial"/>
          <w:szCs w:val="24"/>
        </w:rPr>
        <w:t>outcome based regulatory regime be applied with better results?</w:t>
      </w:r>
    </w:p>
    <w:p w14:paraId="47BF1FE0" w14:textId="533B0458" w:rsidR="005D2EB3" w:rsidRPr="00FB36B6" w:rsidRDefault="00AA10A2"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A</w:t>
      </w:r>
      <w:r w:rsidR="005D2EB3" w:rsidRPr="00FB36B6">
        <w:rPr>
          <w:rFonts w:ascii="Arial" w:hAnsi="Arial" w:cs="Arial"/>
          <w:szCs w:val="24"/>
        </w:rPr>
        <w:t>re the</w:t>
      </w:r>
      <w:r w:rsidRPr="00FB36B6">
        <w:rPr>
          <w:rFonts w:ascii="Arial" w:hAnsi="Arial" w:cs="Arial"/>
          <w:szCs w:val="24"/>
        </w:rPr>
        <w:t>re</w:t>
      </w:r>
      <w:r w:rsidR="005D2EB3" w:rsidRPr="00FB36B6">
        <w:rPr>
          <w:rFonts w:ascii="Arial" w:hAnsi="Arial" w:cs="Arial"/>
          <w:szCs w:val="24"/>
        </w:rPr>
        <w:t xml:space="preserve"> opportunities for coordinating </w:t>
      </w:r>
      <w:r w:rsidR="00ED0F56">
        <w:rPr>
          <w:rFonts w:ascii="Arial" w:hAnsi="Arial" w:cs="Arial"/>
          <w:szCs w:val="24"/>
        </w:rPr>
        <w:t xml:space="preserve">or cooperating </w:t>
      </w:r>
      <w:r w:rsidR="005D2EB3" w:rsidRPr="00FB36B6">
        <w:rPr>
          <w:rFonts w:ascii="Arial" w:hAnsi="Arial" w:cs="Arial"/>
          <w:szCs w:val="24"/>
        </w:rPr>
        <w:t>with other jurisdictions</w:t>
      </w:r>
      <w:r w:rsidR="00EF55CB">
        <w:rPr>
          <w:rFonts w:ascii="Arial" w:hAnsi="Arial" w:cs="Arial"/>
          <w:szCs w:val="24"/>
        </w:rPr>
        <w:t>, international partners,</w:t>
      </w:r>
      <w:r w:rsidR="00A248BE">
        <w:rPr>
          <w:rFonts w:ascii="Arial" w:hAnsi="Arial" w:cs="Arial"/>
          <w:szCs w:val="24"/>
        </w:rPr>
        <w:t xml:space="preserve"> or other government departments</w:t>
      </w:r>
      <w:r w:rsidR="005D2EB3" w:rsidRPr="00FB36B6">
        <w:rPr>
          <w:rFonts w:ascii="Arial" w:hAnsi="Arial" w:cs="Arial"/>
          <w:szCs w:val="24"/>
        </w:rPr>
        <w:t>?</w:t>
      </w:r>
    </w:p>
    <w:p w14:paraId="0A36B795" w14:textId="409DC1C0" w:rsidR="005D2EB3" w:rsidRPr="00FB36B6" w:rsidRDefault="00AA10A2" w:rsidP="00A248BE">
      <w:pPr>
        <w:pStyle w:val="ListParagraph"/>
        <w:numPr>
          <w:ilvl w:val="0"/>
          <w:numId w:val="5"/>
        </w:numPr>
        <w:spacing w:before="240" w:after="240"/>
        <w:ind w:left="714" w:hanging="357"/>
        <w:contextualSpacing w:val="0"/>
        <w:rPr>
          <w:rFonts w:ascii="Arial" w:hAnsi="Arial" w:cs="Arial"/>
          <w:szCs w:val="24"/>
        </w:rPr>
      </w:pPr>
      <w:r w:rsidRPr="00FB36B6">
        <w:rPr>
          <w:rFonts w:ascii="Arial" w:hAnsi="Arial" w:cs="Arial"/>
          <w:szCs w:val="24"/>
        </w:rPr>
        <w:t>C</w:t>
      </w:r>
      <w:r w:rsidR="005D2EB3" w:rsidRPr="00FB36B6">
        <w:rPr>
          <w:rFonts w:ascii="Arial" w:hAnsi="Arial" w:cs="Arial"/>
          <w:szCs w:val="24"/>
        </w:rPr>
        <w:t>an we better align</w:t>
      </w:r>
      <w:r w:rsidR="00ED0F56">
        <w:rPr>
          <w:rFonts w:ascii="Arial" w:hAnsi="Arial" w:cs="Arial"/>
          <w:szCs w:val="24"/>
        </w:rPr>
        <w:t xml:space="preserve"> or harmonize</w:t>
      </w:r>
      <w:r w:rsidR="005D2EB3" w:rsidRPr="00FB36B6">
        <w:rPr>
          <w:rFonts w:ascii="Arial" w:hAnsi="Arial" w:cs="Arial"/>
          <w:szCs w:val="24"/>
        </w:rPr>
        <w:t xml:space="preserve"> with similar regimes of our trading partners?</w:t>
      </w:r>
    </w:p>
    <w:p w14:paraId="702D957C" w14:textId="77777777" w:rsidR="002234F4" w:rsidRPr="00FB36B6" w:rsidRDefault="00AD4E7A" w:rsidP="00F15236">
      <w:pPr>
        <w:rPr>
          <w:rFonts w:ascii="Arial" w:hAnsi="Arial" w:cs="Arial"/>
          <w:b/>
          <w:sz w:val="24"/>
          <w:szCs w:val="24"/>
        </w:rPr>
      </w:pPr>
      <w:r w:rsidRPr="00FB36B6">
        <w:rPr>
          <w:rFonts w:ascii="Arial" w:hAnsi="Arial" w:cs="Arial"/>
          <w:b/>
          <w:sz w:val="24"/>
          <w:szCs w:val="24"/>
        </w:rPr>
        <w:t>Issue 5: Instrument Choice</w:t>
      </w:r>
    </w:p>
    <w:p w14:paraId="047EED3E" w14:textId="2CE922E3" w:rsidR="00AA10A2" w:rsidRPr="00A248BE" w:rsidRDefault="00AA10A2" w:rsidP="00A248BE">
      <w:pPr>
        <w:pStyle w:val="ListParagraph"/>
        <w:numPr>
          <w:ilvl w:val="0"/>
          <w:numId w:val="5"/>
        </w:numPr>
        <w:spacing w:before="240" w:after="240"/>
        <w:ind w:left="714" w:hanging="357"/>
        <w:contextualSpacing w:val="0"/>
        <w:rPr>
          <w:rFonts w:ascii="Arial" w:hAnsi="Arial" w:cs="Arial"/>
          <w:szCs w:val="24"/>
        </w:rPr>
      </w:pPr>
      <w:r w:rsidRPr="00A248BE">
        <w:rPr>
          <w:rFonts w:ascii="Arial" w:hAnsi="Arial" w:cs="Arial"/>
          <w:szCs w:val="24"/>
        </w:rPr>
        <w:t>Is regulation still necessary or could other policy instruments be applied to achieve the same outcomes?</w:t>
      </w:r>
      <w:r w:rsidR="002920E0" w:rsidRPr="00A248BE">
        <w:rPr>
          <w:rFonts w:ascii="Arial" w:hAnsi="Arial" w:cs="Arial"/>
          <w:szCs w:val="24"/>
        </w:rPr>
        <w:t xml:space="preserve"> Have you examined examples from similar cases or areas? </w:t>
      </w:r>
    </w:p>
    <w:p w14:paraId="1FCCA565" w14:textId="32B939D5" w:rsidR="00AD4E7A" w:rsidRPr="00A248BE" w:rsidRDefault="00496420" w:rsidP="00A248BE">
      <w:pPr>
        <w:pStyle w:val="ListParagraph"/>
        <w:numPr>
          <w:ilvl w:val="0"/>
          <w:numId w:val="5"/>
        </w:numPr>
        <w:spacing w:before="240" w:after="240"/>
        <w:ind w:left="714" w:hanging="357"/>
        <w:contextualSpacing w:val="0"/>
        <w:rPr>
          <w:rFonts w:ascii="Arial" w:hAnsi="Arial" w:cs="Arial"/>
          <w:szCs w:val="24"/>
        </w:rPr>
      </w:pPr>
      <w:r>
        <w:rPr>
          <w:rFonts w:ascii="Arial" w:hAnsi="Arial" w:cs="Arial"/>
          <w:szCs w:val="24"/>
        </w:rPr>
        <w:t xml:space="preserve">Which types of instruments </w:t>
      </w:r>
      <w:r w:rsidR="00AD4E7A" w:rsidRPr="00A248BE">
        <w:rPr>
          <w:rFonts w:ascii="Arial" w:hAnsi="Arial" w:cs="Arial"/>
          <w:szCs w:val="24"/>
        </w:rPr>
        <w:t>are likely to be most effective in this particular regulated area/sector?</w:t>
      </w:r>
      <w:r w:rsidR="00AA10A2" w:rsidRPr="00A248BE">
        <w:rPr>
          <w:rFonts w:ascii="Arial" w:hAnsi="Arial" w:cs="Arial"/>
          <w:szCs w:val="24"/>
        </w:rPr>
        <w:t xml:space="preserve"> </w:t>
      </w:r>
    </w:p>
    <w:p w14:paraId="08F1C42C" w14:textId="77777777" w:rsidR="00931ADB" w:rsidRPr="00A248BE" w:rsidRDefault="00931ADB" w:rsidP="00A248BE">
      <w:pPr>
        <w:pStyle w:val="ListParagraph"/>
        <w:numPr>
          <w:ilvl w:val="0"/>
          <w:numId w:val="5"/>
        </w:numPr>
        <w:spacing w:before="240" w:after="240"/>
        <w:ind w:left="714" w:hanging="357"/>
        <w:contextualSpacing w:val="0"/>
        <w:rPr>
          <w:rFonts w:ascii="Arial" w:hAnsi="Arial" w:cs="Arial"/>
          <w:szCs w:val="24"/>
        </w:rPr>
      </w:pPr>
      <w:r w:rsidRPr="00A248BE">
        <w:rPr>
          <w:rFonts w:ascii="Arial" w:hAnsi="Arial" w:cs="Arial"/>
          <w:szCs w:val="24"/>
        </w:rPr>
        <w:t>Are there legal risks associated with allowing the use of alternative instruments in this particular regulated area/sector?</w:t>
      </w:r>
    </w:p>
    <w:p w14:paraId="5270B7AC" w14:textId="77777777" w:rsidR="00562CD9" w:rsidRDefault="00562CD9">
      <w:pPr>
        <w:rPr>
          <w:rFonts w:ascii="Arial" w:hAnsi="Arial" w:cs="Arial"/>
          <w:b/>
          <w:sz w:val="28"/>
          <w:szCs w:val="28"/>
        </w:rPr>
      </w:pPr>
      <w:r>
        <w:rPr>
          <w:rFonts w:ascii="Arial" w:hAnsi="Arial" w:cs="Arial"/>
          <w:b/>
          <w:sz w:val="28"/>
          <w:szCs w:val="28"/>
        </w:rPr>
        <w:br w:type="page"/>
      </w:r>
    </w:p>
    <w:p w14:paraId="0949628C" w14:textId="7586E0F3" w:rsidR="007049EE" w:rsidRPr="004B7902" w:rsidRDefault="004B7902" w:rsidP="00562CD9">
      <w:pPr>
        <w:rPr>
          <w:rStyle w:val="SubtleReference"/>
          <w:rFonts w:ascii="Arial" w:hAnsi="Arial" w:cs="Arial"/>
          <w:b/>
          <w:smallCaps w:val="0"/>
          <w:color w:val="auto"/>
          <w:sz w:val="28"/>
          <w:szCs w:val="28"/>
        </w:rPr>
      </w:pPr>
      <w:r w:rsidRPr="007049EE">
        <w:rPr>
          <w:rFonts w:ascii="Arial" w:hAnsi="Arial" w:cs="Arial"/>
          <w:b/>
          <w:sz w:val="28"/>
          <w:szCs w:val="28"/>
        </w:rPr>
        <w:lastRenderedPageBreak/>
        <w:t xml:space="preserve">Appendix </w:t>
      </w:r>
      <w:r w:rsidR="00562CD9">
        <w:rPr>
          <w:rFonts w:ascii="Arial" w:hAnsi="Arial" w:cs="Arial"/>
          <w:b/>
          <w:sz w:val="28"/>
          <w:szCs w:val="28"/>
        </w:rPr>
        <w:t>C</w:t>
      </w:r>
      <w:r w:rsidRPr="007049EE">
        <w:rPr>
          <w:rFonts w:ascii="Arial" w:hAnsi="Arial" w:cs="Arial"/>
          <w:b/>
          <w:sz w:val="28"/>
          <w:szCs w:val="28"/>
        </w:rPr>
        <w:t xml:space="preserve">:  </w:t>
      </w:r>
      <w:r w:rsidR="007049EE">
        <w:rPr>
          <w:rStyle w:val="SubtleReference"/>
          <w:rFonts w:ascii="Arial" w:hAnsi="Arial" w:cs="Arial"/>
          <w:b/>
          <w:smallCaps w:val="0"/>
          <w:color w:val="auto"/>
          <w:sz w:val="32"/>
          <w:szCs w:val="28"/>
        </w:rPr>
        <w:t xml:space="preserve"> </w:t>
      </w:r>
      <w:r w:rsidR="007049EE" w:rsidRPr="004B7902">
        <w:rPr>
          <w:rStyle w:val="SubtleReference"/>
          <w:rFonts w:ascii="Arial" w:hAnsi="Arial" w:cs="Arial"/>
          <w:b/>
          <w:smallCaps w:val="0"/>
          <w:color w:val="auto"/>
          <w:sz w:val="28"/>
          <w:szCs w:val="28"/>
        </w:rPr>
        <w:t xml:space="preserve">Planning Approaches for Regulatory Stock Reviews </w:t>
      </w:r>
    </w:p>
    <w:p w14:paraId="4E88B93C" w14:textId="3CAEF1D6" w:rsidR="007049EE" w:rsidRPr="00543EF3" w:rsidRDefault="007049EE" w:rsidP="00543EF3">
      <w:pPr>
        <w:spacing w:after="0"/>
        <w:jc w:val="center"/>
        <w:rPr>
          <w:rFonts w:ascii="Arial" w:hAnsi="Arial" w:cs="Arial"/>
          <w:sz w:val="24"/>
          <w:szCs w:val="24"/>
        </w:rPr>
      </w:pPr>
      <w:r w:rsidRPr="00B01CB8">
        <w:rPr>
          <w:noProof/>
          <w:lang w:eastAsia="en-CA"/>
        </w:rPr>
        <mc:AlternateContent>
          <mc:Choice Requires="wps">
            <w:drawing>
              <wp:anchor distT="0" distB="0" distL="114300" distR="114300" simplePos="0" relativeHeight="251664384" behindDoc="0" locked="0" layoutInCell="1" allowOverlap="1" wp14:anchorId="4E7CAD8A" wp14:editId="201A6FA9">
                <wp:simplePos x="0" y="0"/>
                <wp:positionH relativeFrom="column">
                  <wp:posOffset>5213985</wp:posOffset>
                </wp:positionH>
                <wp:positionV relativeFrom="paragraph">
                  <wp:posOffset>3742690</wp:posOffset>
                </wp:positionV>
                <wp:extent cx="2133600" cy="365125"/>
                <wp:effectExtent l="0" t="0" r="0" b="0"/>
                <wp:wrapNone/>
                <wp:docPr id="1" name="Slide Numb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14:paraId="12ABC50C" w14:textId="77777777" w:rsidR="00733B9E" w:rsidRDefault="00733B9E" w:rsidP="007049EE">
                            <w:pPr>
                              <w:pStyle w:val="NormalWeb"/>
                              <w:spacing w:before="0" w:beforeAutospacing="0" w:after="0" w:afterAutospacing="0"/>
                              <w:jc w:val="right"/>
                            </w:pPr>
                            <w:r>
                              <w:rPr>
                                <w:rFonts w:asciiTheme="minorHAnsi" w:hAnsi="Calibri" w:cstheme="minorBidi"/>
                                <w:color w:val="404040" w:themeColor="text1" w:themeTint="BF"/>
                                <w:kern w:val="24"/>
                              </w:rPr>
                              <w:t>6</w:t>
                            </w:r>
                          </w:p>
                        </w:txbxContent>
                      </wps:txbx>
                      <wps:bodyPr vert="horz" lIns="91440" tIns="45720" rIns="91440" bIns="45720" rtlCol="0" anchor="ctr"/>
                    </wps:wsp>
                  </a:graphicData>
                </a:graphic>
              </wp:anchor>
            </w:drawing>
          </mc:Choice>
          <mc:Fallback>
            <w:pict>
              <v:rect w14:anchorId="4E7CAD8A" id="Slide Number Placeholder 1" o:spid="_x0000_s1026" style="position:absolute;left:0;text-align:left;margin-left:410.55pt;margin-top:294.7pt;width:168pt;height:2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" filled="f" stroked="f">
                <v:path arrowok="t"/>
                <o:lock v:ext="edit" grouping="t"/>
                <v:textbox>
                  <w:txbxContent>
                    <w:p w14:paraId="12ABC50C" w14:textId="77777777" w:rsidR="00733B9E" w:rsidRDefault="00733B9E" w:rsidP="007049EE">
                      <w:pPr>
                        <w:pStyle w:val="NormalWeb"/>
                        <w:spacing w:before="0" w:beforeAutospacing="0" w:after="0" w:afterAutospacing="0"/>
                        <w:jc w:val="right"/>
                      </w:pPr>
                      <w:r>
                        <w:rPr>
                          <w:rFonts w:asciiTheme="minorHAnsi" w:hAnsi="Calibri" w:cstheme="minorBidi"/>
                          <w:color w:val="404040" w:themeColor="text1" w:themeTint="BF"/>
                          <w:kern w:val="24"/>
                        </w:rPr>
                        <w:t>6</w:t>
                      </w:r>
                    </w:p>
                  </w:txbxContent>
                </v:textbox>
              </v:rect>
            </w:pict>
          </mc:Fallback>
        </mc:AlternateContent>
      </w:r>
      <w:r w:rsidRPr="00543EF3">
        <w:rPr>
          <w:rFonts w:ascii="Arial" w:hAnsi="Arial" w:cs="Arial"/>
          <w:b/>
          <w:sz w:val="28"/>
          <w:szCs w:val="24"/>
        </w:rPr>
        <w:t>Phase 1: Plan and Prioritize</w:t>
      </w:r>
    </w:p>
    <w:p w14:paraId="6E371F11" w14:textId="77777777" w:rsidR="007049EE" w:rsidRPr="00B01CB8" w:rsidRDefault="007049EE" w:rsidP="007049EE">
      <w:pPr>
        <w:spacing w:after="0"/>
        <w:rPr>
          <w:rFonts w:ascii="Arial" w:hAnsi="Arial" w:cs="Arial"/>
          <w:b/>
          <w:sz w:val="28"/>
          <w:szCs w:val="24"/>
        </w:rPr>
      </w:pPr>
      <w:r w:rsidRPr="00B01CB8">
        <w:rPr>
          <w:rFonts w:ascii="Arial" w:hAnsi="Arial" w:cs="Arial"/>
          <w:b/>
          <w:sz w:val="28"/>
          <w:szCs w:val="24"/>
        </w:rPr>
        <w:t>Prioritization:</w:t>
      </w:r>
    </w:p>
    <w:p w14:paraId="6813F32C" w14:textId="77777777" w:rsidR="005C667F" w:rsidRDefault="007049EE" w:rsidP="007049EE">
      <w:pPr>
        <w:spacing w:after="0"/>
        <w:rPr>
          <w:rFonts w:ascii="Arial" w:hAnsi="Arial" w:cs="Arial"/>
          <w:sz w:val="24"/>
          <w:szCs w:val="24"/>
        </w:rPr>
      </w:pPr>
      <w:r w:rsidRPr="00B01CB8">
        <w:rPr>
          <w:rFonts w:ascii="Arial" w:hAnsi="Arial" w:cs="Arial"/>
          <w:sz w:val="24"/>
          <w:szCs w:val="24"/>
        </w:rPr>
        <w:t xml:space="preserve">Departments and agencies are responsible for developing and publishing a review plan. </w:t>
      </w:r>
      <w:r w:rsidR="00760924">
        <w:rPr>
          <w:rFonts w:ascii="Arial" w:hAnsi="Arial" w:cs="Arial"/>
          <w:sz w:val="24"/>
          <w:szCs w:val="24"/>
        </w:rPr>
        <w:t xml:space="preserve">How to prioritize the regulations within the stock should be determined by a set of criteria, as decided by the department or agency. </w:t>
      </w:r>
      <w:r w:rsidR="005C667F">
        <w:rPr>
          <w:rFonts w:ascii="Arial" w:hAnsi="Arial" w:cs="Arial"/>
          <w:sz w:val="24"/>
          <w:szCs w:val="24"/>
        </w:rPr>
        <w:t xml:space="preserve">Regulators should take into account stakeholder concerns or indications of problems when deciding what analytical questions to ask and what regulations to review in order. </w:t>
      </w:r>
    </w:p>
    <w:p w14:paraId="17015B10" w14:textId="77777777" w:rsidR="005C667F" w:rsidRDefault="005C667F" w:rsidP="007049EE">
      <w:pPr>
        <w:spacing w:after="0"/>
        <w:rPr>
          <w:rFonts w:ascii="Arial" w:hAnsi="Arial" w:cs="Arial"/>
          <w:sz w:val="24"/>
          <w:szCs w:val="24"/>
        </w:rPr>
      </w:pPr>
    </w:p>
    <w:p w14:paraId="17A890F6" w14:textId="6064D30C" w:rsidR="007049EE" w:rsidRPr="00B01CB8" w:rsidRDefault="007049EE" w:rsidP="007049EE">
      <w:pPr>
        <w:spacing w:after="0"/>
        <w:rPr>
          <w:rFonts w:ascii="Arial" w:hAnsi="Arial" w:cs="Arial"/>
          <w:sz w:val="24"/>
          <w:szCs w:val="24"/>
        </w:rPr>
      </w:pPr>
      <w:r w:rsidRPr="00B01CB8">
        <w:rPr>
          <w:rFonts w:ascii="Arial" w:hAnsi="Arial" w:cs="Arial"/>
          <w:sz w:val="24"/>
          <w:szCs w:val="24"/>
        </w:rPr>
        <w:t>When appropriat</w:t>
      </w:r>
      <w:r w:rsidR="005429E8">
        <w:rPr>
          <w:rFonts w:ascii="Arial" w:hAnsi="Arial" w:cs="Arial"/>
          <w:sz w:val="24"/>
          <w:szCs w:val="24"/>
        </w:rPr>
        <w:t xml:space="preserve">e, departments and agencies should </w:t>
      </w:r>
      <w:r w:rsidRPr="00B01CB8">
        <w:rPr>
          <w:rFonts w:ascii="Arial" w:hAnsi="Arial" w:cs="Arial"/>
          <w:sz w:val="24"/>
          <w:szCs w:val="24"/>
        </w:rPr>
        <w:t xml:space="preserve">work together to share information that may facilitate planning a stock review. </w:t>
      </w:r>
    </w:p>
    <w:p w14:paraId="38CDE4AA" w14:textId="77777777" w:rsidR="007049EE" w:rsidRPr="00B01CB8" w:rsidRDefault="007049EE" w:rsidP="007049EE">
      <w:pPr>
        <w:spacing w:after="0"/>
        <w:rPr>
          <w:rFonts w:ascii="Arial" w:hAnsi="Arial" w:cs="Arial"/>
          <w:sz w:val="24"/>
          <w:szCs w:val="24"/>
        </w:rPr>
      </w:pPr>
    </w:p>
    <w:p w14:paraId="4DCA298B" w14:textId="1BC0D35E" w:rsidR="007049EE" w:rsidRPr="00B01CB8" w:rsidRDefault="007049EE" w:rsidP="007049EE">
      <w:pPr>
        <w:spacing w:after="0"/>
        <w:rPr>
          <w:rFonts w:ascii="Arial" w:hAnsi="Arial" w:cs="Arial"/>
          <w:sz w:val="24"/>
          <w:szCs w:val="24"/>
        </w:rPr>
      </w:pPr>
      <w:r w:rsidRPr="00B01CB8">
        <w:rPr>
          <w:rFonts w:ascii="Arial" w:hAnsi="Arial" w:cs="Arial"/>
          <w:sz w:val="24"/>
          <w:szCs w:val="24"/>
        </w:rPr>
        <w:t>In situations where the administration of a regulation is shared among more than one department or agency, the department</w:t>
      </w:r>
      <w:r w:rsidR="009653A9">
        <w:rPr>
          <w:rFonts w:ascii="Arial" w:hAnsi="Arial" w:cs="Arial"/>
          <w:sz w:val="24"/>
          <w:szCs w:val="24"/>
        </w:rPr>
        <w:t xml:space="preserve"> or agency</w:t>
      </w:r>
      <w:r w:rsidRPr="00B01CB8">
        <w:rPr>
          <w:rFonts w:ascii="Arial" w:hAnsi="Arial" w:cs="Arial"/>
          <w:sz w:val="24"/>
          <w:szCs w:val="24"/>
        </w:rPr>
        <w:t xml:space="preserve"> responsible for implementation should lead the review. </w:t>
      </w:r>
      <w:r w:rsidR="00D8402B">
        <w:rPr>
          <w:rFonts w:ascii="Arial" w:hAnsi="Arial" w:cs="Arial"/>
          <w:sz w:val="24"/>
          <w:szCs w:val="24"/>
        </w:rPr>
        <w:t>When two or more departments</w:t>
      </w:r>
      <w:r w:rsidR="009653A9">
        <w:rPr>
          <w:rFonts w:ascii="Arial" w:hAnsi="Arial" w:cs="Arial"/>
          <w:sz w:val="24"/>
          <w:szCs w:val="24"/>
        </w:rPr>
        <w:t xml:space="preserve"> or agencies</w:t>
      </w:r>
      <w:r w:rsidR="00D8402B">
        <w:rPr>
          <w:rFonts w:ascii="Arial" w:hAnsi="Arial" w:cs="Arial"/>
          <w:sz w:val="24"/>
          <w:szCs w:val="24"/>
        </w:rPr>
        <w:t xml:space="preserve"> are responsible for implementation, the review should be coordinated between the responsible departments </w:t>
      </w:r>
      <w:r w:rsidR="009653A9">
        <w:rPr>
          <w:rFonts w:ascii="Arial" w:hAnsi="Arial" w:cs="Arial"/>
          <w:sz w:val="24"/>
          <w:szCs w:val="24"/>
        </w:rPr>
        <w:t xml:space="preserve">or agencies </w:t>
      </w:r>
      <w:r w:rsidR="00D8402B">
        <w:rPr>
          <w:rFonts w:ascii="Arial" w:hAnsi="Arial" w:cs="Arial"/>
          <w:sz w:val="24"/>
          <w:szCs w:val="24"/>
        </w:rPr>
        <w:t xml:space="preserve">and timelines should be reflected in both stock review plans. </w:t>
      </w:r>
    </w:p>
    <w:p w14:paraId="5FA8A6E4" w14:textId="77777777" w:rsidR="007049EE" w:rsidRPr="00B01CB8" w:rsidRDefault="007049EE" w:rsidP="007049EE">
      <w:pPr>
        <w:spacing w:after="0"/>
        <w:rPr>
          <w:rFonts w:ascii="Arial" w:hAnsi="Arial" w:cs="Arial"/>
          <w:sz w:val="24"/>
          <w:szCs w:val="24"/>
        </w:rPr>
      </w:pPr>
    </w:p>
    <w:p w14:paraId="64175A28" w14:textId="7347018A" w:rsidR="007049EE" w:rsidRPr="00B01CB8" w:rsidRDefault="004B7902" w:rsidP="007049EE">
      <w:pPr>
        <w:spacing w:after="0"/>
        <w:rPr>
          <w:rFonts w:ascii="Arial" w:hAnsi="Arial" w:cs="Arial"/>
          <w:sz w:val="24"/>
          <w:szCs w:val="24"/>
        </w:rPr>
      </w:pPr>
      <w:r>
        <w:rPr>
          <w:rFonts w:ascii="Arial" w:hAnsi="Arial" w:cs="Arial"/>
          <w:sz w:val="24"/>
          <w:szCs w:val="24"/>
        </w:rPr>
        <w:t>Time</w:t>
      </w:r>
      <w:r w:rsidR="007049EE" w:rsidRPr="00B01CB8">
        <w:rPr>
          <w:rFonts w:ascii="Arial" w:hAnsi="Arial" w:cs="Arial"/>
          <w:sz w:val="24"/>
          <w:szCs w:val="24"/>
        </w:rPr>
        <w:t xml:space="preserve"> </w:t>
      </w:r>
      <w:r w:rsidR="007049EE">
        <w:rPr>
          <w:rFonts w:ascii="Arial" w:hAnsi="Arial" w:cs="Arial"/>
          <w:sz w:val="24"/>
          <w:szCs w:val="24"/>
        </w:rPr>
        <w:t>and resources allocated to</w:t>
      </w:r>
      <w:r w:rsidR="007049EE" w:rsidRPr="00B01CB8">
        <w:rPr>
          <w:rFonts w:ascii="Arial" w:hAnsi="Arial" w:cs="Arial"/>
          <w:sz w:val="24"/>
          <w:szCs w:val="24"/>
        </w:rPr>
        <w:t xml:space="preserve"> the review should be proportionate to the level of impact of the regulation, as initially defined during the development of a regulation at the triage stage. </w:t>
      </w:r>
      <w:r>
        <w:rPr>
          <w:rFonts w:ascii="Arial" w:hAnsi="Arial" w:cs="Arial"/>
          <w:sz w:val="24"/>
          <w:szCs w:val="24"/>
        </w:rPr>
        <w:t>This means that low or no-impa</w:t>
      </w:r>
      <w:r w:rsidR="0098670C">
        <w:rPr>
          <w:rFonts w:ascii="Arial" w:hAnsi="Arial" w:cs="Arial"/>
          <w:sz w:val="24"/>
          <w:szCs w:val="24"/>
        </w:rPr>
        <w:t xml:space="preserve">ct regulatory reviews should be allocated a shorter timeline with less analytical effort applied than a significant impact regulation. </w:t>
      </w:r>
    </w:p>
    <w:p w14:paraId="6EEAAEDC" w14:textId="77777777" w:rsidR="007049EE" w:rsidRPr="00B01CB8" w:rsidRDefault="007049EE" w:rsidP="007049EE">
      <w:pPr>
        <w:spacing w:after="0"/>
        <w:rPr>
          <w:rFonts w:ascii="Arial" w:hAnsi="Arial" w:cs="Arial"/>
          <w:sz w:val="24"/>
          <w:szCs w:val="24"/>
        </w:rPr>
      </w:pPr>
    </w:p>
    <w:p w14:paraId="73F7C54A" w14:textId="77777777" w:rsidR="007049EE" w:rsidRPr="00B01CB8" w:rsidRDefault="007049EE" w:rsidP="007049EE">
      <w:pPr>
        <w:spacing w:after="0"/>
        <w:rPr>
          <w:rFonts w:ascii="Arial" w:hAnsi="Arial" w:cs="Arial"/>
          <w:b/>
          <w:sz w:val="28"/>
          <w:szCs w:val="24"/>
        </w:rPr>
      </w:pPr>
      <w:r w:rsidRPr="00B01CB8">
        <w:rPr>
          <w:rFonts w:ascii="Arial" w:hAnsi="Arial" w:cs="Arial"/>
          <w:b/>
          <w:sz w:val="28"/>
          <w:szCs w:val="24"/>
        </w:rPr>
        <w:t xml:space="preserve">Timeframe: </w:t>
      </w:r>
    </w:p>
    <w:p w14:paraId="03589A14" w14:textId="77777777" w:rsidR="007049EE" w:rsidRPr="00B01CB8" w:rsidRDefault="007049EE" w:rsidP="007049EE">
      <w:pPr>
        <w:spacing w:after="0"/>
        <w:rPr>
          <w:rFonts w:ascii="Arial" w:hAnsi="Arial" w:cs="Arial"/>
          <w:sz w:val="24"/>
          <w:szCs w:val="24"/>
        </w:rPr>
      </w:pPr>
      <w:r w:rsidRPr="00B01CB8">
        <w:rPr>
          <w:rFonts w:ascii="Arial" w:hAnsi="Arial" w:cs="Arial"/>
          <w:sz w:val="24"/>
          <w:szCs w:val="24"/>
        </w:rPr>
        <w:t xml:space="preserve">Departments and agencies must establish a timeframe for their stock review plan. The time horizon for the plan (for example, three, five or ten years) should be aligned with existing planning exercises within an organization to meet corporate needs, departmental </w:t>
      </w:r>
      <w:r w:rsidRPr="0069126F">
        <w:rPr>
          <w:rFonts w:ascii="Arial" w:hAnsi="Arial" w:cs="Arial"/>
          <w:sz w:val="24"/>
          <w:szCs w:val="24"/>
        </w:rPr>
        <w:t>audit</w:t>
      </w:r>
      <w:r w:rsidRPr="00F57954">
        <w:rPr>
          <w:rFonts w:ascii="Arial" w:hAnsi="Arial" w:cs="Arial"/>
          <w:sz w:val="24"/>
          <w:szCs w:val="24"/>
        </w:rPr>
        <w:t xml:space="preserve"> programs or evaluation committees’ requirements</w:t>
      </w:r>
      <w:r w:rsidRPr="0078202F">
        <w:rPr>
          <w:rFonts w:ascii="Arial" w:hAnsi="Arial" w:cs="Arial"/>
          <w:sz w:val="24"/>
          <w:szCs w:val="24"/>
        </w:rPr>
        <w:t>. Corporate functions often have subject matter expertise in the selection of performance measures or indicators and in data collection.</w:t>
      </w:r>
    </w:p>
    <w:p w14:paraId="791B9DD8" w14:textId="77777777" w:rsidR="007049EE" w:rsidRPr="00B01CB8" w:rsidRDefault="007049EE" w:rsidP="007049EE">
      <w:pPr>
        <w:spacing w:after="0"/>
        <w:jc w:val="center"/>
        <w:rPr>
          <w:rFonts w:ascii="Arial" w:hAnsi="Arial" w:cs="Arial"/>
          <w:b/>
          <w:sz w:val="28"/>
          <w:szCs w:val="24"/>
        </w:rPr>
      </w:pPr>
    </w:p>
    <w:p w14:paraId="33836A98" w14:textId="77777777" w:rsidR="007049EE" w:rsidRPr="00B01CB8" w:rsidRDefault="007049EE" w:rsidP="007049EE">
      <w:pPr>
        <w:spacing w:after="0"/>
        <w:jc w:val="center"/>
        <w:rPr>
          <w:rFonts w:ascii="Arial" w:hAnsi="Arial" w:cs="Arial"/>
          <w:b/>
          <w:sz w:val="28"/>
          <w:szCs w:val="24"/>
        </w:rPr>
      </w:pPr>
      <w:r w:rsidRPr="00B01CB8">
        <w:rPr>
          <w:rFonts w:ascii="Arial" w:hAnsi="Arial" w:cs="Arial"/>
          <w:b/>
          <w:sz w:val="28"/>
          <w:szCs w:val="24"/>
        </w:rPr>
        <w:t>Phase 2: Engage and Consult</w:t>
      </w:r>
    </w:p>
    <w:p w14:paraId="539D1E43" w14:textId="77777777" w:rsidR="007049EE" w:rsidRPr="00B01CB8" w:rsidRDefault="007049EE" w:rsidP="007049EE">
      <w:pPr>
        <w:spacing w:after="0"/>
        <w:rPr>
          <w:rFonts w:ascii="Arial" w:hAnsi="Arial" w:cs="Arial"/>
          <w:sz w:val="24"/>
          <w:szCs w:val="24"/>
        </w:rPr>
      </w:pPr>
    </w:p>
    <w:p w14:paraId="4D9ED066" w14:textId="25B1E3F9" w:rsidR="007049EE" w:rsidRPr="00B01CB8" w:rsidRDefault="007049EE" w:rsidP="007049EE">
      <w:pPr>
        <w:spacing w:after="0"/>
        <w:rPr>
          <w:rFonts w:ascii="Arial" w:hAnsi="Arial" w:cs="Arial"/>
          <w:sz w:val="24"/>
          <w:szCs w:val="24"/>
        </w:rPr>
      </w:pPr>
      <w:r w:rsidRPr="00B01CB8">
        <w:rPr>
          <w:rFonts w:ascii="Arial" w:hAnsi="Arial" w:cs="Arial"/>
          <w:sz w:val="24"/>
          <w:szCs w:val="24"/>
        </w:rPr>
        <w:t xml:space="preserve">The plan should be published </w:t>
      </w:r>
      <w:r w:rsidR="009653A9">
        <w:rPr>
          <w:rFonts w:ascii="Arial" w:hAnsi="Arial" w:cs="Arial"/>
          <w:sz w:val="24"/>
          <w:szCs w:val="24"/>
        </w:rPr>
        <w:t>on the department or agency’s</w:t>
      </w:r>
      <w:r w:rsidRPr="00B01CB8">
        <w:rPr>
          <w:rFonts w:ascii="Arial" w:hAnsi="Arial" w:cs="Arial"/>
          <w:sz w:val="24"/>
          <w:szCs w:val="24"/>
        </w:rPr>
        <w:t xml:space="preserve"> Acts and Regulations web page</w:t>
      </w:r>
      <w:r w:rsidR="00760924">
        <w:rPr>
          <w:rFonts w:ascii="Arial" w:hAnsi="Arial" w:cs="Arial"/>
          <w:sz w:val="24"/>
          <w:szCs w:val="24"/>
        </w:rPr>
        <w:t xml:space="preserve"> and linked to </w:t>
      </w:r>
      <w:r w:rsidR="009653A9">
        <w:rPr>
          <w:rFonts w:ascii="Arial" w:hAnsi="Arial" w:cs="Arial"/>
          <w:sz w:val="24"/>
          <w:szCs w:val="24"/>
        </w:rPr>
        <w:t>its</w:t>
      </w:r>
      <w:r w:rsidR="00760924">
        <w:rPr>
          <w:rFonts w:ascii="Arial" w:hAnsi="Arial" w:cs="Arial"/>
          <w:sz w:val="24"/>
          <w:szCs w:val="24"/>
        </w:rPr>
        <w:t xml:space="preserve"> Forward Regulatory Plan</w:t>
      </w:r>
      <w:r w:rsidRPr="00B01CB8">
        <w:rPr>
          <w:rFonts w:ascii="Arial" w:hAnsi="Arial" w:cs="Arial"/>
          <w:sz w:val="24"/>
          <w:szCs w:val="24"/>
        </w:rPr>
        <w:t xml:space="preserve"> to allow businesses, Canadians, and other </w:t>
      </w:r>
      <w:r w:rsidR="009653A9">
        <w:rPr>
          <w:rFonts w:ascii="Arial" w:hAnsi="Arial" w:cs="Arial"/>
          <w:sz w:val="24"/>
          <w:szCs w:val="24"/>
        </w:rPr>
        <w:t>orders</w:t>
      </w:r>
      <w:r w:rsidRPr="00B01CB8">
        <w:rPr>
          <w:rFonts w:ascii="Arial" w:hAnsi="Arial" w:cs="Arial"/>
          <w:sz w:val="24"/>
          <w:szCs w:val="24"/>
        </w:rPr>
        <w:t xml:space="preserve"> of government to provide input. </w:t>
      </w:r>
    </w:p>
    <w:p w14:paraId="60ADADA6" w14:textId="77777777" w:rsidR="007049EE" w:rsidRPr="00B01CB8" w:rsidRDefault="007049EE" w:rsidP="007049EE">
      <w:pPr>
        <w:spacing w:after="0"/>
        <w:rPr>
          <w:rFonts w:ascii="Arial" w:hAnsi="Arial" w:cs="Arial"/>
          <w:sz w:val="24"/>
          <w:szCs w:val="24"/>
        </w:rPr>
      </w:pPr>
      <w:r w:rsidRPr="00B01CB8">
        <w:rPr>
          <w:rFonts w:ascii="Arial" w:hAnsi="Arial" w:cs="Arial"/>
          <w:sz w:val="24"/>
          <w:szCs w:val="24"/>
        </w:rPr>
        <w:t xml:space="preserve"> </w:t>
      </w:r>
    </w:p>
    <w:p w14:paraId="01EB95EC" w14:textId="5FE0C944" w:rsidR="007049EE" w:rsidRDefault="007049EE" w:rsidP="007049EE">
      <w:pPr>
        <w:spacing w:after="0"/>
        <w:rPr>
          <w:rFonts w:ascii="Arial" w:hAnsi="Arial" w:cs="Arial"/>
          <w:sz w:val="24"/>
          <w:szCs w:val="24"/>
        </w:rPr>
      </w:pPr>
      <w:r w:rsidRPr="00F57954">
        <w:rPr>
          <w:rFonts w:ascii="Arial" w:hAnsi="Arial" w:cs="Arial"/>
          <w:sz w:val="24"/>
          <w:szCs w:val="24"/>
        </w:rPr>
        <w:t>As part of the engagement</w:t>
      </w:r>
      <w:r w:rsidRPr="0078202F">
        <w:rPr>
          <w:rFonts w:ascii="Arial" w:hAnsi="Arial" w:cs="Arial"/>
          <w:sz w:val="24"/>
          <w:szCs w:val="24"/>
        </w:rPr>
        <w:t xml:space="preserve"> process</w:t>
      </w:r>
      <w:r w:rsidRPr="00B01CB8">
        <w:rPr>
          <w:rFonts w:ascii="Arial" w:hAnsi="Arial" w:cs="Arial"/>
          <w:sz w:val="24"/>
          <w:szCs w:val="24"/>
        </w:rPr>
        <w:t xml:space="preserve">, departments and agencies should provide a mechanism to receive feedback and suggestions from stakeholders and should plan to </w:t>
      </w:r>
      <w:r w:rsidRPr="00B01CB8">
        <w:rPr>
          <w:rFonts w:ascii="Arial" w:hAnsi="Arial" w:cs="Arial"/>
          <w:sz w:val="24"/>
          <w:szCs w:val="24"/>
        </w:rPr>
        <w:lastRenderedPageBreak/>
        <w:t xml:space="preserve">address external stakeholders’ questions or concerns about the review plan. </w:t>
      </w:r>
      <w:r w:rsidR="00562CD9">
        <w:rPr>
          <w:rFonts w:ascii="Arial" w:hAnsi="Arial" w:cs="Arial"/>
          <w:sz w:val="24"/>
          <w:szCs w:val="24"/>
        </w:rPr>
        <w:t xml:space="preserve">It is at the departments and agencies discretion on how to best manage this process with their stakeholders. </w:t>
      </w:r>
    </w:p>
    <w:p w14:paraId="45E31F54" w14:textId="1E8083E6" w:rsidR="007049EE" w:rsidRPr="00B01CB8" w:rsidRDefault="007049EE" w:rsidP="00543EF3">
      <w:pPr>
        <w:spacing w:after="0"/>
        <w:rPr>
          <w:rFonts w:ascii="Arial" w:hAnsi="Arial" w:cs="Arial"/>
          <w:b/>
          <w:sz w:val="28"/>
          <w:szCs w:val="24"/>
        </w:rPr>
      </w:pPr>
    </w:p>
    <w:p w14:paraId="3535B3E2" w14:textId="77777777" w:rsidR="007049EE" w:rsidRPr="00B01CB8" w:rsidRDefault="007049EE" w:rsidP="007049EE">
      <w:pPr>
        <w:spacing w:after="0"/>
        <w:jc w:val="center"/>
        <w:rPr>
          <w:rFonts w:ascii="Arial" w:hAnsi="Arial" w:cs="Arial"/>
          <w:b/>
          <w:sz w:val="28"/>
          <w:szCs w:val="24"/>
        </w:rPr>
      </w:pPr>
      <w:r w:rsidRPr="00B01CB8">
        <w:rPr>
          <w:rFonts w:ascii="Arial" w:hAnsi="Arial" w:cs="Arial"/>
          <w:b/>
          <w:sz w:val="28"/>
          <w:szCs w:val="24"/>
        </w:rPr>
        <w:t>Phase 3: Conduct the Review and Report the Results</w:t>
      </w:r>
    </w:p>
    <w:p w14:paraId="6842B1D3" w14:textId="77777777" w:rsidR="007049EE" w:rsidRPr="00B01CB8" w:rsidRDefault="007049EE" w:rsidP="007049EE">
      <w:pPr>
        <w:spacing w:after="0"/>
        <w:rPr>
          <w:rFonts w:ascii="Arial" w:hAnsi="Arial" w:cs="Arial"/>
          <w:sz w:val="24"/>
          <w:szCs w:val="24"/>
        </w:rPr>
      </w:pPr>
    </w:p>
    <w:p w14:paraId="61ACEBDA" w14:textId="77777777" w:rsidR="007049EE" w:rsidRPr="00F57954" w:rsidRDefault="007049EE" w:rsidP="007049EE">
      <w:pPr>
        <w:spacing w:after="0"/>
        <w:rPr>
          <w:rFonts w:ascii="Arial" w:hAnsi="Arial" w:cs="Arial"/>
          <w:sz w:val="24"/>
          <w:szCs w:val="24"/>
        </w:rPr>
      </w:pPr>
      <w:r w:rsidRPr="00B01CB8">
        <w:rPr>
          <w:rFonts w:ascii="Arial" w:hAnsi="Arial" w:cs="Arial"/>
          <w:sz w:val="24"/>
          <w:szCs w:val="24"/>
        </w:rPr>
        <w:t xml:space="preserve">Departments and agencies are responsible for identifying an approach or a mix of approaches to </w:t>
      </w:r>
      <w:r w:rsidRPr="0069126F">
        <w:rPr>
          <w:rFonts w:ascii="Arial" w:hAnsi="Arial" w:cs="Arial"/>
          <w:sz w:val="24"/>
          <w:szCs w:val="24"/>
        </w:rPr>
        <w:t>assess their existing regulatory stock</w:t>
      </w:r>
      <w:r w:rsidRPr="00F57954">
        <w:rPr>
          <w:rFonts w:ascii="Arial" w:hAnsi="Arial" w:cs="Arial"/>
          <w:sz w:val="24"/>
          <w:szCs w:val="24"/>
        </w:rPr>
        <w:t>.</w:t>
      </w:r>
    </w:p>
    <w:p w14:paraId="41E1023B" w14:textId="77777777" w:rsidR="007049EE" w:rsidRPr="00F57954" w:rsidRDefault="007049EE" w:rsidP="007049EE">
      <w:pPr>
        <w:spacing w:after="0"/>
        <w:rPr>
          <w:rFonts w:ascii="Arial" w:hAnsi="Arial" w:cs="Arial"/>
          <w:sz w:val="24"/>
          <w:szCs w:val="24"/>
        </w:rPr>
      </w:pPr>
    </w:p>
    <w:p w14:paraId="701F6AD2" w14:textId="165C518B" w:rsidR="007049EE" w:rsidRPr="00B01CB8" w:rsidRDefault="007049EE" w:rsidP="007049EE">
      <w:pPr>
        <w:spacing w:after="0"/>
        <w:rPr>
          <w:rFonts w:ascii="Arial" w:hAnsi="Arial" w:cs="Arial"/>
          <w:sz w:val="24"/>
          <w:szCs w:val="24"/>
        </w:rPr>
      </w:pPr>
      <w:r w:rsidRPr="0078202F">
        <w:rPr>
          <w:rFonts w:ascii="Arial" w:hAnsi="Arial" w:cs="Arial"/>
          <w:sz w:val="24"/>
          <w:szCs w:val="24"/>
        </w:rPr>
        <w:t>W</w:t>
      </w:r>
      <w:r w:rsidRPr="00B01CB8">
        <w:rPr>
          <w:rFonts w:ascii="Arial" w:hAnsi="Arial" w:cs="Arial"/>
          <w:sz w:val="24"/>
          <w:szCs w:val="24"/>
        </w:rPr>
        <w:t>hen evaluating a regulation against a set of criteria to determine its effectiveness in solving the public policy problem, departments and agencies should use multiple lines of evidence (qualitative and quantitative) to demonstrate the performance of the regul</w:t>
      </w:r>
      <w:r w:rsidR="00B11DDC">
        <w:rPr>
          <w:rFonts w:ascii="Arial" w:hAnsi="Arial" w:cs="Arial"/>
          <w:sz w:val="24"/>
          <w:szCs w:val="24"/>
        </w:rPr>
        <w:t xml:space="preserve">ations and to support findings. They should also consider the original assumptions and estimates from the Regulatory Impact Analysis and the Cost-Benefit Analysis as part of their review, to determine if they regulation resulted in </w:t>
      </w:r>
      <w:r w:rsidR="00000CFC">
        <w:rPr>
          <w:rFonts w:ascii="Arial" w:hAnsi="Arial" w:cs="Arial"/>
          <w:sz w:val="24"/>
          <w:szCs w:val="24"/>
        </w:rPr>
        <w:t>the</w:t>
      </w:r>
      <w:r w:rsidR="00B11DDC">
        <w:rPr>
          <w:rFonts w:ascii="Arial" w:hAnsi="Arial" w:cs="Arial"/>
          <w:sz w:val="24"/>
          <w:szCs w:val="24"/>
        </w:rPr>
        <w:t xml:space="preserve"> expected impacts or if there are areas of analysis to adjust. </w:t>
      </w:r>
    </w:p>
    <w:p w14:paraId="0051EEE2" w14:textId="77777777" w:rsidR="007049EE" w:rsidRPr="00B01CB8" w:rsidRDefault="007049EE" w:rsidP="007049EE">
      <w:pPr>
        <w:spacing w:after="0"/>
        <w:rPr>
          <w:rFonts w:ascii="Arial" w:hAnsi="Arial" w:cs="Arial"/>
          <w:sz w:val="24"/>
          <w:szCs w:val="24"/>
        </w:rPr>
      </w:pPr>
    </w:p>
    <w:p w14:paraId="6245F97D" w14:textId="34839E9A" w:rsidR="007049EE" w:rsidRPr="00F57954" w:rsidRDefault="007049EE" w:rsidP="007049EE">
      <w:pPr>
        <w:spacing w:after="0"/>
        <w:rPr>
          <w:rFonts w:ascii="Arial" w:hAnsi="Arial" w:cs="Arial"/>
          <w:sz w:val="24"/>
          <w:szCs w:val="24"/>
        </w:rPr>
      </w:pPr>
      <w:r w:rsidRPr="00B01CB8">
        <w:rPr>
          <w:rFonts w:ascii="Arial" w:hAnsi="Arial" w:cs="Arial"/>
          <w:sz w:val="24"/>
          <w:szCs w:val="24"/>
        </w:rPr>
        <w:t>There are several avenues through which a department</w:t>
      </w:r>
      <w:r w:rsidR="009653A9">
        <w:rPr>
          <w:rFonts w:ascii="Arial" w:hAnsi="Arial" w:cs="Arial"/>
          <w:sz w:val="24"/>
          <w:szCs w:val="24"/>
        </w:rPr>
        <w:t xml:space="preserve"> or agency</w:t>
      </w:r>
      <w:r w:rsidRPr="00B01CB8">
        <w:rPr>
          <w:rFonts w:ascii="Arial" w:hAnsi="Arial" w:cs="Arial"/>
          <w:sz w:val="24"/>
          <w:szCs w:val="24"/>
        </w:rPr>
        <w:t xml:space="preserve"> can plan and perform a stock review, such as using ongoing stock management to comply with the requirements of the </w:t>
      </w:r>
      <w:r w:rsidRPr="00B01CB8">
        <w:rPr>
          <w:rFonts w:ascii="Arial" w:hAnsi="Arial" w:cs="Arial"/>
          <w:i/>
          <w:sz w:val="24"/>
          <w:szCs w:val="24"/>
        </w:rPr>
        <w:t>Red Tape Reduction Act</w:t>
      </w:r>
      <w:r w:rsidRPr="00B01CB8">
        <w:rPr>
          <w:rFonts w:ascii="Arial" w:hAnsi="Arial" w:cs="Arial"/>
          <w:sz w:val="24"/>
          <w:szCs w:val="24"/>
        </w:rPr>
        <w:t xml:space="preserve"> and the implementation of the One-for-One Rule, leveraging centrally-led sectoral reviews</w:t>
      </w:r>
      <w:r w:rsidR="00691D3C">
        <w:rPr>
          <w:rFonts w:ascii="Arial" w:hAnsi="Arial" w:cs="Arial"/>
          <w:sz w:val="24"/>
          <w:szCs w:val="24"/>
        </w:rPr>
        <w:t xml:space="preserve"> (such as those recently launched from Budget 2018 to examine bottlenecks to innovation)</w:t>
      </w:r>
      <w:r w:rsidRPr="00B01CB8">
        <w:rPr>
          <w:rFonts w:ascii="Arial" w:hAnsi="Arial" w:cs="Arial"/>
          <w:sz w:val="24"/>
          <w:szCs w:val="24"/>
        </w:rPr>
        <w:t xml:space="preserve">, capitalizing on ad-hoc departmental reviews of statutes and/or regulations, as well as using mandatory reviews of statutes and/or regulations, and regulatory program evaluation to meet the </w:t>
      </w:r>
      <w:r w:rsidR="00D019ED">
        <w:rPr>
          <w:rFonts w:ascii="Arial" w:hAnsi="Arial" w:cs="Arial"/>
          <w:sz w:val="24"/>
          <w:szCs w:val="24"/>
        </w:rPr>
        <w:t>Directive</w:t>
      </w:r>
      <w:r w:rsidRPr="00B01CB8">
        <w:rPr>
          <w:rFonts w:ascii="Arial" w:hAnsi="Arial" w:cs="Arial"/>
          <w:sz w:val="24"/>
          <w:szCs w:val="24"/>
        </w:rPr>
        <w:t xml:space="preserve"> requirements. </w:t>
      </w:r>
      <w:r w:rsidRPr="0069126F">
        <w:rPr>
          <w:rFonts w:ascii="Arial" w:hAnsi="Arial" w:cs="Arial"/>
          <w:sz w:val="24"/>
          <w:szCs w:val="24"/>
        </w:rPr>
        <w:t xml:space="preserve"> </w:t>
      </w:r>
    </w:p>
    <w:p w14:paraId="318122C1" w14:textId="77777777" w:rsidR="007049EE" w:rsidRPr="00F57954" w:rsidRDefault="007049EE" w:rsidP="007049EE">
      <w:pPr>
        <w:spacing w:after="0"/>
        <w:rPr>
          <w:rFonts w:ascii="Arial" w:hAnsi="Arial" w:cs="Arial"/>
          <w:sz w:val="24"/>
          <w:szCs w:val="24"/>
        </w:rPr>
      </w:pPr>
    </w:p>
    <w:p w14:paraId="421F0F05" w14:textId="77777777" w:rsidR="007049EE" w:rsidRPr="00B01CB8" w:rsidRDefault="007049EE" w:rsidP="007049EE">
      <w:pPr>
        <w:spacing w:after="0"/>
        <w:rPr>
          <w:rFonts w:ascii="Arial" w:hAnsi="Arial" w:cs="Arial"/>
          <w:sz w:val="24"/>
          <w:szCs w:val="24"/>
        </w:rPr>
      </w:pPr>
      <w:r w:rsidRPr="00F57954">
        <w:rPr>
          <w:rFonts w:ascii="Arial" w:hAnsi="Arial" w:cs="Arial"/>
          <w:sz w:val="24"/>
          <w:szCs w:val="24"/>
        </w:rPr>
        <w:t>R</w:t>
      </w:r>
      <w:r w:rsidRPr="0078202F">
        <w:rPr>
          <w:rFonts w:ascii="Arial" w:hAnsi="Arial" w:cs="Arial"/>
          <w:sz w:val="24"/>
          <w:szCs w:val="24"/>
        </w:rPr>
        <w:t>egulatory</w:t>
      </w:r>
      <w:r w:rsidRPr="00B01CB8">
        <w:rPr>
          <w:rFonts w:ascii="Arial" w:hAnsi="Arial" w:cs="Arial"/>
          <w:sz w:val="24"/>
          <w:szCs w:val="24"/>
        </w:rPr>
        <w:t xml:space="preserve"> stock reviews should have a clear methodology to allow for the collection and analysis of valid and reliable data. Reviews should include sufficient and appropriate consultation with external stakeholders, and should be conducted in a cost-effective manner. </w:t>
      </w:r>
    </w:p>
    <w:p w14:paraId="3C90028A" w14:textId="77777777" w:rsidR="007049EE" w:rsidRPr="00B01CB8" w:rsidRDefault="007049EE" w:rsidP="007049EE">
      <w:pPr>
        <w:spacing w:after="0"/>
        <w:rPr>
          <w:rFonts w:ascii="Arial" w:hAnsi="Arial" w:cs="Arial"/>
          <w:sz w:val="24"/>
          <w:szCs w:val="24"/>
        </w:rPr>
      </w:pPr>
    </w:p>
    <w:p w14:paraId="3DFF9377" w14:textId="3B675607" w:rsidR="00931ADB" w:rsidRDefault="007049EE" w:rsidP="007049EE">
      <w:pPr>
        <w:rPr>
          <w:rFonts w:ascii="Arial" w:hAnsi="Arial" w:cs="Arial"/>
          <w:sz w:val="24"/>
          <w:szCs w:val="24"/>
        </w:rPr>
      </w:pPr>
      <w:r w:rsidRPr="00B01CB8">
        <w:rPr>
          <w:rFonts w:ascii="Arial" w:hAnsi="Arial" w:cs="Arial"/>
          <w:sz w:val="24"/>
          <w:szCs w:val="24"/>
        </w:rPr>
        <w:t>Upon completing a review, departments and agencies should report outcomes. Lessons learned, policy conclusions</w:t>
      </w:r>
      <w:r w:rsidR="00496420">
        <w:rPr>
          <w:rFonts w:ascii="Arial" w:hAnsi="Arial" w:cs="Arial"/>
          <w:sz w:val="24"/>
          <w:szCs w:val="24"/>
        </w:rPr>
        <w:t>,</w:t>
      </w:r>
      <w:r w:rsidRPr="00B01CB8">
        <w:rPr>
          <w:rFonts w:ascii="Arial" w:hAnsi="Arial" w:cs="Arial"/>
          <w:sz w:val="24"/>
          <w:szCs w:val="24"/>
        </w:rPr>
        <w:t xml:space="preserve"> or other findings can also be shared</w:t>
      </w:r>
      <w:r w:rsidR="003D0829">
        <w:rPr>
          <w:rFonts w:ascii="Arial" w:hAnsi="Arial" w:cs="Arial"/>
          <w:sz w:val="24"/>
          <w:szCs w:val="24"/>
        </w:rPr>
        <w:t xml:space="preserve"> on their website</w:t>
      </w:r>
      <w:r w:rsidRPr="00B01CB8">
        <w:rPr>
          <w:rFonts w:ascii="Arial" w:hAnsi="Arial" w:cs="Arial"/>
          <w:sz w:val="24"/>
          <w:szCs w:val="24"/>
        </w:rPr>
        <w:t xml:space="preserve"> to promote transparency and inform other federal regulators </w:t>
      </w:r>
      <w:r w:rsidR="00496420">
        <w:rPr>
          <w:rFonts w:ascii="Arial" w:hAnsi="Arial" w:cs="Arial"/>
          <w:sz w:val="24"/>
          <w:szCs w:val="24"/>
        </w:rPr>
        <w:t xml:space="preserve">or other jurisdictions </w:t>
      </w:r>
      <w:r w:rsidRPr="00B01CB8">
        <w:rPr>
          <w:rFonts w:ascii="Arial" w:hAnsi="Arial" w:cs="Arial"/>
          <w:sz w:val="24"/>
          <w:szCs w:val="24"/>
        </w:rPr>
        <w:t>of best practices when undertaking a review.</w:t>
      </w:r>
    </w:p>
    <w:p w14:paraId="10C92103" w14:textId="77777777" w:rsidR="00911B6C" w:rsidRPr="005F204E" w:rsidRDefault="00911B6C" w:rsidP="00F15236">
      <w:pPr>
        <w:rPr>
          <w:rFonts w:ascii="Arial" w:hAnsi="Arial" w:cs="Arial"/>
          <w:sz w:val="24"/>
          <w:szCs w:val="24"/>
        </w:rPr>
      </w:pPr>
    </w:p>
    <w:p w14:paraId="0F042F55" w14:textId="77777777" w:rsidR="00374B22" w:rsidRPr="00374B22" w:rsidRDefault="00374B22" w:rsidP="00F15236">
      <w:pPr>
        <w:rPr>
          <w:rFonts w:ascii="Arial" w:hAnsi="Arial" w:cs="Arial"/>
          <w:sz w:val="24"/>
          <w:szCs w:val="24"/>
        </w:rPr>
      </w:pPr>
    </w:p>
    <w:p w14:paraId="2DB4778F" w14:textId="77777777" w:rsidR="00505EE3" w:rsidRPr="0072722B" w:rsidRDefault="00505EE3" w:rsidP="00505EE3">
      <w:pPr>
        <w:rPr>
          <w:rFonts w:ascii="Arial" w:hAnsi="Arial" w:cs="Arial"/>
          <w:szCs w:val="24"/>
        </w:rPr>
      </w:pPr>
    </w:p>
    <w:sectPr w:rsidR="00505EE3" w:rsidRPr="0072722B" w:rsidSect="00C840C8">
      <w:headerReference w:type="even" r:id="rId11"/>
      <w:headerReference w:type="default" r:id="rId12"/>
      <w:footerReference w:type="default" r:id="rId13"/>
      <w:headerReference w:type="first" r:id="rId14"/>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7D82" w14:textId="77777777" w:rsidR="00733B9E" w:rsidRDefault="00733B9E" w:rsidP="000B1627">
      <w:pPr>
        <w:spacing w:after="0" w:line="240" w:lineRule="auto"/>
      </w:pPr>
      <w:r>
        <w:separator/>
      </w:r>
    </w:p>
  </w:endnote>
  <w:endnote w:type="continuationSeparator" w:id="0">
    <w:p w14:paraId="1E57947A" w14:textId="77777777" w:rsidR="00733B9E" w:rsidRDefault="00733B9E" w:rsidP="000B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7291"/>
      <w:docPartObj>
        <w:docPartGallery w:val="Page Numbers (Bottom of Page)"/>
        <w:docPartUnique/>
      </w:docPartObj>
    </w:sdtPr>
    <w:sdtEndPr>
      <w:rPr>
        <w:noProof/>
      </w:rPr>
    </w:sdtEndPr>
    <w:sdtContent>
      <w:p w14:paraId="38CC7BB0" w14:textId="77777777" w:rsidR="00733B9E" w:rsidRDefault="00733B9E">
        <w:pPr>
          <w:pStyle w:val="Footer"/>
          <w:jc w:val="right"/>
        </w:pPr>
        <w:r>
          <w:fldChar w:fldCharType="begin"/>
        </w:r>
        <w:r>
          <w:instrText xml:space="preserve"> PAGE   \* MERGEFORMAT </w:instrText>
        </w:r>
        <w:r>
          <w:fldChar w:fldCharType="separate"/>
        </w:r>
        <w:r w:rsidR="009631F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B7D5" w14:textId="77777777" w:rsidR="00733B9E" w:rsidRDefault="00733B9E" w:rsidP="000B1627">
      <w:pPr>
        <w:spacing w:after="0" w:line="240" w:lineRule="auto"/>
      </w:pPr>
      <w:r>
        <w:separator/>
      </w:r>
    </w:p>
  </w:footnote>
  <w:footnote w:type="continuationSeparator" w:id="0">
    <w:p w14:paraId="6145F57F" w14:textId="77777777" w:rsidR="00733B9E" w:rsidRDefault="00733B9E" w:rsidP="000B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C4EB" w14:textId="0292B28C" w:rsidR="007311AE" w:rsidRDefault="002F54EC" w:rsidP="002F54EC">
    <w:pPr>
      <w:pStyle w:val="Header"/>
      <w:jc w:val="right"/>
      <w:rPr>
        <w:rFonts w:ascii="Arial" w:hAnsi="Arial" w:cs="Arial"/>
        <w:color w:val="000000"/>
        <w:sz w:val="24"/>
      </w:rPr>
    </w:pPr>
    <w:bookmarkStart w:id="1" w:name="aliashPOLUnclassified1HeaderEvenPages"/>
    <w:r>
      <w:rPr>
        <w:rFonts w:ascii="Arial" w:hAnsi="Arial" w:cs="Arial"/>
        <w:color w:val="000000"/>
        <w:sz w:val="24"/>
      </w:rPr>
      <w:t>UNCLASSIFIED / NON CLASSIFIÉ</w:t>
    </w:r>
  </w:p>
  <w:bookmarkEnd w:id="1"/>
  <w:p w14:paraId="43B9060D" w14:textId="77777777" w:rsidR="00733B9E" w:rsidRDefault="00733B9E" w:rsidP="00682F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34B1" w14:textId="77777777" w:rsidR="00326483" w:rsidRDefault="00326483" w:rsidP="00B01CB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0104" w14:textId="0778CAF8" w:rsidR="007311AE" w:rsidRDefault="002F54EC" w:rsidP="002F54EC">
    <w:pPr>
      <w:pStyle w:val="Header"/>
      <w:jc w:val="right"/>
      <w:rPr>
        <w:rFonts w:ascii="Arial" w:hAnsi="Arial" w:cs="Arial"/>
        <w:color w:val="000000"/>
        <w:sz w:val="24"/>
      </w:rPr>
    </w:pPr>
    <w:bookmarkStart w:id="2" w:name="aliashPOLUnclassified1HeaderFirstPage"/>
    <w:r>
      <w:rPr>
        <w:rFonts w:ascii="Arial" w:hAnsi="Arial" w:cs="Arial"/>
        <w:color w:val="000000"/>
        <w:sz w:val="24"/>
      </w:rPr>
      <w:t>UNCLASSIFIED / NON CLASSIFIÉ</w:t>
    </w:r>
  </w:p>
  <w:bookmarkEnd w:id="2"/>
  <w:p w14:paraId="5FCC2B83" w14:textId="77777777" w:rsidR="00733B9E" w:rsidRDefault="00733B9E" w:rsidP="00682F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23FD"/>
    <w:multiLevelType w:val="hybridMultilevel"/>
    <w:tmpl w:val="B3D20446"/>
    <w:lvl w:ilvl="0" w:tplc="53181336">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D67C7"/>
    <w:multiLevelType w:val="hybridMultilevel"/>
    <w:tmpl w:val="E938C4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2C5D08"/>
    <w:multiLevelType w:val="hybridMultilevel"/>
    <w:tmpl w:val="40685D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3994B1D"/>
    <w:multiLevelType w:val="hybridMultilevel"/>
    <w:tmpl w:val="A7887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ED4E29"/>
    <w:multiLevelType w:val="hybridMultilevel"/>
    <w:tmpl w:val="97CE5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FA1DEC"/>
    <w:multiLevelType w:val="hybridMultilevel"/>
    <w:tmpl w:val="9E1A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F820F4"/>
    <w:multiLevelType w:val="hybridMultilevel"/>
    <w:tmpl w:val="CDB0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8EC7AA2"/>
    <w:multiLevelType w:val="multilevel"/>
    <w:tmpl w:val="F2983ACE"/>
    <w:lvl w:ilvl="0">
      <w:start w:val="1"/>
      <w:numFmt w:val="decimal"/>
      <w:pStyle w:val="Heading1"/>
      <w:lvlText w:val="%1."/>
      <w:lvlJc w:val="left"/>
      <w:pPr>
        <w:tabs>
          <w:tab w:val="num" w:pos="360"/>
        </w:tabs>
        <w:ind w:left="360" w:hanging="360"/>
      </w:pPr>
      <w:rPr>
        <w:rFonts w:hint="default"/>
      </w:rPr>
    </w:lvl>
    <w:lvl w:ilvl="1">
      <w:start w:val="1"/>
      <w:numFmt w:val="decimal"/>
      <w:pStyle w:val="Numberedpara"/>
      <w:lvlText w:val="%1.%2"/>
      <w:lvlJc w:val="left"/>
      <w:pPr>
        <w:tabs>
          <w:tab w:val="num" w:pos="1004"/>
        </w:tabs>
        <w:ind w:left="1004" w:hanging="720"/>
      </w:pPr>
      <w:rPr>
        <w:rFonts w:hint="default"/>
        <w:b w:val="0"/>
        <w:i w:val="0"/>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7"/>
    <w:rsid w:val="00000538"/>
    <w:rsid w:val="00000CFC"/>
    <w:rsid w:val="00001199"/>
    <w:rsid w:val="00003017"/>
    <w:rsid w:val="00005619"/>
    <w:rsid w:val="00007C5F"/>
    <w:rsid w:val="00011EEC"/>
    <w:rsid w:val="00014DFB"/>
    <w:rsid w:val="00015764"/>
    <w:rsid w:val="000177E6"/>
    <w:rsid w:val="00020122"/>
    <w:rsid w:val="00020A50"/>
    <w:rsid w:val="00020C48"/>
    <w:rsid w:val="00022E76"/>
    <w:rsid w:val="00030FF7"/>
    <w:rsid w:val="00031756"/>
    <w:rsid w:val="000342E8"/>
    <w:rsid w:val="00034B75"/>
    <w:rsid w:val="00036C95"/>
    <w:rsid w:val="0003718F"/>
    <w:rsid w:val="00041BBE"/>
    <w:rsid w:val="00042B5C"/>
    <w:rsid w:val="00044FD6"/>
    <w:rsid w:val="0005035F"/>
    <w:rsid w:val="0005242C"/>
    <w:rsid w:val="00053206"/>
    <w:rsid w:val="0005517F"/>
    <w:rsid w:val="000563B1"/>
    <w:rsid w:val="00056647"/>
    <w:rsid w:val="000568CB"/>
    <w:rsid w:val="0005764F"/>
    <w:rsid w:val="00057FC0"/>
    <w:rsid w:val="0006074C"/>
    <w:rsid w:val="00062B50"/>
    <w:rsid w:val="00066BC2"/>
    <w:rsid w:val="00067680"/>
    <w:rsid w:val="00067A5F"/>
    <w:rsid w:val="00072442"/>
    <w:rsid w:val="00074C9B"/>
    <w:rsid w:val="0007744C"/>
    <w:rsid w:val="000774F6"/>
    <w:rsid w:val="000847A7"/>
    <w:rsid w:val="00086216"/>
    <w:rsid w:val="0008654A"/>
    <w:rsid w:val="0009191B"/>
    <w:rsid w:val="00091F43"/>
    <w:rsid w:val="00092554"/>
    <w:rsid w:val="00092871"/>
    <w:rsid w:val="0009298C"/>
    <w:rsid w:val="000952C3"/>
    <w:rsid w:val="000A208D"/>
    <w:rsid w:val="000A4950"/>
    <w:rsid w:val="000A4F7F"/>
    <w:rsid w:val="000A778B"/>
    <w:rsid w:val="000B0AD0"/>
    <w:rsid w:val="000B1627"/>
    <w:rsid w:val="000B31D9"/>
    <w:rsid w:val="000B4B42"/>
    <w:rsid w:val="000B7D7F"/>
    <w:rsid w:val="000C00AF"/>
    <w:rsid w:val="000C0F75"/>
    <w:rsid w:val="000C288D"/>
    <w:rsid w:val="000C715D"/>
    <w:rsid w:val="000C7955"/>
    <w:rsid w:val="000C7ADC"/>
    <w:rsid w:val="000C7F62"/>
    <w:rsid w:val="000D3226"/>
    <w:rsid w:val="000D6A30"/>
    <w:rsid w:val="000E0A1A"/>
    <w:rsid w:val="000E38A0"/>
    <w:rsid w:val="000E6131"/>
    <w:rsid w:val="000E689C"/>
    <w:rsid w:val="000E7CF2"/>
    <w:rsid w:val="000F22D0"/>
    <w:rsid w:val="000F7232"/>
    <w:rsid w:val="000F777A"/>
    <w:rsid w:val="00104681"/>
    <w:rsid w:val="00104855"/>
    <w:rsid w:val="00115E7C"/>
    <w:rsid w:val="001166DD"/>
    <w:rsid w:val="00116B36"/>
    <w:rsid w:val="0012599F"/>
    <w:rsid w:val="001321E0"/>
    <w:rsid w:val="001358ED"/>
    <w:rsid w:val="00137C26"/>
    <w:rsid w:val="0014060D"/>
    <w:rsid w:val="00144A27"/>
    <w:rsid w:val="00147E33"/>
    <w:rsid w:val="00154E00"/>
    <w:rsid w:val="001624BA"/>
    <w:rsid w:val="00165170"/>
    <w:rsid w:val="001660D7"/>
    <w:rsid w:val="0016663B"/>
    <w:rsid w:val="00170653"/>
    <w:rsid w:val="00175874"/>
    <w:rsid w:val="001768FE"/>
    <w:rsid w:val="00176F9A"/>
    <w:rsid w:val="00177CEC"/>
    <w:rsid w:val="0018110A"/>
    <w:rsid w:val="001951FE"/>
    <w:rsid w:val="00195E09"/>
    <w:rsid w:val="001A0CF9"/>
    <w:rsid w:val="001A4A86"/>
    <w:rsid w:val="001A6A74"/>
    <w:rsid w:val="001A6A9E"/>
    <w:rsid w:val="001A741C"/>
    <w:rsid w:val="001B04EA"/>
    <w:rsid w:val="001B49E7"/>
    <w:rsid w:val="001C0008"/>
    <w:rsid w:val="001C0886"/>
    <w:rsid w:val="001C2F7B"/>
    <w:rsid w:val="001C38A8"/>
    <w:rsid w:val="001C69D7"/>
    <w:rsid w:val="001C796A"/>
    <w:rsid w:val="001C7DD5"/>
    <w:rsid w:val="001D01F1"/>
    <w:rsid w:val="001D1AE6"/>
    <w:rsid w:val="001D7213"/>
    <w:rsid w:val="001E0900"/>
    <w:rsid w:val="001E0E85"/>
    <w:rsid w:val="001E0F55"/>
    <w:rsid w:val="001E1F39"/>
    <w:rsid w:val="001E2008"/>
    <w:rsid w:val="001E6F83"/>
    <w:rsid w:val="001E7266"/>
    <w:rsid w:val="001F0347"/>
    <w:rsid w:val="001F6BB7"/>
    <w:rsid w:val="00202C2E"/>
    <w:rsid w:val="0020333C"/>
    <w:rsid w:val="00203B74"/>
    <w:rsid w:val="0020605C"/>
    <w:rsid w:val="00207070"/>
    <w:rsid w:val="00207A2F"/>
    <w:rsid w:val="002118E5"/>
    <w:rsid w:val="00212A7B"/>
    <w:rsid w:val="002136E0"/>
    <w:rsid w:val="00214762"/>
    <w:rsid w:val="00216759"/>
    <w:rsid w:val="00216A83"/>
    <w:rsid w:val="00217550"/>
    <w:rsid w:val="002234F4"/>
    <w:rsid w:val="002256C2"/>
    <w:rsid w:val="00232B89"/>
    <w:rsid w:val="002337AA"/>
    <w:rsid w:val="00233C5F"/>
    <w:rsid w:val="002442E9"/>
    <w:rsid w:val="002470C6"/>
    <w:rsid w:val="00250EA5"/>
    <w:rsid w:val="002521E7"/>
    <w:rsid w:val="0025287A"/>
    <w:rsid w:val="00253BE5"/>
    <w:rsid w:val="00255E85"/>
    <w:rsid w:val="0026226F"/>
    <w:rsid w:val="0026497F"/>
    <w:rsid w:val="00264FEA"/>
    <w:rsid w:val="002679B8"/>
    <w:rsid w:val="002713C5"/>
    <w:rsid w:val="002761B8"/>
    <w:rsid w:val="0028186E"/>
    <w:rsid w:val="00283DE0"/>
    <w:rsid w:val="00290796"/>
    <w:rsid w:val="002920E0"/>
    <w:rsid w:val="00296745"/>
    <w:rsid w:val="00296A21"/>
    <w:rsid w:val="00297F08"/>
    <w:rsid w:val="002A031E"/>
    <w:rsid w:val="002A103C"/>
    <w:rsid w:val="002A1D78"/>
    <w:rsid w:val="002A39B9"/>
    <w:rsid w:val="002A458E"/>
    <w:rsid w:val="002A4B3F"/>
    <w:rsid w:val="002A6A31"/>
    <w:rsid w:val="002B4353"/>
    <w:rsid w:val="002B4B6B"/>
    <w:rsid w:val="002C3753"/>
    <w:rsid w:val="002C5907"/>
    <w:rsid w:val="002C71A4"/>
    <w:rsid w:val="002D1FC1"/>
    <w:rsid w:val="002D310E"/>
    <w:rsid w:val="002D4F2C"/>
    <w:rsid w:val="002D619C"/>
    <w:rsid w:val="002E1326"/>
    <w:rsid w:val="002E272E"/>
    <w:rsid w:val="002E465D"/>
    <w:rsid w:val="002E4ED1"/>
    <w:rsid w:val="002E5335"/>
    <w:rsid w:val="002E658B"/>
    <w:rsid w:val="002E6F4E"/>
    <w:rsid w:val="002F35D3"/>
    <w:rsid w:val="002F51BC"/>
    <w:rsid w:val="002F521C"/>
    <w:rsid w:val="002F54EC"/>
    <w:rsid w:val="00300D1A"/>
    <w:rsid w:val="00301FC9"/>
    <w:rsid w:val="00302A6D"/>
    <w:rsid w:val="00302A7D"/>
    <w:rsid w:val="003079F7"/>
    <w:rsid w:val="00313094"/>
    <w:rsid w:val="00317F93"/>
    <w:rsid w:val="00321A96"/>
    <w:rsid w:val="003222F8"/>
    <w:rsid w:val="00323106"/>
    <w:rsid w:val="0032393C"/>
    <w:rsid w:val="00323AC9"/>
    <w:rsid w:val="00324B5F"/>
    <w:rsid w:val="00325C09"/>
    <w:rsid w:val="00326483"/>
    <w:rsid w:val="00326F69"/>
    <w:rsid w:val="003324E5"/>
    <w:rsid w:val="00332A61"/>
    <w:rsid w:val="00332E69"/>
    <w:rsid w:val="00334EDC"/>
    <w:rsid w:val="0033763D"/>
    <w:rsid w:val="003400E1"/>
    <w:rsid w:val="0034297D"/>
    <w:rsid w:val="0034601D"/>
    <w:rsid w:val="003461D6"/>
    <w:rsid w:val="00352D8A"/>
    <w:rsid w:val="003533BB"/>
    <w:rsid w:val="00353F0E"/>
    <w:rsid w:val="00355766"/>
    <w:rsid w:val="00356E38"/>
    <w:rsid w:val="0035731A"/>
    <w:rsid w:val="00357653"/>
    <w:rsid w:val="003632AD"/>
    <w:rsid w:val="0036762B"/>
    <w:rsid w:val="00370255"/>
    <w:rsid w:val="00372CBD"/>
    <w:rsid w:val="003737E2"/>
    <w:rsid w:val="00373E1F"/>
    <w:rsid w:val="0037417C"/>
    <w:rsid w:val="003745C1"/>
    <w:rsid w:val="00374B22"/>
    <w:rsid w:val="003803F0"/>
    <w:rsid w:val="00381022"/>
    <w:rsid w:val="003820A1"/>
    <w:rsid w:val="00386BA3"/>
    <w:rsid w:val="00386C13"/>
    <w:rsid w:val="003A1A24"/>
    <w:rsid w:val="003A28FF"/>
    <w:rsid w:val="003A7482"/>
    <w:rsid w:val="003A7C2C"/>
    <w:rsid w:val="003B47AB"/>
    <w:rsid w:val="003B5C27"/>
    <w:rsid w:val="003B67CF"/>
    <w:rsid w:val="003C3E2C"/>
    <w:rsid w:val="003C5C21"/>
    <w:rsid w:val="003C6934"/>
    <w:rsid w:val="003C7494"/>
    <w:rsid w:val="003D0790"/>
    <w:rsid w:val="003D0829"/>
    <w:rsid w:val="003D4A16"/>
    <w:rsid w:val="003D4A65"/>
    <w:rsid w:val="003D50DD"/>
    <w:rsid w:val="003E0ED0"/>
    <w:rsid w:val="003E1205"/>
    <w:rsid w:val="003E2119"/>
    <w:rsid w:val="003E3D27"/>
    <w:rsid w:val="003E4873"/>
    <w:rsid w:val="003E5642"/>
    <w:rsid w:val="003F089F"/>
    <w:rsid w:val="003F204F"/>
    <w:rsid w:val="003F2E39"/>
    <w:rsid w:val="003F41C4"/>
    <w:rsid w:val="003F686D"/>
    <w:rsid w:val="003F6F11"/>
    <w:rsid w:val="00401E9D"/>
    <w:rsid w:val="00410B3E"/>
    <w:rsid w:val="00413235"/>
    <w:rsid w:val="004133CA"/>
    <w:rsid w:val="00416B86"/>
    <w:rsid w:val="0042059B"/>
    <w:rsid w:val="00420F40"/>
    <w:rsid w:val="004210CE"/>
    <w:rsid w:val="00422DB0"/>
    <w:rsid w:val="004234CC"/>
    <w:rsid w:val="00425AA4"/>
    <w:rsid w:val="00430371"/>
    <w:rsid w:val="00433A04"/>
    <w:rsid w:val="004401D9"/>
    <w:rsid w:val="00452FEB"/>
    <w:rsid w:val="004560D1"/>
    <w:rsid w:val="004604EE"/>
    <w:rsid w:val="00460892"/>
    <w:rsid w:val="004628B7"/>
    <w:rsid w:val="004656DC"/>
    <w:rsid w:val="00467CC4"/>
    <w:rsid w:val="00472061"/>
    <w:rsid w:val="00474612"/>
    <w:rsid w:val="0047720E"/>
    <w:rsid w:val="00477CE3"/>
    <w:rsid w:val="004809F2"/>
    <w:rsid w:val="00483D57"/>
    <w:rsid w:val="004864FB"/>
    <w:rsid w:val="00487871"/>
    <w:rsid w:val="00491C64"/>
    <w:rsid w:val="00494911"/>
    <w:rsid w:val="00496420"/>
    <w:rsid w:val="00496DA4"/>
    <w:rsid w:val="004A05F6"/>
    <w:rsid w:val="004A346E"/>
    <w:rsid w:val="004A3D6D"/>
    <w:rsid w:val="004A683B"/>
    <w:rsid w:val="004B0AD6"/>
    <w:rsid w:val="004B3969"/>
    <w:rsid w:val="004B4648"/>
    <w:rsid w:val="004B6695"/>
    <w:rsid w:val="004B7902"/>
    <w:rsid w:val="004C13A3"/>
    <w:rsid w:val="004D31D5"/>
    <w:rsid w:val="004D3328"/>
    <w:rsid w:val="004D3E61"/>
    <w:rsid w:val="004D4A26"/>
    <w:rsid w:val="004D5211"/>
    <w:rsid w:val="004E154D"/>
    <w:rsid w:val="004E19EC"/>
    <w:rsid w:val="004E33D2"/>
    <w:rsid w:val="004E3F1D"/>
    <w:rsid w:val="004E64A9"/>
    <w:rsid w:val="004F07BA"/>
    <w:rsid w:val="004F0974"/>
    <w:rsid w:val="004F45BD"/>
    <w:rsid w:val="004F571A"/>
    <w:rsid w:val="004F5A2A"/>
    <w:rsid w:val="004F7E1E"/>
    <w:rsid w:val="00501A50"/>
    <w:rsid w:val="005039C7"/>
    <w:rsid w:val="00503F91"/>
    <w:rsid w:val="00504198"/>
    <w:rsid w:val="00505EE3"/>
    <w:rsid w:val="00513906"/>
    <w:rsid w:val="005139F8"/>
    <w:rsid w:val="00513EF1"/>
    <w:rsid w:val="0051428C"/>
    <w:rsid w:val="00521A45"/>
    <w:rsid w:val="0052614A"/>
    <w:rsid w:val="00530278"/>
    <w:rsid w:val="005308A0"/>
    <w:rsid w:val="00540E81"/>
    <w:rsid w:val="00541D8F"/>
    <w:rsid w:val="005429E8"/>
    <w:rsid w:val="005435BE"/>
    <w:rsid w:val="00543EF3"/>
    <w:rsid w:val="00545103"/>
    <w:rsid w:val="00547CC0"/>
    <w:rsid w:val="005526E8"/>
    <w:rsid w:val="00555E3B"/>
    <w:rsid w:val="00557376"/>
    <w:rsid w:val="00562A5D"/>
    <w:rsid w:val="00562CD9"/>
    <w:rsid w:val="005670E5"/>
    <w:rsid w:val="005675B8"/>
    <w:rsid w:val="00573317"/>
    <w:rsid w:val="00574B70"/>
    <w:rsid w:val="0058291F"/>
    <w:rsid w:val="005867BB"/>
    <w:rsid w:val="005924B7"/>
    <w:rsid w:val="00593663"/>
    <w:rsid w:val="00593F94"/>
    <w:rsid w:val="00594098"/>
    <w:rsid w:val="00594A70"/>
    <w:rsid w:val="005954B7"/>
    <w:rsid w:val="005961C7"/>
    <w:rsid w:val="00596D5A"/>
    <w:rsid w:val="005A02B5"/>
    <w:rsid w:val="005A22D9"/>
    <w:rsid w:val="005A2C17"/>
    <w:rsid w:val="005A33E5"/>
    <w:rsid w:val="005A6DD9"/>
    <w:rsid w:val="005B20AF"/>
    <w:rsid w:val="005C06FD"/>
    <w:rsid w:val="005C16A0"/>
    <w:rsid w:val="005C24AF"/>
    <w:rsid w:val="005C4567"/>
    <w:rsid w:val="005C461A"/>
    <w:rsid w:val="005C4F7C"/>
    <w:rsid w:val="005C667F"/>
    <w:rsid w:val="005D0BAA"/>
    <w:rsid w:val="005D18E8"/>
    <w:rsid w:val="005D2B20"/>
    <w:rsid w:val="005D2EB3"/>
    <w:rsid w:val="005D78C4"/>
    <w:rsid w:val="005E1F67"/>
    <w:rsid w:val="005F204E"/>
    <w:rsid w:val="005F559A"/>
    <w:rsid w:val="005F781C"/>
    <w:rsid w:val="005F7A6E"/>
    <w:rsid w:val="006002A4"/>
    <w:rsid w:val="00600346"/>
    <w:rsid w:val="006008FF"/>
    <w:rsid w:val="006025F6"/>
    <w:rsid w:val="00602D7F"/>
    <w:rsid w:val="00604D78"/>
    <w:rsid w:val="0060514F"/>
    <w:rsid w:val="00605870"/>
    <w:rsid w:val="00607588"/>
    <w:rsid w:val="0060758B"/>
    <w:rsid w:val="00612739"/>
    <w:rsid w:val="0061498B"/>
    <w:rsid w:val="00614B8B"/>
    <w:rsid w:val="006150CE"/>
    <w:rsid w:val="00616A9D"/>
    <w:rsid w:val="00620A12"/>
    <w:rsid w:val="00620DE8"/>
    <w:rsid w:val="00621B3D"/>
    <w:rsid w:val="00626602"/>
    <w:rsid w:val="00630356"/>
    <w:rsid w:val="0063136C"/>
    <w:rsid w:val="00633A95"/>
    <w:rsid w:val="00633EE2"/>
    <w:rsid w:val="00637962"/>
    <w:rsid w:val="00644603"/>
    <w:rsid w:val="00645B2B"/>
    <w:rsid w:val="00650D06"/>
    <w:rsid w:val="00653EF9"/>
    <w:rsid w:val="00657356"/>
    <w:rsid w:val="00663459"/>
    <w:rsid w:val="006677BD"/>
    <w:rsid w:val="00671315"/>
    <w:rsid w:val="00672681"/>
    <w:rsid w:val="00673FF7"/>
    <w:rsid w:val="00674521"/>
    <w:rsid w:val="00681B75"/>
    <w:rsid w:val="00682F30"/>
    <w:rsid w:val="00686E85"/>
    <w:rsid w:val="00686EEA"/>
    <w:rsid w:val="0069126F"/>
    <w:rsid w:val="00691D3C"/>
    <w:rsid w:val="006943C1"/>
    <w:rsid w:val="00695A97"/>
    <w:rsid w:val="006960F6"/>
    <w:rsid w:val="00697774"/>
    <w:rsid w:val="006A2256"/>
    <w:rsid w:val="006A22BE"/>
    <w:rsid w:val="006A36C1"/>
    <w:rsid w:val="006A3C0B"/>
    <w:rsid w:val="006A5467"/>
    <w:rsid w:val="006A6A57"/>
    <w:rsid w:val="006A6AC4"/>
    <w:rsid w:val="006A7E83"/>
    <w:rsid w:val="006B04ED"/>
    <w:rsid w:val="006B0FD4"/>
    <w:rsid w:val="006B189D"/>
    <w:rsid w:val="006B2083"/>
    <w:rsid w:val="006B3A71"/>
    <w:rsid w:val="006B4A5E"/>
    <w:rsid w:val="006B5BB1"/>
    <w:rsid w:val="006B617C"/>
    <w:rsid w:val="006B7804"/>
    <w:rsid w:val="006C038D"/>
    <w:rsid w:val="006C21A8"/>
    <w:rsid w:val="006D5750"/>
    <w:rsid w:val="006D748F"/>
    <w:rsid w:val="006E2CD5"/>
    <w:rsid w:val="006E4506"/>
    <w:rsid w:val="006E5E48"/>
    <w:rsid w:val="006E638D"/>
    <w:rsid w:val="006E6C4B"/>
    <w:rsid w:val="006F066B"/>
    <w:rsid w:val="006F1986"/>
    <w:rsid w:val="006F3D0A"/>
    <w:rsid w:val="006F7C25"/>
    <w:rsid w:val="007042B4"/>
    <w:rsid w:val="007049EE"/>
    <w:rsid w:val="0070572E"/>
    <w:rsid w:val="00710505"/>
    <w:rsid w:val="0071189A"/>
    <w:rsid w:val="007140E9"/>
    <w:rsid w:val="00714675"/>
    <w:rsid w:val="00723329"/>
    <w:rsid w:val="00723749"/>
    <w:rsid w:val="00724291"/>
    <w:rsid w:val="00725863"/>
    <w:rsid w:val="0072722B"/>
    <w:rsid w:val="00730B6B"/>
    <w:rsid w:val="007311AE"/>
    <w:rsid w:val="00733B9E"/>
    <w:rsid w:val="0073511E"/>
    <w:rsid w:val="007356C3"/>
    <w:rsid w:val="00736297"/>
    <w:rsid w:val="00737927"/>
    <w:rsid w:val="007406AD"/>
    <w:rsid w:val="0075261D"/>
    <w:rsid w:val="00753125"/>
    <w:rsid w:val="0075398F"/>
    <w:rsid w:val="00753F2A"/>
    <w:rsid w:val="007554E2"/>
    <w:rsid w:val="00760924"/>
    <w:rsid w:val="00771974"/>
    <w:rsid w:val="00771EBF"/>
    <w:rsid w:val="0077614E"/>
    <w:rsid w:val="00776214"/>
    <w:rsid w:val="0077625B"/>
    <w:rsid w:val="00780060"/>
    <w:rsid w:val="0078202F"/>
    <w:rsid w:val="00782085"/>
    <w:rsid w:val="00784A23"/>
    <w:rsid w:val="0078610E"/>
    <w:rsid w:val="00786CA9"/>
    <w:rsid w:val="007922A5"/>
    <w:rsid w:val="0079368B"/>
    <w:rsid w:val="007944A4"/>
    <w:rsid w:val="00795F6F"/>
    <w:rsid w:val="00796582"/>
    <w:rsid w:val="00796645"/>
    <w:rsid w:val="00796EE8"/>
    <w:rsid w:val="007A05A8"/>
    <w:rsid w:val="007A1C05"/>
    <w:rsid w:val="007A322E"/>
    <w:rsid w:val="007A42F0"/>
    <w:rsid w:val="007A5048"/>
    <w:rsid w:val="007A523D"/>
    <w:rsid w:val="007A58E0"/>
    <w:rsid w:val="007A6415"/>
    <w:rsid w:val="007B0C0F"/>
    <w:rsid w:val="007C206C"/>
    <w:rsid w:val="007C2EA4"/>
    <w:rsid w:val="007C54D8"/>
    <w:rsid w:val="007C6A10"/>
    <w:rsid w:val="007D20CB"/>
    <w:rsid w:val="007D232A"/>
    <w:rsid w:val="007D3B49"/>
    <w:rsid w:val="007D4736"/>
    <w:rsid w:val="007D6B22"/>
    <w:rsid w:val="007D7264"/>
    <w:rsid w:val="007E1E7F"/>
    <w:rsid w:val="007E2D82"/>
    <w:rsid w:val="007E3960"/>
    <w:rsid w:val="007E7D92"/>
    <w:rsid w:val="007F37D4"/>
    <w:rsid w:val="007F39F3"/>
    <w:rsid w:val="007F47D7"/>
    <w:rsid w:val="007F5A18"/>
    <w:rsid w:val="007F5D02"/>
    <w:rsid w:val="008026C1"/>
    <w:rsid w:val="00802CD1"/>
    <w:rsid w:val="00803283"/>
    <w:rsid w:val="00804BFC"/>
    <w:rsid w:val="008115CB"/>
    <w:rsid w:val="008124F3"/>
    <w:rsid w:val="00815DBB"/>
    <w:rsid w:val="00822CA4"/>
    <w:rsid w:val="00822DC3"/>
    <w:rsid w:val="00824378"/>
    <w:rsid w:val="00826F92"/>
    <w:rsid w:val="008365D4"/>
    <w:rsid w:val="008403D2"/>
    <w:rsid w:val="00841D33"/>
    <w:rsid w:val="008454C9"/>
    <w:rsid w:val="008477D9"/>
    <w:rsid w:val="0085143C"/>
    <w:rsid w:val="008520E8"/>
    <w:rsid w:val="0085378A"/>
    <w:rsid w:val="00856025"/>
    <w:rsid w:val="00857B63"/>
    <w:rsid w:val="0086247E"/>
    <w:rsid w:val="008629A8"/>
    <w:rsid w:val="00863B4D"/>
    <w:rsid w:val="00870F18"/>
    <w:rsid w:val="00871626"/>
    <w:rsid w:val="008751B5"/>
    <w:rsid w:val="008753E1"/>
    <w:rsid w:val="00875DD1"/>
    <w:rsid w:val="00876EFF"/>
    <w:rsid w:val="008817D5"/>
    <w:rsid w:val="008836FA"/>
    <w:rsid w:val="008839FB"/>
    <w:rsid w:val="00887DE7"/>
    <w:rsid w:val="00892C2B"/>
    <w:rsid w:val="00892D2A"/>
    <w:rsid w:val="008939CB"/>
    <w:rsid w:val="00896124"/>
    <w:rsid w:val="00897C32"/>
    <w:rsid w:val="008A1AF1"/>
    <w:rsid w:val="008A27B1"/>
    <w:rsid w:val="008A42CE"/>
    <w:rsid w:val="008A58FA"/>
    <w:rsid w:val="008B514F"/>
    <w:rsid w:val="008C03F9"/>
    <w:rsid w:val="008C0CD2"/>
    <w:rsid w:val="008C2C85"/>
    <w:rsid w:val="008D79E5"/>
    <w:rsid w:val="008E28EA"/>
    <w:rsid w:val="008E5565"/>
    <w:rsid w:val="008E5EDC"/>
    <w:rsid w:val="008E602B"/>
    <w:rsid w:val="008E6312"/>
    <w:rsid w:val="008F0F3F"/>
    <w:rsid w:val="008F22DA"/>
    <w:rsid w:val="008F3A34"/>
    <w:rsid w:val="008F44CF"/>
    <w:rsid w:val="008F7D7A"/>
    <w:rsid w:val="00900EB7"/>
    <w:rsid w:val="00902358"/>
    <w:rsid w:val="009071BD"/>
    <w:rsid w:val="009072D6"/>
    <w:rsid w:val="009118A6"/>
    <w:rsid w:val="00911B6C"/>
    <w:rsid w:val="00912E10"/>
    <w:rsid w:val="00913009"/>
    <w:rsid w:val="0092245F"/>
    <w:rsid w:val="00922668"/>
    <w:rsid w:val="00922AA7"/>
    <w:rsid w:val="0092783C"/>
    <w:rsid w:val="00931ADB"/>
    <w:rsid w:val="00932D5C"/>
    <w:rsid w:val="0093311F"/>
    <w:rsid w:val="00936206"/>
    <w:rsid w:val="009370F7"/>
    <w:rsid w:val="00940603"/>
    <w:rsid w:val="00944CAA"/>
    <w:rsid w:val="009457D3"/>
    <w:rsid w:val="00945EA0"/>
    <w:rsid w:val="00945F41"/>
    <w:rsid w:val="0094676C"/>
    <w:rsid w:val="00950699"/>
    <w:rsid w:val="0095108E"/>
    <w:rsid w:val="0095136C"/>
    <w:rsid w:val="009526D2"/>
    <w:rsid w:val="009534BE"/>
    <w:rsid w:val="00955411"/>
    <w:rsid w:val="00956D89"/>
    <w:rsid w:val="00960D5C"/>
    <w:rsid w:val="009631F7"/>
    <w:rsid w:val="0096516B"/>
    <w:rsid w:val="009653A9"/>
    <w:rsid w:val="00967C4B"/>
    <w:rsid w:val="00972CA7"/>
    <w:rsid w:val="00973384"/>
    <w:rsid w:val="009740A4"/>
    <w:rsid w:val="00976A36"/>
    <w:rsid w:val="0098527F"/>
    <w:rsid w:val="0098670C"/>
    <w:rsid w:val="009867DA"/>
    <w:rsid w:val="00986C44"/>
    <w:rsid w:val="0099329A"/>
    <w:rsid w:val="009A0C7B"/>
    <w:rsid w:val="009A4B4B"/>
    <w:rsid w:val="009B10EA"/>
    <w:rsid w:val="009B5834"/>
    <w:rsid w:val="009C45A5"/>
    <w:rsid w:val="009C5149"/>
    <w:rsid w:val="009C7B19"/>
    <w:rsid w:val="009D0A23"/>
    <w:rsid w:val="009D1AD6"/>
    <w:rsid w:val="009D4C81"/>
    <w:rsid w:val="009D4E92"/>
    <w:rsid w:val="009D6BBD"/>
    <w:rsid w:val="009E4742"/>
    <w:rsid w:val="009E4C8B"/>
    <w:rsid w:val="009E76DE"/>
    <w:rsid w:val="009F334A"/>
    <w:rsid w:val="009F3BAB"/>
    <w:rsid w:val="009F466A"/>
    <w:rsid w:val="00A0034F"/>
    <w:rsid w:val="00A0138A"/>
    <w:rsid w:val="00A0247D"/>
    <w:rsid w:val="00A027DD"/>
    <w:rsid w:val="00A05024"/>
    <w:rsid w:val="00A071BF"/>
    <w:rsid w:val="00A10711"/>
    <w:rsid w:val="00A12E48"/>
    <w:rsid w:val="00A149CF"/>
    <w:rsid w:val="00A15EFB"/>
    <w:rsid w:val="00A17B10"/>
    <w:rsid w:val="00A248BE"/>
    <w:rsid w:val="00A25968"/>
    <w:rsid w:val="00A275BF"/>
    <w:rsid w:val="00A30BDA"/>
    <w:rsid w:val="00A36818"/>
    <w:rsid w:val="00A376C7"/>
    <w:rsid w:val="00A526ED"/>
    <w:rsid w:val="00A53B1A"/>
    <w:rsid w:val="00A5698A"/>
    <w:rsid w:val="00A6180B"/>
    <w:rsid w:val="00A62604"/>
    <w:rsid w:val="00A630AB"/>
    <w:rsid w:val="00A64385"/>
    <w:rsid w:val="00A64C14"/>
    <w:rsid w:val="00A64E34"/>
    <w:rsid w:val="00A6611F"/>
    <w:rsid w:val="00A661FE"/>
    <w:rsid w:val="00A7039C"/>
    <w:rsid w:val="00A71D3C"/>
    <w:rsid w:val="00A7285F"/>
    <w:rsid w:val="00A74565"/>
    <w:rsid w:val="00A77EE3"/>
    <w:rsid w:val="00A83C00"/>
    <w:rsid w:val="00A8642C"/>
    <w:rsid w:val="00A91279"/>
    <w:rsid w:val="00A93738"/>
    <w:rsid w:val="00A9393B"/>
    <w:rsid w:val="00A940F8"/>
    <w:rsid w:val="00A9647A"/>
    <w:rsid w:val="00AA10A2"/>
    <w:rsid w:val="00AA1F0A"/>
    <w:rsid w:val="00AA237C"/>
    <w:rsid w:val="00AA31D3"/>
    <w:rsid w:val="00AA35C4"/>
    <w:rsid w:val="00AA42C0"/>
    <w:rsid w:val="00AA52AB"/>
    <w:rsid w:val="00AA5B74"/>
    <w:rsid w:val="00AA7D44"/>
    <w:rsid w:val="00AB015C"/>
    <w:rsid w:val="00AB03C4"/>
    <w:rsid w:val="00AB32AF"/>
    <w:rsid w:val="00AB419B"/>
    <w:rsid w:val="00AB7AB4"/>
    <w:rsid w:val="00AC41A1"/>
    <w:rsid w:val="00AC43F5"/>
    <w:rsid w:val="00AC6B75"/>
    <w:rsid w:val="00AC7110"/>
    <w:rsid w:val="00AC7270"/>
    <w:rsid w:val="00AC77F7"/>
    <w:rsid w:val="00AD26A0"/>
    <w:rsid w:val="00AD4E7A"/>
    <w:rsid w:val="00AD525D"/>
    <w:rsid w:val="00AD5AC0"/>
    <w:rsid w:val="00AD6995"/>
    <w:rsid w:val="00AD7499"/>
    <w:rsid w:val="00AE0473"/>
    <w:rsid w:val="00AE1216"/>
    <w:rsid w:val="00AE39F2"/>
    <w:rsid w:val="00AE5D6E"/>
    <w:rsid w:val="00AF3DD1"/>
    <w:rsid w:val="00AF7B0E"/>
    <w:rsid w:val="00AF7B14"/>
    <w:rsid w:val="00B01CB8"/>
    <w:rsid w:val="00B025B7"/>
    <w:rsid w:val="00B10225"/>
    <w:rsid w:val="00B11DDC"/>
    <w:rsid w:val="00B1677B"/>
    <w:rsid w:val="00B16AD1"/>
    <w:rsid w:val="00B209DB"/>
    <w:rsid w:val="00B21E86"/>
    <w:rsid w:val="00B22502"/>
    <w:rsid w:val="00B246E1"/>
    <w:rsid w:val="00B27C76"/>
    <w:rsid w:val="00B312E9"/>
    <w:rsid w:val="00B35247"/>
    <w:rsid w:val="00B35D5C"/>
    <w:rsid w:val="00B36A0C"/>
    <w:rsid w:val="00B36A70"/>
    <w:rsid w:val="00B37CAC"/>
    <w:rsid w:val="00B410C2"/>
    <w:rsid w:val="00B42BB0"/>
    <w:rsid w:val="00B42C39"/>
    <w:rsid w:val="00B43AE0"/>
    <w:rsid w:val="00B43D34"/>
    <w:rsid w:val="00B45293"/>
    <w:rsid w:val="00B525A4"/>
    <w:rsid w:val="00B5413B"/>
    <w:rsid w:val="00B57C35"/>
    <w:rsid w:val="00B62F24"/>
    <w:rsid w:val="00B62F3D"/>
    <w:rsid w:val="00B62FCC"/>
    <w:rsid w:val="00B63F08"/>
    <w:rsid w:val="00B65FBA"/>
    <w:rsid w:val="00B67982"/>
    <w:rsid w:val="00B72D07"/>
    <w:rsid w:val="00B80D68"/>
    <w:rsid w:val="00B857ED"/>
    <w:rsid w:val="00B85A03"/>
    <w:rsid w:val="00B8771B"/>
    <w:rsid w:val="00B9143C"/>
    <w:rsid w:val="00B93FE7"/>
    <w:rsid w:val="00B94C70"/>
    <w:rsid w:val="00B95D71"/>
    <w:rsid w:val="00BA0403"/>
    <w:rsid w:val="00BA09D2"/>
    <w:rsid w:val="00BA0BE9"/>
    <w:rsid w:val="00BA2456"/>
    <w:rsid w:val="00BA2623"/>
    <w:rsid w:val="00BA75E5"/>
    <w:rsid w:val="00BB05B4"/>
    <w:rsid w:val="00BB08ED"/>
    <w:rsid w:val="00BB6401"/>
    <w:rsid w:val="00BB773C"/>
    <w:rsid w:val="00BC0C86"/>
    <w:rsid w:val="00BC0D4D"/>
    <w:rsid w:val="00BC0D9C"/>
    <w:rsid w:val="00BC1D8A"/>
    <w:rsid w:val="00BC6514"/>
    <w:rsid w:val="00BC77BF"/>
    <w:rsid w:val="00BD2EF1"/>
    <w:rsid w:val="00BD2F62"/>
    <w:rsid w:val="00BD4591"/>
    <w:rsid w:val="00BD5A71"/>
    <w:rsid w:val="00BD73F7"/>
    <w:rsid w:val="00BE09B0"/>
    <w:rsid w:val="00BE11F8"/>
    <w:rsid w:val="00BE301F"/>
    <w:rsid w:val="00BE310D"/>
    <w:rsid w:val="00BF12A1"/>
    <w:rsid w:val="00BF5044"/>
    <w:rsid w:val="00BF6869"/>
    <w:rsid w:val="00BF6E73"/>
    <w:rsid w:val="00BF73D4"/>
    <w:rsid w:val="00BF79E5"/>
    <w:rsid w:val="00C00455"/>
    <w:rsid w:val="00C0314D"/>
    <w:rsid w:val="00C04998"/>
    <w:rsid w:val="00C0693B"/>
    <w:rsid w:val="00C07696"/>
    <w:rsid w:val="00C11709"/>
    <w:rsid w:val="00C11719"/>
    <w:rsid w:val="00C13D10"/>
    <w:rsid w:val="00C13DAA"/>
    <w:rsid w:val="00C14824"/>
    <w:rsid w:val="00C14A4D"/>
    <w:rsid w:val="00C15C25"/>
    <w:rsid w:val="00C16879"/>
    <w:rsid w:val="00C2555F"/>
    <w:rsid w:val="00C26255"/>
    <w:rsid w:val="00C3162D"/>
    <w:rsid w:val="00C3413B"/>
    <w:rsid w:val="00C34C1C"/>
    <w:rsid w:val="00C35A5A"/>
    <w:rsid w:val="00C373C8"/>
    <w:rsid w:val="00C37A57"/>
    <w:rsid w:val="00C42705"/>
    <w:rsid w:val="00C43D62"/>
    <w:rsid w:val="00C44C1A"/>
    <w:rsid w:val="00C50B82"/>
    <w:rsid w:val="00C534DB"/>
    <w:rsid w:val="00C55293"/>
    <w:rsid w:val="00C559A2"/>
    <w:rsid w:val="00C61350"/>
    <w:rsid w:val="00C61468"/>
    <w:rsid w:val="00C615F3"/>
    <w:rsid w:val="00C722AA"/>
    <w:rsid w:val="00C765A9"/>
    <w:rsid w:val="00C830D0"/>
    <w:rsid w:val="00C840C8"/>
    <w:rsid w:val="00C91F20"/>
    <w:rsid w:val="00C9290B"/>
    <w:rsid w:val="00C93A40"/>
    <w:rsid w:val="00CA0118"/>
    <w:rsid w:val="00CA136F"/>
    <w:rsid w:val="00CA329A"/>
    <w:rsid w:val="00CA7411"/>
    <w:rsid w:val="00CA7479"/>
    <w:rsid w:val="00CB15F7"/>
    <w:rsid w:val="00CB1FA6"/>
    <w:rsid w:val="00CB26F8"/>
    <w:rsid w:val="00CB3A32"/>
    <w:rsid w:val="00CB5099"/>
    <w:rsid w:val="00CB59DE"/>
    <w:rsid w:val="00CB6002"/>
    <w:rsid w:val="00CC1C14"/>
    <w:rsid w:val="00CD0A59"/>
    <w:rsid w:val="00CD1D9C"/>
    <w:rsid w:val="00CD3DD9"/>
    <w:rsid w:val="00CD4CAC"/>
    <w:rsid w:val="00CD679A"/>
    <w:rsid w:val="00CD7CDA"/>
    <w:rsid w:val="00CE2182"/>
    <w:rsid w:val="00CE6027"/>
    <w:rsid w:val="00CF1193"/>
    <w:rsid w:val="00CF34F4"/>
    <w:rsid w:val="00CF4598"/>
    <w:rsid w:val="00CF65D9"/>
    <w:rsid w:val="00CF69E2"/>
    <w:rsid w:val="00D0078F"/>
    <w:rsid w:val="00D019ED"/>
    <w:rsid w:val="00D0244B"/>
    <w:rsid w:val="00D05FD9"/>
    <w:rsid w:val="00D10A7F"/>
    <w:rsid w:val="00D10EFB"/>
    <w:rsid w:val="00D15470"/>
    <w:rsid w:val="00D15E1B"/>
    <w:rsid w:val="00D16F06"/>
    <w:rsid w:val="00D2154C"/>
    <w:rsid w:val="00D21B33"/>
    <w:rsid w:val="00D228CE"/>
    <w:rsid w:val="00D258A8"/>
    <w:rsid w:val="00D26AC5"/>
    <w:rsid w:val="00D27717"/>
    <w:rsid w:val="00D31C11"/>
    <w:rsid w:val="00D324B5"/>
    <w:rsid w:val="00D3269E"/>
    <w:rsid w:val="00D333B8"/>
    <w:rsid w:val="00D3500C"/>
    <w:rsid w:val="00D36FAF"/>
    <w:rsid w:val="00D37652"/>
    <w:rsid w:val="00D44423"/>
    <w:rsid w:val="00D4712A"/>
    <w:rsid w:val="00D47F06"/>
    <w:rsid w:val="00D500F8"/>
    <w:rsid w:val="00D5090E"/>
    <w:rsid w:val="00D55FFE"/>
    <w:rsid w:val="00D60523"/>
    <w:rsid w:val="00D60818"/>
    <w:rsid w:val="00D64A13"/>
    <w:rsid w:val="00D64A40"/>
    <w:rsid w:val="00D64E0D"/>
    <w:rsid w:val="00D65EC8"/>
    <w:rsid w:val="00D668FB"/>
    <w:rsid w:val="00D70E42"/>
    <w:rsid w:val="00D72592"/>
    <w:rsid w:val="00D72D9F"/>
    <w:rsid w:val="00D810F3"/>
    <w:rsid w:val="00D823FA"/>
    <w:rsid w:val="00D8402B"/>
    <w:rsid w:val="00D8435E"/>
    <w:rsid w:val="00D93907"/>
    <w:rsid w:val="00D97B2D"/>
    <w:rsid w:val="00DA0A90"/>
    <w:rsid w:val="00DA58AF"/>
    <w:rsid w:val="00DA7A8D"/>
    <w:rsid w:val="00DB0D25"/>
    <w:rsid w:val="00DB29AD"/>
    <w:rsid w:val="00DB31C4"/>
    <w:rsid w:val="00DB55E2"/>
    <w:rsid w:val="00DB5F88"/>
    <w:rsid w:val="00DB68E6"/>
    <w:rsid w:val="00DC0832"/>
    <w:rsid w:val="00DC2625"/>
    <w:rsid w:val="00DC39C0"/>
    <w:rsid w:val="00DC5963"/>
    <w:rsid w:val="00DD0776"/>
    <w:rsid w:val="00DD1888"/>
    <w:rsid w:val="00DE08E9"/>
    <w:rsid w:val="00DE11A0"/>
    <w:rsid w:val="00DE1671"/>
    <w:rsid w:val="00DE5792"/>
    <w:rsid w:val="00DE72F8"/>
    <w:rsid w:val="00E1035E"/>
    <w:rsid w:val="00E113CC"/>
    <w:rsid w:val="00E15697"/>
    <w:rsid w:val="00E16D46"/>
    <w:rsid w:val="00E20A9B"/>
    <w:rsid w:val="00E20C94"/>
    <w:rsid w:val="00E21607"/>
    <w:rsid w:val="00E22186"/>
    <w:rsid w:val="00E24D04"/>
    <w:rsid w:val="00E30006"/>
    <w:rsid w:val="00E3742B"/>
    <w:rsid w:val="00E42242"/>
    <w:rsid w:val="00E42DDC"/>
    <w:rsid w:val="00E53D51"/>
    <w:rsid w:val="00E558BD"/>
    <w:rsid w:val="00E573DE"/>
    <w:rsid w:val="00E656BF"/>
    <w:rsid w:val="00E65F2C"/>
    <w:rsid w:val="00E66F3A"/>
    <w:rsid w:val="00E70B15"/>
    <w:rsid w:val="00E7406A"/>
    <w:rsid w:val="00E80B9D"/>
    <w:rsid w:val="00E80F55"/>
    <w:rsid w:val="00E813F5"/>
    <w:rsid w:val="00E82117"/>
    <w:rsid w:val="00E82BCF"/>
    <w:rsid w:val="00E83D12"/>
    <w:rsid w:val="00E8437D"/>
    <w:rsid w:val="00E85D1F"/>
    <w:rsid w:val="00E86AA2"/>
    <w:rsid w:val="00E86DBA"/>
    <w:rsid w:val="00E91183"/>
    <w:rsid w:val="00E94DAB"/>
    <w:rsid w:val="00E954B3"/>
    <w:rsid w:val="00E95B30"/>
    <w:rsid w:val="00E95CA9"/>
    <w:rsid w:val="00E97F2C"/>
    <w:rsid w:val="00EA469D"/>
    <w:rsid w:val="00EA6243"/>
    <w:rsid w:val="00EA6BC4"/>
    <w:rsid w:val="00EA7C77"/>
    <w:rsid w:val="00EB7FEC"/>
    <w:rsid w:val="00EC2576"/>
    <w:rsid w:val="00EC45C2"/>
    <w:rsid w:val="00EC4716"/>
    <w:rsid w:val="00EC55A6"/>
    <w:rsid w:val="00EC7424"/>
    <w:rsid w:val="00ED0F56"/>
    <w:rsid w:val="00ED0FCA"/>
    <w:rsid w:val="00ED2497"/>
    <w:rsid w:val="00ED2BEA"/>
    <w:rsid w:val="00ED5FB2"/>
    <w:rsid w:val="00ED66FE"/>
    <w:rsid w:val="00ED69D4"/>
    <w:rsid w:val="00EE224C"/>
    <w:rsid w:val="00EE47D2"/>
    <w:rsid w:val="00EE6165"/>
    <w:rsid w:val="00EF3235"/>
    <w:rsid w:val="00EF42D0"/>
    <w:rsid w:val="00EF55CB"/>
    <w:rsid w:val="00EF70A1"/>
    <w:rsid w:val="00F00447"/>
    <w:rsid w:val="00F02B5C"/>
    <w:rsid w:val="00F05D57"/>
    <w:rsid w:val="00F07593"/>
    <w:rsid w:val="00F116CC"/>
    <w:rsid w:val="00F128EF"/>
    <w:rsid w:val="00F14A08"/>
    <w:rsid w:val="00F15236"/>
    <w:rsid w:val="00F168F8"/>
    <w:rsid w:val="00F17B41"/>
    <w:rsid w:val="00F23825"/>
    <w:rsid w:val="00F23ADA"/>
    <w:rsid w:val="00F27328"/>
    <w:rsid w:val="00F27ECA"/>
    <w:rsid w:val="00F30A7A"/>
    <w:rsid w:val="00F31218"/>
    <w:rsid w:val="00F31CFE"/>
    <w:rsid w:val="00F32588"/>
    <w:rsid w:val="00F344FF"/>
    <w:rsid w:val="00F34A08"/>
    <w:rsid w:val="00F35401"/>
    <w:rsid w:val="00F437E4"/>
    <w:rsid w:val="00F44896"/>
    <w:rsid w:val="00F44EA9"/>
    <w:rsid w:val="00F44ECB"/>
    <w:rsid w:val="00F47599"/>
    <w:rsid w:val="00F47F01"/>
    <w:rsid w:val="00F508A9"/>
    <w:rsid w:val="00F529E6"/>
    <w:rsid w:val="00F54560"/>
    <w:rsid w:val="00F54881"/>
    <w:rsid w:val="00F573C9"/>
    <w:rsid w:val="00F57954"/>
    <w:rsid w:val="00F6091D"/>
    <w:rsid w:val="00F610A6"/>
    <w:rsid w:val="00F62D67"/>
    <w:rsid w:val="00F63306"/>
    <w:rsid w:val="00F65C65"/>
    <w:rsid w:val="00F66A72"/>
    <w:rsid w:val="00F66ED8"/>
    <w:rsid w:val="00F709C4"/>
    <w:rsid w:val="00F7409F"/>
    <w:rsid w:val="00F750E8"/>
    <w:rsid w:val="00F765DC"/>
    <w:rsid w:val="00F77F82"/>
    <w:rsid w:val="00F81CB9"/>
    <w:rsid w:val="00F85C11"/>
    <w:rsid w:val="00F9116E"/>
    <w:rsid w:val="00F92399"/>
    <w:rsid w:val="00F941D2"/>
    <w:rsid w:val="00F950E9"/>
    <w:rsid w:val="00F958A1"/>
    <w:rsid w:val="00F97E7E"/>
    <w:rsid w:val="00FA0C7E"/>
    <w:rsid w:val="00FA1057"/>
    <w:rsid w:val="00FA5FBA"/>
    <w:rsid w:val="00FA65B9"/>
    <w:rsid w:val="00FA7C2D"/>
    <w:rsid w:val="00FB35AA"/>
    <w:rsid w:val="00FB36B6"/>
    <w:rsid w:val="00FC1A00"/>
    <w:rsid w:val="00FC2B02"/>
    <w:rsid w:val="00FC3BB2"/>
    <w:rsid w:val="00FC3DE4"/>
    <w:rsid w:val="00FC4123"/>
    <w:rsid w:val="00FD257E"/>
    <w:rsid w:val="00FD4643"/>
    <w:rsid w:val="00FD63EC"/>
    <w:rsid w:val="00FD6873"/>
    <w:rsid w:val="00FD6BD0"/>
    <w:rsid w:val="00FE1330"/>
    <w:rsid w:val="00FE6890"/>
    <w:rsid w:val="00FF0C52"/>
    <w:rsid w:val="00FF13B7"/>
    <w:rsid w:val="00FF1D35"/>
    <w:rsid w:val="00FF2774"/>
    <w:rsid w:val="00FF3A04"/>
    <w:rsid w:val="00FF55A2"/>
    <w:rsid w:val="00FF590D"/>
    <w:rsid w:val="00FF6896"/>
    <w:rsid w:val="00FF6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AC88A8"/>
  <w15:docId w15:val="{5A436A03-A902-4260-AC20-68A57A74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27"/>
  </w:style>
  <w:style w:type="paragraph" w:styleId="Heading1">
    <w:name w:val="heading 1"/>
    <w:next w:val="Normal"/>
    <w:link w:val="Heading1Char"/>
    <w:qFormat/>
    <w:rsid w:val="00E95B30"/>
    <w:pPr>
      <w:keepNext/>
      <w:numPr>
        <w:numId w:val="1"/>
      </w:numPr>
      <w:tabs>
        <w:tab w:val="left" w:pos="720"/>
      </w:tabs>
      <w:spacing w:after="12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C840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B1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1627"/>
    <w:rPr>
      <w:rFonts w:asciiTheme="majorHAnsi" w:eastAsiaTheme="majorEastAsia" w:hAnsiTheme="majorHAnsi" w:cstheme="majorBidi"/>
      <w:b/>
      <w:bCs/>
      <w:color w:val="4F81BD" w:themeColor="accent1"/>
    </w:rPr>
  </w:style>
  <w:style w:type="table" w:styleId="TableGrid">
    <w:name w:val="Table Grid"/>
    <w:basedOn w:val="TableNormal"/>
    <w:uiPriority w:val="59"/>
    <w:rsid w:val="000B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1627"/>
    <w:rPr>
      <w:i/>
      <w:iCs/>
    </w:rPr>
  </w:style>
  <w:style w:type="character" w:styleId="Hyperlink">
    <w:name w:val="Hyperlink"/>
    <w:basedOn w:val="DefaultParagraphFont"/>
    <w:rsid w:val="000B1627"/>
    <w:rPr>
      <w:color w:val="0000FF"/>
      <w:u w:val="single"/>
    </w:rPr>
  </w:style>
  <w:style w:type="paragraph" w:styleId="ListParagraph">
    <w:name w:val="List Paragraph"/>
    <w:basedOn w:val="Normal"/>
    <w:uiPriority w:val="34"/>
    <w:qFormat/>
    <w:rsid w:val="000B1627"/>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0B1627"/>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0B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27"/>
  </w:style>
  <w:style w:type="character" w:styleId="Strong">
    <w:name w:val="Strong"/>
    <w:basedOn w:val="DefaultParagraphFont"/>
    <w:uiPriority w:val="22"/>
    <w:qFormat/>
    <w:rsid w:val="000B1627"/>
    <w:rPr>
      <w:b/>
      <w:bCs/>
    </w:rPr>
  </w:style>
  <w:style w:type="character" w:styleId="CommentReference">
    <w:name w:val="annotation reference"/>
    <w:basedOn w:val="DefaultParagraphFont"/>
    <w:uiPriority w:val="99"/>
    <w:semiHidden/>
    <w:unhideWhenUsed/>
    <w:rsid w:val="000B1627"/>
    <w:rPr>
      <w:sz w:val="16"/>
      <w:szCs w:val="16"/>
    </w:rPr>
  </w:style>
  <w:style w:type="paragraph" w:styleId="CommentText">
    <w:name w:val="annotation text"/>
    <w:basedOn w:val="Normal"/>
    <w:link w:val="CommentTextChar"/>
    <w:uiPriority w:val="99"/>
    <w:unhideWhenUsed/>
    <w:rsid w:val="000B16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16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27"/>
  </w:style>
  <w:style w:type="paragraph" w:styleId="NormalWeb">
    <w:name w:val="Normal (Web)"/>
    <w:basedOn w:val="Normal"/>
    <w:uiPriority w:val="99"/>
    <w:unhideWhenUsed/>
    <w:rsid w:val="000B16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B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27"/>
    <w:rPr>
      <w:rFonts w:ascii="Tahoma" w:hAnsi="Tahoma" w:cs="Tahoma"/>
      <w:sz w:val="16"/>
      <w:szCs w:val="16"/>
    </w:rPr>
  </w:style>
  <w:style w:type="character" w:styleId="FollowedHyperlink">
    <w:name w:val="FollowedHyperlink"/>
    <w:basedOn w:val="DefaultParagraphFont"/>
    <w:uiPriority w:val="99"/>
    <w:semiHidden/>
    <w:unhideWhenUsed/>
    <w:rsid w:val="00B85A03"/>
    <w:rPr>
      <w:color w:val="800080" w:themeColor="followedHyperlink"/>
      <w:u w:val="single"/>
    </w:rPr>
  </w:style>
  <w:style w:type="paragraph" w:customStyle="1" w:styleId="Bullet1">
    <w:name w:val="Bullet 1"/>
    <w:basedOn w:val="Normal"/>
    <w:rsid w:val="009A0C7B"/>
    <w:pPr>
      <w:spacing w:after="80" w:line="320" w:lineRule="exac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43F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43F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E95B30"/>
    <w:rPr>
      <w:rFonts w:ascii="Arial" w:eastAsia="Times New Roman" w:hAnsi="Arial" w:cs="Times New Roman"/>
      <w:b/>
      <w:kern w:val="28"/>
      <w:sz w:val="28"/>
      <w:szCs w:val="20"/>
    </w:rPr>
  </w:style>
  <w:style w:type="paragraph" w:customStyle="1" w:styleId="Numberedpara">
    <w:name w:val="Numbered para"/>
    <w:basedOn w:val="Normal"/>
    <w:rsid w:val="00E95B30"/>
    <w:pPr>
      <w:numPr>
        <w:ilvl w:val="1"/>
        <w:numId w:val="1"/>
      </w:numPr>
      <w:tabs>
        <w:tab w:val="clear" w:pos="1004"/>
        <w:tab w:val="num" w:pos="1429"/>
      </w:tabs>
      <w:spacing w:after="120" w:line="320" w:lineRule="exact"/>
      <w:ind w:left="1429"/>
    </w:pPr>
    <w:rPr>
      <w:rFonts w:ascii="Times New Roman" w:eastAsia="Times New Roman" w:hAnsi="Times New Roman" w:cs="Times New Roman"/>
      <w:sz w:val="24"/>
      <w:szCs w:val="20"/>
    </w:rPr>
  </w:style>
  <w:style w:type="paragraph" w:styleId="Revision">
    <w:name w:val="Revision"/>
    <w:hidden/>
    <w:uiPriority w:val="99"/>
    <w:semiHidden/>
    <w:rsid w:val="002D4F2C"/>
    <w:pPr>
      <w:spacing w:after="0" w:line="240" w:lineRule="auto"/>
    </w:pPr>
  </w:style>
  <w:style w:type="table" w:styleId="LightGrid-Accent1">
    <w:name w:val="Light Grid Accent 1"/>
    <w:basedOn w:val="TableNormal"/>
    <w:uiPriority w:val="62"/>
    <w:rsid w:val="001A6A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D15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E1B"/>
    <w:rPr>
      <w:sz w:val="20"/>
      <w:szCs w:val="20"/>
    </w:rPr>
  </w:style>
  <w:style w:type="character" w:styleId="FootnoteReference">
    <w:name w:val="footnote reference"/>
    <w:basedOn w:val="DefaultParagraphFont"/>
    <w:uiPriority w:val="99"/>
    <w:semiHidden/>
    <w:unhideWhenUsed/>
    <w:rsid w:val="00D15E1B"/>
    <w:rPr>
      <w:vertAlign w:val="superscript"/>
    </w:rPr>
  </w:style>
  <w:style w:type="character" w:styleId="IntenseReference">
    <w:name w:val="Intense Reference"/>
    <w:basedOn w:val="DefaultParagraphFont"/>
    <w:uiPriority w:val="32"/>
    <w:qFormat/>
    <w:rsid w:val="00C840C8"/>
    <w:rPr>
      <w:b/>
      <w:bCs/>
      <w:smallCaps/>
      <w:color w:val="4F81BD" w:themeColor="accent1"/>
      <w:spacing w:val="5"/>
    </w:rPr>
  </w:style>
  <w:style w:type="paragraph" w:styleId="IntenseQuote">
    <w:name w:val="Intense Quote"/>
    <w:basedOn w:val="Normal"/>
    <w:next w:val="Normal"/>
    <w:link w:val="IntenseQuoteChar"/>
    <w:uiPriority w:val="30"/>
    <w:qFormat/>
    <w:rsid w:val="00C840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40C8"/>
    <w:rPr>
      <w:i/>
      <w:iCs/>
      <w:color w:val="4F81BD" w:themeColor="accent1"/>
    </w:rPr>
  </w:style>
  <w:style w:type="character" w:styleId="SubtleReference">
    <w:name w:val="Subtle Reference"/>
    <w:basedOn w:val="DefaultParagraphFont"/>
    <w:uiPriority w:val="31"/>
    <w:qFormat/>
    <w:rsid w:val="00C840C8"/>
    <w:rPr>
      <w:smallCaps/>
      <w:color w:val="5A5A5A" w:themeColor="text1" w:themeTint="A5"/>
    </w:rPr>
  </w:style>
  <w:style w:type="character" w:customStyle="1" w:styleId="Heading2Char">
    <w:name w:val="Heading 2 Char"/>
    <w:basedOn w:val="DefaultParagraphFont"/>
    <w:link w:val="Heading2"/>
    <w:uiPriority w:val="9"/>
    <w:rsid w:val="00C840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6312">
      <w:bodyDiv w:val="1"/>
      <w:marLeft w:val="0"/>
      <w:marRight w:val="0"/>
      <w:marTop w:val="0"/>
      <w:marBottom w:val="0"/>
      <w:divBdr>
        <w:top w:val="none" w:sz="0" w:space="0" w:color="auto"/>
        <w:left w:val="none" w:sz="0" w:space="0" w:color="auto"/>
        <w:bottom w:val="none" w:sz="0" w:space="0" w:color="auto"/>
        <w:right w:val="none" w:sz="0" w:space="0" w:color="auto"/>
      </w:divBdr>
    </w:div>
    <w:div w:id="358166738">
      <w:bodyDiv w:val="1"/>
      <w:marLeft w:val="0"/>
      <w:marRight w:val="0"/>
      <w:marTop w:val="0"/>
      <w:marBottom w:val="0"/>
      <w:divBdr>
        <w:top w:val="none" w:sz="0" w:space="0" w:color="auto"/>
        <w:left w:val="none" w:sz="0" w:space="0" w:color="auto"/>
        <w:bottom w:val="none" w:sz="0" w:space="0" w:color="auto"/>
        <w:right w:val="none" w:sz="0" w:space="0" w:color="auto"/>
      </w:divBdr>
      <w:divsChild>
        <w:div w:id="1934122882">
          <w:marLeft w:val="0"/>
          <w:marRight w:val="0"/>
          <w:marTop w:val="0"/>
          <w:marBottom w:val="0"/>
          <w:divBdr>
            <w:top w:val="none" w:sz="0" w:space="0" w:color="auto"/>
            <w:left w:val="none" w:sz="0" w:space="0" w:color="auto"/>
            <w:bottom w:val="none" w:sz="0" w:space="0" w:color="auto"/>
            <w:right w:val="none" w:sz="0" w:space="0" w:color="auto"/>
          </w:divBdr>
          <w:divsChild>
            <w:div w:id="1780955216">
              <w:marLeft w:val="0"/>
              <w:marRight w:val="0"/>
              <w:marTop w:val="0"/>
              <w:marBottom w:val="0"/>
              <w:divBdr>
                <w:top w:val="none" w:sz="0" w:space="0" w:color="auto"/>
                <w:left w:val="none" w:sz="0" w:space="0" w:color="auto"/>
                <w:bottom w:val="none" w:sz="0" w:space="0" w:color="auto"/>
                <w:right w:val="none" w:sz="0" w:space="0" w:color="auto"/>
              </w:divBdr>
              <w:divsChild>
                <w:div w:id="401221687">
                  <w:marLeft w:val="0"/>
                  <w:marRight w:val="0"/>
                  <w:marTop w:val="0"/>
                  <w:marBottom w:val="0"/>
                  <w:divBdr>
                    <w:top w:val="none" w:sz="0" w:space="0" w:color="auto"/>
                    <w:left w:val="none" w:sz="0" w:space="0" w:color="auto"/>
                    <w:bottom w:val="none" w:sz="0" w:space="0" w:color="auto"/>
                    <w:right w:val="none" w:sz="0" w:space="0" w:color="auto"/>
                  </w:divBdr>
                  <w:divsChild>
                    <w:div w:id="866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62135">
      <w:bodyDiv w:val="1"/>
      <w:marLeft w:val="0"/>
      <w:marRight w:val="0"/>
      <w:marTop w:val="0"/>
      <w:marBottom w:val="0"/>
      <w:divBdr>
        <w:top w:val="none" w:sz="0" w:space="0" w:color="auto"/>
        <w:left w:val="none" w:sz="0" w:space="0" w:color="auto"/>
        <w:bottom w:val="none" w:sz="0" w:space="0" w:color="auto"/>
        <w:right w:val="none" w:sz="0" w:space="0" w:color="auto"/>
      </w:divBdr>
    </w:div>
    <w:div w:id="16992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regulatory-policy/Proceedings-9th-Conference-MR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cd.org/gov/regulatory-policy/expostevaluationofregulatorytoolsandinstitutions.htm" TargetMode="External"/><Relationship Id="rId4" Type="http://schemas.openxmlformats.org/officeDocument/2006/relationships/settings" Target="settings.xml"/><Relationship Id="rId9" Type="http://schemas.openxmlformats.org/officeDocument/2006/relationships/hyperlink" Target="http://www.oecd.org/regreform/framework-for-regulatory-policy-evaluatio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3CC7-8C1A-4329-94B4-4AA73BFC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Margaret</dc:creator>
  <cp:lastModifiedBy>McLellan, Kathleen</cp:lastModifiedBy>
  <cp:revision>15</cp:revision>
  <cp:lastPrinted>2018-09-20T17:27:00Z</cp:lastPrinted>
  <dcterms:created xsi:type="dcterms:W3CDTF">2018-09-18T18:20:00Z</dcterms:created>
  <dcterms:modified xsi:type="dcterms:W3CDTF">2018-09-28T14:57:00Z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185ac9a8-139e-4e05-8a64-a8c618faf21f</vt:lpwstr>
  </property>
  <property fmtid="{D5CDD505-2E9C-101B-9397-08002B2CF9AE}" pid="3" name="TBSSCTVISUALMARKINGNO">
    <vt:lpwstr>NO</vt:lpwstr>
  </property>
  <property fmtid="{D5CDD505-2E9C-101B-9397-08002B2CF9AE}" pid="4" name="TBSSCTCLASSIFICATION">
    <vt:lpwstr>UNCLASSIFIED</vt:lpwstr>
  </property>
  <property fmtid="{D5CDD505-2E9C-101B-9397-08002B2CF9AE}" pid="5" name="SECCLASS">
    <vt:lpwstr>CLASSU</vt:lpwstr>
  </property>
</Properties>
</file>